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11FF" w:rsidRPr="003C060C" w:rsidTr="00335E75">
        <w:trPr>
          <w:trHeight w:hRule="exact" w:val="1418"/>
        </w:trPr>
        <w:tc>
          <w:tcPr>
            <w:tcW w:w="6804" w:type="dxa"/>
            <w:shd w:val="clear" w:color="auto" w:fill="auto"/>
            <w:vAlign w:val="center"/>
          </w:tcPr>
          <w:p w:rsidR="00BA3E40" w:rsidRPr="003C060C" w:rsidRDefault="00B54D08" w:rsidP="00335E75">
            <w:pPr>
              <w:pStyle w:val="EPName"/>
            </w:pPr>
            <w:bookmarkStart w:id="0" w:name="_GoBack"/>
            <w:bookmarkEnd w:id="0"/>
            <w:r w:rsidRPr="003C060C">
              <w:t>Evropský parlament</w:t>
            </w:r>
          </w:p>
          <w:p w:rsidR="00BA3E40" w:rsidRPr="003C060C" w:rsidRDefault="00B54D08" w:rsidP="00184F17">
            <w:pPr>
              <w:pStyle w:val="EPTerm"/>
            </w:pPr>
            <w:r w:rsidRPr="003C060C">
              <w:t>2019-2024</w:t>
            </w:r>
          </w:p>
        </w:tc>
        <w:tc>
          <w:tcPr>
            <w:tcW w:w="2268" w:type="dxa"/>
            <w:shd w:val="clear" w:color="auto" w:fill="auto"/>
          </w:tcPr>
          <w:p w:rsidR="00BA3E40" w:rsidRPr="003C060C" w:rsidRDefault="00B54D08" w:rsidP="00335E75">
            <w:pPr>
              <w:pStyle w:val="EPLogo"/>
            </w:pPr>
            <w:r w:rsidRPr="003C06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C060C" w:rsidRDefault="00F24D40" w:rsidP="00F24D40">
      <w:pPr>
        <w:pStyle w:val="LineTop"/>
      </w:pPr>
    </w:p>
    <w:p w:rsidR="00F24D40" w:rsidRPr="003C060C" w:rsidRDefault="00B54D08" w:rsidP="00F24D40">
      <w:pPr>
        <w:pStyle w:val="EPBody"/>
      </w:pPr>
      <w:r w:rsidRPr="003C060C">
        <w:rPr>
          <w:rStyle w:val="HideTWBExt"/>
        </w:rPr>
        <w:t>&lt;</w:t>
      </w:r>
      <w:r w:rsidRPr="003C060C">
        <w:rPr>
          <w:rStyle w:val="HideTWBExt"/>
          <w:i w:val="0"/>
        </w:rPr>
        <w:t>Commission</w:t>
      </w:r>
      <w:r w:rsidRPr="003C060C">
        <w:rPr>
          <w:rStyle w:val="HideTWBExt"/>
        </w:rPr>
        <w:t>&gt;</w:t>
      </w:r>
      <w:r w:rsidRPr="003C060C">
        <w:rPr>
          <w:rStyle w:val="HideTWBInt"/>
          <w:color w:val="auto"/>
        </w:rPr>
        <w:t>{LIBE}</w:t>
      </w:r>
      <w:r w:rsidRPr="003C060C">
        <w:t>Výbor pro občanské svobody, spravedlnost a vnitřní věci</w:t>
      </w:r>
      <w:r w:rsidRPr="003C060C">
        <w:rPr>
          <w:rStyle w:val="HideTWBExt"/>
        </w:rPr>
        <w:t>&lt;/</w:t>
      </w:r>
      <w:r w:rsidRPr="003C060C">
        <w:rPr>
          <w:rStyle w:val="HideTWBExt"/>
          <w:i w:val="0"/>
        </w:rPr>
        <w:t>Commission</w:t>
      </w:r>
      <w:r w:rsidRPr="003C060C">
        <w:rPr>
          <w:rStyle w:val="HideTWBExt"/>
        </w:rPr>
        <w:t>&gt;</w:t>
      </w:r>
    </w:p>
    <w:p w:rsidR="00F24D40" w:rsidRPr="003C060C" w:rsidRDefault="00F24D40" w:rsidP="00F24D40">
      <w:pPr>
        <w:pStyle w:val="LineBottom"/>
      </w:pPr>
    </w:p>
    <w:p w:rsidR="00DB56E4" w:rsidRPr="003C060C" w:rsidRDefault="00B54D08" w:rsidP="00DB56E4">
      <w:pPr>
        <w:pStyle w:val="CoverReference"/>
      </w:pPr>
      <w:r w:rsidRPr="003C060C">
        <w:rPr>
          <w:rStyle w:val="HideTWBExt"/>
          <w:b w:val="0"/>
        </w:rPr>
        <w:t>&lt;RefProc&gt;</w:t>
      </w:r>
      <w:r w:rsidRPr="003C060C">
        <w:t>2023/0212</w:t>
      </w:r>
      <w:r w:rsidRPr="003C060C">
        <w:rPr>
          <w:rStyle w:val="HideTWBExt"/>
          <w:b w:val="0"/>
        </w:rPr>
        <w:t>&lt;/RefProc&gt;&lt;RefTypeProc&gt;</w:t>
      </w:r>
      <w:r w:rsidRPr="003C060C">
        <w:t>(COD)</w:t>
      </w:r>
      <w:r w:rsidRPr="003C060C">
        <w:rPr>
          <w:rStyle w:val="HideTWBExt"/>
          <w:b w:val="0"/>
        </w:rPr>
        <w:t>&lt;/RefTypeProc&gt;</w:t>
      </w:r>
    </w:p>
    <w:p w:rsidR="00DB56E4" w:rsidRPr="003C060C" w:rsidRDefault="00B54D08" w:rsidP="00DB56E4">
      <w:pPr>
        <w:pStyle w:val="CoverDate"/>
      </w:pPr>
      <w:r w:rsidRPr="003C060C">
        <w:rPr>
          <w:rStyle w:val="HideTWBExt"/>
        </w:rPr>
        <w:t>&lt;Date&gt;</w:t>
      </w:r>
      <w:r w:rsidRPr="003C060C">
        <w:rPr>
          <w:rStyle w:val="HideTWBInt"/>
          <w:color w:val="auto"/>
        </w:rPr>
        <w:t>{20/02/2024}</w:t>
      </w:r>
      <w:r w:rsidRPr="003C060C">
        <w:t>20.2.2024</w:t>
      </w:r>
      <w:r w:rsidRPr="003C060C">
        <w:rPr>
          <w:rStyle w:val="HideTWBExt"/>
        </w:rPr>
        <w:t>&lt;/Date&gt;</w:t>
      </w:r>
    </w:p>
    <w:p w:rsidR="00DB56E4" w:rsidRPr="003C060C" w:rsidRDefault="00B54D08" w:rsidP="00DB56E4">
      <w:pPr>
        <w:pStyle w:val="CoverDocType24a"/>
      </w:pPr>
      <w:r w:rsidRPr="003C060C">
        <w:rPr>
          <w:rStyle w:val="HideTWBExt"/>
          <w:b w:val="0"/>
        </w:rPr>
        <w:t>&lt;TitreType&gt;</w:t>
      </w:r>
      <w:r w:rsidRPr="003C060C">
        <w:t>STANOVISKO</w:t>
      </w:r>
      <w:r w:rsidRPr="003C060C">
        <w:rPr>
          <w:rStyle w:val="HideTWBExt"/>
          <w:b w:val="0"/>
        </w:rPr>
        <w:t>&lt;/TitreType&gt;</w:t>
      </w:r>
    </w:p>
    <w:p w:rsidR="00DB56E4" w:rsidRPr="003C060C" w:rsidRDefault="00B54D08" w:rsidP="00DB56E4">
      <w:pPr>
        <w:pStyle w:val="CoverNormal24a"/>
      </w:pPr>
      <w:r w:rsidRPr="003C060C">
        <w:rPr>
          <w:rStyle w:val="HideTWBExt"/>
        </w:rPr>
        <w:t>&lt;CommissionResp&gt;</w:t>
      </w:r>
      <w:r w:rsidRPr="003C060C">
        <w:t>Výboru pro občanské svobody, spravedlnost a vnitřní věci</w:t>
      </w:r>
      <w:r w:rsidRPr="003C060C">
        <w:rPr>
          <w:rStyle w:val="HideTWBExt"/>
        </w:rPr>
        <w:t>&lt;/CommissionResp&gt;</w:t>
      </w:r>
    </w:p>
    <w:p w:rsidR="00DB56E4" w:rsidRPr="003C060C" w:rsidRDefault="00B54D08" w:rsidP="00DB56E4">
      <w:pPr>
        <w:pStyle w:val="CoverNormal24a"/>
      </w:pPr>
      <w:r w:rsidRPr="003C060C">
        <w:rPr>
          <w:rStyle w:val="HideTWBExt"/>
        </w:rPr>
        <w:t>&lt;CommissionInt&gt;</w:t>
      </w:r>
      <w:r w:rsidRPr="003C060C">
        <w:t>pro Hospodářský a měnový výbor</w:t>
      </w:r>
      <w:r w:rsidRPr="003C060C">
        <w:rPr>
          <w:rStyle w:val="HideTWBExt"/>
        </w:rPr>
        <w:t>&lt;/CommissionInt&gt;</w:t>
      </w:r>
    </w:p>
    <w:p w:rsidR="00DB56E4" w:rsidRPr="003C060C" w:rsidRDefault="00B54D08" w:rsidP="00DB56E4">
      <w:pPr>
        <w:pStyle w:val="CoverNormal"/>
      </w:pPr>
      <w:r w:rsidRPr="003C060C">
        <w:rPr>
          <w:rStyle w:val="HideTWBExt"/>
        </w:rPr>
        <w:t>&lt;Titre&gt;</w:t>
      </w:r>
      <w:r w:rsidRPr="003C060C">
        <w:t>Návrh nařízení Evropského parlamentu a Rady o zavedení digitálního eura</w:t>
      </w:r>
      <w:r w:rsidRPr="003C060C">
        <w:rPr>
          <w:rStyle w:val="HideTWBExt"/>
        </w:rPr>
        <w:t>&lt;/Titre&gt;</w:t>
      </w:r>
    </w:p>
    <w:p w:rsidR="00DB56E4" w:rsidRPr="003C060C" w:rsidRDefault="00B54D08" w:rsidP="00DB56E4">
      <w:pPr>
        <w:pStyle w:val="CoverNormal24a"/>
      </w:pPr>
      <w:r w:rsidRPr="003C060C">
        <w:rPr>
          <w:rStyle w:val="HideTWBExt"/>
        </w:rPr>
        <w:t>&lt;DocRef&gt;</w:t>
      </w:r>
      <w:r w:rsidRPr="003C060C">
        <w:t>(COM(2023)0369 – C9</w:t>
      </w:r>
      <w:r w:rsidRPr="003C060C">
        <w:noBreakHyphen/>
        <w:t>0219/2023 – 2023/0212(COD))</w:t>
      </w:r>
      <w:r w:rsidRPr="003C060C">
        <w:rPr>
          <w:rStyle w:val="HideTWBExt"/>
        </w:rPr>
        <w:t>&lt;/DocRef&gt;</w:t>
      </w:r>
    </w:p>
    <w:p w:rsidR="00DB56E4" w:rsidRPr="003C060C" w:rsidRDefault="00B54D08" w:rsidP="00DB56E4">
      <w:pPr>
        <w:pStyle w:val="CoverNormal24a"/>
      </w:pPr>
      <w:r w:rsidRPr="003C060C">
        <w:t xml:space="preserve">Zpravodaj*: </w:t>
      </w:r>
      <w:r w:rsidRPr="003C060C">
        <w:rPr>
          <w:rStyle w:val="HideTWBExt"/>
        </w:rPr>
        <w:t>&lt;Depute&gt;</w:t>
      </w:r>
      <w:r w:rsidRPr="003C060C">
        <w:t>Emil Radev</w:t>
      </w:r>
      <w:r w:rsidRPr="003C060C">
        <w:rPr>
          <w:rStyle w:val="HideTWBExt"/>
        </w:rPr>
        <w:t>&lt;/Depute&gt;</w:t>
      </w:r>
    </w:p>
    <w:p w:rsidR="00487596" w:rsidRPr="003C060C" w:rsidRDefault="00B54D08" w:rsidP="00487596">
      <w:pPr>
        <w:pStyle w:val="CoverNormal"/>
      </w:pPr>
      <w:r w:rsidRPr="003C060C">
        <w:t>(*) Přidružený výbor – článek 57 jednacího řádu</w:t>
      </w:r>
    </w:p>
    <w:p w:rsidR="004D5797" w:rsidRPr="003C060C" w:rsidRDefault="004D5797" w:rsidP="00487596">
      <w:pPr>
        <w:pStyle w:val="CoverNormal"/>
      </w:pPr>
    </w:p>
    <w:p w:rsidR="00DB56E4" w:rsidRPr="003C060C" w:rsidRDefault="00B54D08" w:rsidP="0004474F">
      <w:pPr>
        <w:tabs>
          <w:tab w:val="center" w:pos="4677"/>
        </w:tabs>
      </w:pPr>
      <w:r w:rsidRPr="003C060C">
        <w:br w:type="page"/>
      </w:r>
      <w:r w:rsidRPr="003C060C">
        <w:lastRenderedPageBreak/>
        <w:t>PA_Legam</w:t>
      </w:r>
    </w:p>
    <w:p w:rsidR="00DB56E4" w:rsidRPr="003C060C" w:rsidRDefault="00B54D08" w:rsidP="00184F17">
      <w:pPr>
        <w:pStyle w:val="AmHeadingPA"/>
      </w:pPr>
      <w:r w:rsidRPr="003C060C">
        <w:br w:type="page"/>
        <w:t>POZMĚŇOVACÍ NÁVRH</w:t>
      </w:r>
    </w:p>
    <w:p w:rsidR="00DB56E4" w:rsidRPr="003C060C" w:rsidRDefault="00B54D08" w:rsidP="001E3AC4">
      <w:pPr>
        <w:pStyle w:val="Normal12a"/>
      </w:pPr>
      <w:bookmarkStart w:id="1" w:name="IntroA"/>
      <w:r w:rsidRPr="003C060C">
        <w:t>Výbor pro občanské svobody, spravedlnost a vnitřní věci vyzývá Hospodářský a měnový výbor jako příslušný výbor, aby zohlednil tyto pozměňovací návrhy:</w:t>
      </w:r>
    </w:p>
    <w:bookmarkEnd w:id="1"/>
    <w:p w:rsidR="00BD09C7" w:rsidRPr="003C060C" w:rsidRDefault="00BD09C7" w:rsidP="00BD09C7"/>
    <w:p w:rsidR="00BD09C7" w:rsidRPr="003C060C" w:rsidRDefault="00BD09C7" w:rsidP="00BD09C7"/>
    <w:p w:rsidR="00B67536" w:rsidRPr="003C060C" w:rsidRDefault="00B54D08" w:rsidP="00B67536">
      <w:pPr>
        <w:pStyle w:val="AMNumberTabs0"/>
        <w:keepNext/>
      </w:pPr>
      <w:r w:rsidRPr="003C060C">
        <w:rPr>
          <w:rStyle w:val="HideTWBExt"/>
          <w:b w:val="0"/>
        </w:rPr>
        <w:t>&lt;RepeatBlock-Amend&gt;&lt;Amend&gt;</w:t>
      </w:r>
      <w:r w:rsidRPr="003C060C">
        <w:t>Pozměňovací návrh</w:t>
      </w:r>
      <w:r w:rsidRPr="003C060C">
        <w:tab/>
      </w:r>
      <w:r w:rsidRPr="003C060C">
        <w:tab/>
      </w:r>
      <w:r w:rsidRPr="003C060C">
        <w:rPr>
          <w:rStyle w:val="HideTWBExt"/>
          <w:b w:val="0"/>
        </w:rPr>
        <w:t>&lt;NumAm&gt;</w:t>
      </w:r>
      <w:r w:rsidRPr="003C060C">
        <w:t>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6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(6a)</w:t>
            </w:r>
            <w:r w:rsidRPr="003C060C">
              <w:rPr>
                <w:b/>
                <w:i/>
              </w:rPr>
              <w:tab/>
              <w:t>Aby se zdůraznilo, že je nutné zachovat možnost používání hotovosti ve společnosti, digitální euro by v případě transakcí online i offline mělo vždy doplňovat fyzickou hotovost, a nikoli ji nahrazovat. Občané a podniky by měli mít vždy právo používat jednu nebo druhou formu zákonného platidla nebo jejich kombinaci.</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13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(13)</w:t>
            </w:r>
            <w:r w:rsidRPr="003C060C">
              <w:tab/>
              <w:t>Členské státy, jejich příslušné orgány a poskytovatelé platebních služeb by měli zavést informační a vzdělávací opatření s cílem zajistit potřebnou úroveň povědomí a znalostí o různých aspektech digitálního eura.</w:t>
            </w:r>
          </w:p>
        </w:tc>
        <w:tc>
          <w:tcPr>
            <w:tcW w:w="4876" w:type="dxa"/>
            <w:hideMark/>
          </w:tcPr>
          <w:p w:rsidR="00B67536" w:rsidRPr="003C060C" w:rsidRDefault="00B54D08">
            <w:pPr>
              <w:pStyle w:val="Normal6"/>
              <w:rPr>
                <w:szCs w:val="24"/>
              </w:rPr>
            </w:pPr>
            <w:r w:rsidRPr="003C060C">
              <w:t>(13)</w:t>
            </w:r>
            <w:r w:rsidRPr="003C060C">
              <w:tab/>
              <w:t xml:space="preserve">Členské státy, </w:t>
            </w:r>
            <w:r w:rsidRPr="003C060C">
              <w:rPr>
                <w:b/>
                <w:bCs/>
                <w:i/>
                <w:iCs/>
              </w:rPr>
              <w:t>jejichž měnou je euro</w:t>
            </w:r>
            <w:r w:rsidRPr="003C060C">
              <w:t xml:space="preserve">, jejich příslušné orgány a poskytovatelé platebních služeb by měli zavést informační a vzdělávací opatření s cílem zajistit potřebnou úroveň povědomí a znalostí o různých aspektech digitálního eura, </w:t>
            </w:r>
            <w:r w:rsidRPr="003C060C">
              <w:rPr>
                <w:b/>
                <w:bCs/>
                <w:i/>
                <w:iCs/>
              </w:rPr>
              <w:t>včetně přínosů jeho používání i jeho charakteristik týkajících se ochrany a výkonu základních práv a svobod</w:t>
            </w:r>
            <w:r w:rsidRPr="003C060C">
              <w:t xml:space="preserve">. </w:t>
            </w:r>
            <w:r w:rsidRPr="003C060C">
              <w:rPr>
                <w:b/>
                <w:i/>
              </w:rPr>
              <w:t>Členské státy, jejichž měnou není euro, mohou tato informační a vzdělávací opatření svým občanům rovněž poskytovat, a to případně ve spolupráci s Evropskou centrální bankou. Tato informační a vzdělávací opatření by měla být k dispozici bezplatně.</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18</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(18)</w:t>
            </w:r>
            <w:r w:rsidRPr="003C060C">
              <w:tab/>
              <w:t xml:space="preserve">Vzhledem k tomu, že digitální euro vyžaduje schopnost přijímat digitální platební prostředky, uložení povinnosti všem příjemcům povinně přijímat platby v digitálním euru by mohlo být nepřiměřené. Za tímto účelem by měly být stanoveny výjimky z povinného přijímání plateb v digitálních eurech pro fyzické osoby, které jednají v průběhu výlučně osobních či domácích činností. Výjimky z povinného přijímání by měly být stanoveny také pro mikropodniky, které jsou v eurozóně obzvláště důležité pro rozvoj podnikání, tvorbu pracovních míst a inovace a které hrají zásadní roli při utváření hospodářství. Politiky a opatření Unie by pro podniky této velikosti měly snížit regulační zátěž. Výjimky z povinného přijímání by měly být stanoveny také pro neziskové právnické osoby, které podporují veřejný zájem a slouží veřejnému blahu při plnění různých cílů společenského zájmu, včetně spravedlnosti, vzdělávání, zdraví, ochrany životního prostředí a lidských práv. Pro mikropodniky a neziskové právnické osoby by pořízení potřebné infrastruktury a náklady na přijímání byly neúměrné. Měly by proto být osvobozeny od povinnosti přijímat platby v digitálním euru. V těchto případech by měly být pro vypořádání peněžitých dluhů i nadále k dispozici jiné prostředky. Na mikropodniky a neziskové právnické osoby, které přijímají od plátců </w:t>
            </w:r>
            <w:r w:rsidRPr="003C060C">
              <w:rPr>
                <w:b/>
                <w:bCs/>
                <w:i/>
                <w:iCs/>
              </w:rPr>
              <w:t>srovnatelné</w:t>
            </w:r>
            <w:r w:rsidRPr="003C060C">
              <w:t xml:space="preserve"> digitální platební prostředky, by se však povinné přijímání plateb v digitálním euru mělo vztahovat. </w:t>
            </w:r>
            <w:r w:rsidRPr="003C060C">
              <w:rPr>
                <w:b/>
                <w:i/>
              </w:rPr>
              <w:t>Mezi srovnatelné digitální platební prostředky by měly patřit platby debetní kartou nebo okamžité platby či jiná budoucí technologická řešení používaná v místě interakce, ale neměly by zahrnovat úhrady a inkasa, které nejsou iniciovány v bodě interakce.</w:t>
            </w:r>
            <w:r w:rsidRPr="003C060C">
              <w:t xml:space="preserve"> Na mikropodniky a neziskové právnické osoby, které při úhradě dluhu nepřijímají od svých plátců </w:t>
            </w:r>
            <w:r w:rsidRPr="003C060C">
              <w:rPr>
                <w:b/>
                <w:bCs/>
                <w:i/>
                <w:iCs/>
              </w:rPr>
              <w:t>srovnatelné</w:t>
            </w:r>
            <w:r w:rsidRPr="003C060C">
              <w:t xml:space="preserve"> digitální platební prostředky (např. přijímají pouze eurobankovky a euromince), </w:t>
            </w:r>
            <w:r w:rsidRPr="003C060C">
              <w:rPr>
                <w:b/>
                <w:bCs/>
                <w:i/>
                <w:iCs/>
              </w:rPr>
              <w:t>ale mohou při úhradě dluhu vůči svým příjemcům používat digitální platby (např. platí prostřednictvím úhrad)</w:t>
            </w:r>
            <w:r w:rsidRPr="003C060C">
              <w:t>, by se povinné přijímání plateb v digitálním euru vztahovat nemělo. Příjemce může odmítnout platbu v digitálních eurech, pokud je odmítnutí učiněno v dobré víře a pokud příjemce toto odmítnutí odůvodní legitimními a dočasnými důvody, které jsou přiměřené konkrétním okolnostem, jež nemůže ovlivnit a které vedou k nemožnosti přijmout platby v digitálních eurech v příslušném okamžiku transakce, například při výpadku proudu v případě online platebních transakcí v digitálních eurech nebo při vadném zařízení v případě offline nebo online platebních transakcí v digitálních eurech.</w:t>
            </w:r>
          </w:p>
        </w:tc>
        <w:tc>
          <w:tcPr>
            <w:tcW w:w="4876" w:type="dxa"/>
            <w:hideMark/>
          </w:tcPr>
          <w:p w:rsidR="00B67536" w:rsidRPr="003C060C" w:rsidRDefault="00B54D08">
            <w:pPr>
              <w:pStyle w:val="Normal6"/>
              <w:rPr>
                <w:szCs w:val="24"/>
              </w:rPr>
            </w:pPr>
            <w:r w:rsidRPr="003C060C">
              <w:t>(18)</w:t>
            </w:r>
            <w:r w:rsidRPr="003C060C">
              <w:tab/>
              <w:t>Vzhledem k tomu, že digitální euro vyžaduje schopnost přijímat digitální platební prostředky, uložení povinnosti všem příjemcům povinně přijímat platby v digitálním euru by mohlo být nepřiměřené. Za tímto účelem by měly být stanoveny výjimky z povinného přijímání plateb v digitálních eurech pro fyzické osoby, které jednají v průběhu výlučně osobních či domácích činností</w:t>
            </w:r>
            <w:r w:rsidRPr="003C060C">
              <w:rPr>
                <w:b/>
                <w:bCs/>
                <w:i/>
                <w:iCs/>
              </w:rPr>
              <w:t>, nebo pro fyzické osoby pobírající platy, důchody nebo státní podporu</w:t>
            </w:r>
            <w:r w:rsidRPr="003C060C">
              <w:t>. Výjimky z povinného přijímání by měly být stanoveny také pro mikropodniky, které jsou v eurozóně obzvláště důležité pro rozvoj podnikání, tvorbu pracovních míst a inovace a které hrají zásadní roli při utváření hospodářství. Politiky a opatření Unie by pro podniky této velikosti měly snížit regulační zátěž. Výjimky z povinného přijímání by měly být stanoveny také pro neziskové právnické osoby, které podporují veřejný zájem a slouží veřejnému blahu při plnění různých cílů společenského zájmu, včetně spravedlnosti, vzdělávání, zdraví, ochrany životního prostředí a lidských práv. Pro mikropodniky a neziskové právnické osoby by pořízení potřebné infrastruktury a náklady na přijímání byly neúměrné. Měly by proto být osvobozeny od povinnosti přijímat platby v digitálním euru. V těchto případech by měly být pro vypořádání peněžitých dluhů i nadále k dispozici jiné prostředky. Na mikropodniky a neziskové právnické osoby, které přijímají od plátců digitální platební prostředky, by se však povinné přijímání plateb v digitálním euru mělo vztahovat. Na mikropodniky a neziskové právnické osoby, které při úhradě dluhu nepřijímají od svých plátců digitální platební prostředky (např. přijímají pouze eurobankovky a euromince), by se povinné přijímání plateb v digitálním euru vztahovat nemělo. Příjemce může odmítnout platbu v digitálních eurech, pokud je odmítnutí učiněno v dobré víře a pokud příjemce toto odmítnutí odůvodní legitimními a dočasnými důvody, které jsou přiměřené konkrétním okolnostem, jež nemůže ovlivnit a které vedou k nemožnosti přijmout platby v digitálních eurech v příslušném okamžiku transakce, například při výpadku proudu v případě online platebních transakcí v digitálních eurech nebo při vadném zařízení v případě offline nebo online platebních transakcí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19</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(19)</w:t>
            </w:r>
            <w:r w:rsidRPr="003C060C">
              <w:tab/>
              <w:t xml:space="preserve">Aby bylo zajištěno, že později mohou být zavedeny i další výjimky z povinného přijímání digitálního eura, bude-li to nutné, například z důvodu technických specifik, které se mohou objevit v budoucnu, měla by být na Komisi přenesena pravomoc přijímat akty v souladu s článkem 290 Smlouvy o fungování Evropské unie, pokud jde o zavádění dalších výjimek s povahou měnových předpisů z povinnosti přijímat platební transakce v digitálních eurech, které by se uplatňovaly harmonizovaným způsobem v celé eurozóně, s přihlédnutím k případným návrhům členských států v tomto smyslu. Komise může tyto výjimky přijmout, pouze pokud jsou nezbytné, odůvodněné obecným zájmem, přiměřené </w:t>
            </w:r>
            <w:r w:rsidRPr="003C060C">
              <w:rPr>
                <w:b/>
                <w:bCs/>
                <w:i/>
                <w:iCs/>
              </w:rPr>
              <w:t>a</w:t>
            </w:r>
            <w:r w:rsidRPr="003C060C">
              <w:t xml:space="preserve"> zachovávají účinnost postavení digitálního eura jako zákonného platidla. Pravomocí Komise přijímat akty v přenesené pravomoci za účelem zavedení dalších výjimek z povinnosti přijímat platební transakce v digitálních eurech by neměla být dotčena možnost členských států přijmout v souladu s jejich vlastními pravomocemi vnitrostátní právní předpisy v oblastech sdílené pravomoci za účelem zavedení výjimek z povinného přijímání, které z postavení zákonného platidla vyplývá, a to v souladu s podmínkami stanovenými Soudním dvorem Evropské unie v rozsudku ve spojených věcech C-422/19 a C-423/19.</w:t>
            </w:r>
          </w:p>
        </w:tc>
        <w:tc>
          <w:tcPr>
            <w:tcW w:w="4876" w:type="dxa"/>
            <w:hideMark/>
          </w:tcPr>
          <w:p w:rsidR="00B67536" w:rsidRPr="003C060C" w:rsidRDefault="00B54D08">
            <w:pPr>
              <w:pStyle w:val="Normal6"/>
              <w:rPr>
                <w:szCs w:val="24"/>
              </w:rPr>
            </w:pPr>
            <w:r w:rsidRPr="003C060C">
              <w:t>(19)</w:t>
            </w:r>
            <w:r w:rsidRPr="003C060C">
              <w:tab/>
              <w:t xml:space="preserve">Aby bylo zajištěno, že později mohou být zavedeny i další výjimky z povinného přijímání digitálního eura, bude-li to nutné, například z důvodu technických specifik, které se mohou objevit v budoucnu, měla by být na Komisi přenesena pravomoc přijímat akty v souladu s článkem 290 Smlouvy o fungování Evropské unie, pokud jde o zavádění dalších výjimek s povahou měnových předpisů z povinnosti přijímat platební transakce v digitálních eurech, které by se uplatňovaly harmonizovaným způsobem v celé eurozóně, s přihlédnutím k případným návrhům </w:t>
            </w:r>
            <w:r w:rsidRPr="003C060C">
              <w:rPr>
                <w:b/>
                <w:bCs/>
                <w:i/>
                <w:iCs/>
              </w:rPr>
              <w:t>Evropského parlamentu a </w:t>
            </w:r>
            <w:r w:rsidRPr="003C060C">
              <w:t>členských států v tomto smyslu. Komise může tyto výjimky přijmout, pouze pokud jsou nezbytné, odůvodněné obecným zájmem, přiměřené</w:t>
            </w:r>
            <w:r w:rsidRPr="003C060C">
              <w:rPr>
                <w:b/>
                <w:bCs/>
                <w:i/>
                <w:iCs/>
              </w:rPr>
              <w:t>,</w:t>
            </w:r>
            <w:r w:rsidRPr="003C060C">
              <w:t xml:space="preserve"> zachovávají účinnost postavení digitálního eura jako zákonného platidla </w:t>
            </w:r>
            <w:r w:rsidRPr="003C060C">
              <w:rPr>
                <w:b/>
                <w:bCs/>
                <w:i/>
                <w:iCs/>
              </w:rPr>
              <w:t>a pokud jsou k dispozici jiné prostředky</w:t>
            </w:r>
            <w:r w:rsidRPr="003C060C">
              <w:t xml:space="preserve"> </w:t>
            </w:r>
            <w:r w:rsidRPr="003C060C">
              <w:rPr>
                <w:b/>
                <w:bCs/>
                <w:i/>
                <w:iCs/>
              </w:rPr>
              <w:t>pro vyrovnání peněžních závazků</w:t>
            </w:r>
            <w:r w:rsidRPr="003C060C">
              <w:t>. Pravomocí Komise přijímat akty v přenesené pravomoci za účelem zavedení dalších výjimek z povinnosti přijímat platební transakce v digitálních eurech by neměla být dotčena možnost členských států přijmout v souladu s jejich vlastními pravomocemi vnitrostátní právní předpisy v oblastech sdílené pravomoci za účelem zavedení výjimek z povinného přijímání, které z postavení zákonného platidla vyplývá, a to v souladu s podmínkami stanovenými Soudním dvorem Evropské unie v rozsudku ve spojených věcech C-422/19 a C-423/19.</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21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(21)</w:t>
            </w:r>
            <w:r w:rsidRPr="003C060C">
              <w:tab/>
              <w:t>Hlavním cílem zavedení digitálního eura je jeho použití jako formy jednotné měny v postavení zákonného platidla v eurozóně. Za tímto účelem a v souladu s Dohodou o Evropském hospodářském prostoru mohou poskytovatelé platebních služeb usazení v Evropském hospodářském prostoru poskytovat platební služby v digitálních eurech uživatelům, kteří mají bydliště nebo jsou usazeni v eurozóně, včetně spotřebitelů bez stálé adresy, žadatelů o azyl a spotřebitelů, kterým nebylo uděleno povolení k pobytu, ale jejichž vyhoštění není možné z právních nebo faktických důvodů. Fyzické a právnické osoby, které již přijímaly platební služby v digitálních eurech, protože si zřídily platební účet v digitálních eurech v době, kdy měly bydliště nebo byly usazeny v členském státě, jehož měnou je euro, ale v tomto členském státě již bydliště nemají nebo tam nejsou usazeny, mohou nadále přijímat platební služby v digitálních eurech od poskytovatelů platebních služeb usazených v Evropském hospodářském prostoru v souladu s Dohodou o Evropském hospodářském prostoru, s výhradou možných časových omezení ve vztahu ke statusu bydliště nebo usazení těchto osob, jež může stanovit Evropská centrální banka.</w:t>
            </w:r>
          </w:p>
        </w:tc>
        <w:tc>
          <w:tcPr>
            <w:tcW w:w="4876" w:type="dxa"/>
            <w:hideMark/>
          </w:tcPr>
          <w:p w:rsidR="00B67536" w:rsidRPr="003C060C" w:rsidRDefault="00B54D08">
            <w:pPr>
              <w:pStyle w:val="Normal6"/>
              <w:rPr>
                <w:szCs w:val="24"/>
              </w:rPr>
            </w:pPr>
            <w:r w:rsidRPr="003C060C">
              <w:t>(21)</w:t>
            </w:r>
            <w:r w:rsidRPr="003C060C">
              <w:tab/>
              <w:t xml:space="preserve">Hlavním cílem zavedení digitálního eura je jeho použití jako </w:t>
            </w:r>
            <w:r w:rsidRPr="003C060C">
              <w:rPr>
                <w:b/>
                <w:bCs/>
                <w:i/>
                <w:iCs/>
              </w:rPr>
              <w:t>dodatečné</w:t>
            </w:r>
            <w:r w:rsidRPr="003C060C">
              <w:t xml:space="preserve"> formy jednotné měny v postavení zákonného platidla v eurozóně. Za tímto účelem a v souladu s Dohodou o Evropském hospodářském prostoru mohou poskytovatelé platebních služeb usazení v Evropském hospodářském prostoru poskytovat platební služby v digitálních eurech uživatelům, kteří mají bydliště nebo jsou usazeni v eurozóně, včetně spotřebitelů bez stálé adresy, žadatelů o azyl a spotřebitelů, kterým nebylo uděleno povolení k pobytu, ale jejichž vyhoštění není možné z právních nebo faktických důvodů. Fyzické a právnické osoby, které již přijímaly platební služby v digitálních eurech, protože si zřídily platební účet v digitálních eurech v době, kdy měly bydliště nebo byly usazeny v členském státě, jehož měnou je euro, ale v tomto členském státě již bydliště nemají nebo tam nejsou usazeny, mohou nadále přijímat platební služby v digitálních eurech od poskytovatelů platebních služeb usazených v Evropském hospodářském prostoru v souladu s Dohodou o Evropském hospodářském prostoru, s výhradou možných časových omezení ve vztahu ke statusu bydliště nebo usazení těchto osob, jež může stanovit Evropská centrální banka. </w:t>
            </w:r>
            <w:r w:rsidRPr="003C060C">
              <w:rPr>
                <w:b/>
                <w:i/>
              </w:rPr>
              <w:t>Pro tyto účely Orgán pro boj proti praní peněz a Evropský orgán pro bankovnictví společně vydají pokyny, které upřesní vztah mezi požadavky na boj proti praní peněz a financování terorismu a přístupem k základním platebním službám v digitálních eurech. Z těchto pokynů nesmí vyplývat to, že by poskytovatelé platebních služeb registrovali status potenciálních uživatelů digitálního eura, a to i jako žadatele o azyl nebo osoby požívající mezinárodní ochrany nebo jako osoby bez trvalé adresy nebo jako státního příslušníka třetí země, kterému nebylo uděleno povolení k pobytu.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31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(31)</w:t>
            </w:r>
            <w:r w:rsidRPr="003C060C">
              <w:tab/>
              <w:t>Evropská centrální banka by na základě svých pravomocí podle Smluv a v souladu s ustanoveními tohoto nařízení měla mít možnost stanovit limity pro používání digitálního eura jako uchovatele hodnoty. Účinné používání digitálního eura jako zákonného platidla by mělo být zachováno prostřednictvím omezení poplatků mezi poskytovateli platebních služeb nebo poplatků obchodníků.</w:t>
            </w:r>
          </w:p>
        </w:tc>
        <w:tc>
          <w:tcPr>
            <w:tcW w:w="4876" w:type="dxa"/>
            <w:hideMark/>
          </w:tcPr>
          <w:p w:rsidR="00B67536" w:rsidRPr="003C060C" w:rsidRDefault="00B54D08">
            <w:pPr>
              <w:pStyle w:val="Normal6"/>
              <w:rPr>
                <w:szCs w:val="24"/>
              </w:rPr>
            </w:pPr>
            <w:r w:rsidRPr="003C060C">
              <w:t>(31)</w:t>
            </w:r>
            <w:r w:rsidRPr="003C060C">
              <w:tab/>
              <w:t xml:space="preserve">Evropská centrální banka by na základě svých pravomocí podle Smluv a v souladu s ustanoveními tohoto nařízení měla mít možnost stanovit limity pro používání digitálního eura jako uchovatele hodnoty. </w:t>
            </w:r>
            <w:r w:rsidRPr="003C060C">
              <w:rPr>
                <w:b/>
                <w:i/>
              </w:rPr>
              <w:t>Tyto limity by měly zohledňovat dopad na finanční stabilitu EU a bankovní sektor i dopad na zájmy spotřebitelů.</w:t>
            </w:r>
            <w:r w:rsidRPr="003C060C">
              <w:t xml:space="preserve"> Účinné používání digitálního eura jako zákonného platidla by mělo být zachováno prostřednictvím omezení poplatků mezi poskytovateli platebních služeb nebo poplatků obchodníků.</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32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(32)</w:t>
            </w:r>
            <w:r w:rsidRPr="003C060C">
              <w:tab/>
              <w:t>Neomezené používání digitálního eura jako uchovatele hodnoty by mohlo ohrozit finanční stabilitu v eurozóně, což by mělo pro ekonomiku nepříznivý dopad, pokud jde o poskytování úvěrů ze strany úvěrových institucí. Z toho důvodu je možné, že bude třeba, aby Evropská centrální banka v zájmu zajištění stability finančního systému a v souladu se zásadou proporcionality zavedla omezení používání digitálního eura jako uchovatele hodnoty. K politickým nástrojům, které by mohly být za tímto účelem použity, patří mimo jiné kvantitativní omezení pro individuální držby digitálního eura a omezení pro převod jiných kategorií peněžních prostředků na digitální euro ve stanoveném časovém rámci. Při rozhodování o parametrech a použití nástrojů uvedených v odstavci 1 by Evropská centrální banka měla respektovat zásadu otevřeného tržního hospodářství s volnou hospodářskou soutěží v souladu s čl. 127 odst. 1 Smlouvy o fungování EU.</w:t>
            </w:r>
          </w:p>
        </w:tc>
        <w:tc>
          <w:tcPr>
            <w:tcW w:w="4876" w:type="dxa"/>
            <w:hideMark/>
          </w:tcPr>
          <w:p w:rsidR="00B67536" w:rsidRPr="003C060C" w:rsidRDefault="00B54D08">
            <w:pPr>
              <w:pStyle w:val="Normal6"/>
              <w:rPr>
                <w:szCs w:val="24"/>
              </w:rPr>
            </w:pPr>
            <w:r w:rsidRPr="003C060C">
              <w:t>(32)</w:t>
            </w:r>
            <w:r w:rsidRPr="003C060C">
              <w:tab/>
              <w:t xml:space="preserve">Neomezené používání digitálního eura jako uchovatele hodnoty by mohlo ohrozit finanční stabilitu v eurozóně, což by mělo pro ekonomiku nepříznivý dopad, pokud jde o poskytování úvěrů ze strany úvěrových institucí. Z toho důvodu je možné, že bude třeba, aby Evropská centrální banka v zájmu zajištění stability finančního systému a v souladu se zásadou proporcionality zavedla omezení používání digitálního eura jako uchovatele hodnoty. K politickým nástrojům, které by mohly být za tímto účelem použity, patří mimo jiné kvantitativní omezení pro individuální držby digitálního eura a omezení pro převod jiných kategorií peněžních prostředků na digitální euro ve stanoveném časovém rámci. Při rozhodování o parametrech a použití nástrojů uvedených v odstavci 1 by Evropská centrální banka měla respektovat zásadu otevřeného tržního hospodářství s volnou hospodářskou soutěží v souladu s čl. 127 odst. 1 Smlouvy o fungování EU. </w:t>
            </w:r>
            <w:r w:rsidRPr="003C060C">
              <w:rPr>
                <w:b/>
                <w:i/>
              </w:rPr>
              <w:t>Přeměna digitálního eura na jiné formy eura, včetně hotovosti, by měla být vždy neomezená.</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32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(32a)</w:t>
            </w:r>
            <w:r w:rsidRPr="003C060C">
              <w:rPr>
                <w:b/>
                <w:i/>
              </w:rPr>
              <w:tab/>
              <w:t>S cílem co nejlépe ochránit soukromí uživatelů offline digitálního eura může Evropská centrální banka zvážit zavedení limity držby na platebních účtech v digitálních eurech pro držby offline a online, které jsou navzájem nezávislé. Oba limity by se mohly vypočítávat individuálně na základě specifik každé formy digitálního eura. Uživatelé digitálního eura by tak nebyli uvedeni do situace, kdy by jim snížení limitu jejich držby pro offline digitální euro umožnilo držet více online digitálních eur a naopak. Taková situace ohrožuje ochranu soukromí offline digitálního eura, neboť změna limitu jeho držby na straně uživatele by odhalila částku, kterou skutečně drží nebo chce držet. Zároveň narušuje podobnost offline digitálního eura a hotovosti, pro kterou neexistuje žádný limit držby a částka hotovosti, kterou drží uživatel, není závislá na částce na bankovním účtu.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34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(34a)</w:t>
            </w:r>
            <w:r w:rsidRPr="003C060C">
              <w:rPr>
                <w:b/>
                <w:i/>
              </w:rPr>
              <w:tab/>
              <w:t>Je zásadní, aby zavedení offline digitálního eura neposkytovalo základ pro sledování nebo kontrolu toho, jak je vynakládáno ve srovnání s hotovostí.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40</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(40)</w:t>
            </w:r>
            <w:r w:rsidRPr="003C060C">
              <w:tab/>
              <w:t xml:space="preserve">S cílem zajistit všeobecný přístup k digitálnímu euru a jeho používání v souladu s jeho postavením zákonného platidla a s cílem podpořit jeho úlohu měnové kotvy v eurozóně by za základní platební služby v digitálních eurech neměly být účtovány poplatky fyzickým osobám, které mají bydliště v eurozóně, fyzickým osobám, které si otevřely účet v digitálních eurech v době, kdy měly bydliště v eurozóně, ale již v ní bydliště nemají, ani návštěvníkům. Znamená to, že tito uživatelé digitálního eura by neměli nést žádné přímé poplatky za svůj základní přístup k digitálnímu euru a jeho základní používání, včetně toho, že by jim nebyly účtovány transakční poplatky ani žádné jiné poplatky, které jsou přímo spojeny s poskytováním služeb souvisejících se základním používáním digitálního eura. Od uživatelů digitálního eura by se nemělo vyžadovat, aby měli nebo si zřídili platební účet v nedigitálních eurech ani aby přijímali jiné nedigitální produkty eura. Pokud uživatel digitálního eura souhlasí s balíčkem služeb, který obsahuje služby v nedigitálních eurech a základní platební služby v digitálních eurech, </w:t>
            </w:r>
            <w:r w:rsidRPr="003C060C">
              <w:rPr>
                <w:b/>
                <w:bCs/>
                <w:i/>
                <w:iCs/>
              </w:rPr>
              <w:t>měl</w:t>
            </w:r>
            <w:r w:rsidRPr="003C060C">
              <w:t xml:space="preserve"> by mít</w:t>
            </w:r>
            <w:r w:rsidRPr="003C060C">
              <w:rPr>
                <w:b/>
                <w:bCs/>
                <w:i/>
                <w:iCs/>
              </w:rPr>
              <w:t xml:space="preserve"> poskytovatel platebních služeb možnost účtovat za tento balíček</w:t>
            </w:r>
            <w:r w:rsidRPr="003C060C">
              <w:t xml:space="preserve"> služeb </w:t>
            </w:r>
            <w:r w:rsidRPr="003C060C">
              <w:rPr>
                <w:b/>
                <w:bCs/>
                <w:i/>
                <w:iCs/>
              </w:rPr>
              <w:t>poplatek podle svého uvážení</w:t>
            </w:r>
            <w:r w:rsidRPr="003C060C">
              <w:t>.</w:t>
            </w:r>
            <w:r w:rsidRPr="003C060C">
              <w:rPr>
                <w:b/>
                <w:i/>
              </w:rPr>
              <w:t xml:space="preserve"> </w:t>
            </w:r>
            <w:r w:rsidRPr="003C060C">
              <w:rPr>
                <w:b/>
                <w:bCs/>
                <w:i/>
                <w:iCs/>
              </w:rPr>
              <w:t>V tomto případě</w:t>
            </w:r>
            <w:r w:rsidRPr="003C060C">
              <w:t xml:space="preserve"> by se neměly rozlišovat poplatky za služby v nedigitálních eurech, pokud jsou nabízeny samostatně nebo jako součást balíčku zahrnujícího základní platební služby v digitálních eurech. Pokud uživatel digitálního eura požádá u poskytovatele platebních služeb o poskytnutí pouze základních platebních služeb v digitálních eurech, neměly by být tyto služby zpoplatněny, včetně vodopádové funkce a reverzní vodopádové funkce, pokud má uživatel digitálního eura zároveň platební účet v nedigitálních eurech u jiného poskytovatele platebních služeb. Poskytovatelé platebních služeb by měli mít možnost účtovat uživatelům digitálního eura poplatky za dodatečné platební služby v digitálních eurech nad rámec základních platebních služeb v digitálních eurech.</w:t>
            </w:r>
          </w:p>
        </w:tc>
        <w:tc>
          <w:tcPr>
            <w:tcW w:w="4876" w:type="dxa"/>
            <w:hideMark/>
          </w:tcPr>
          <w:p w:rsidR="00B67536" w:rsidRPr="003C060C" w:rsidRDefault="00B54D08">
            <w:pPr>
              <w:pStyle w:val="Normal6"/>
              <w:rPr>
                <w:szCs w:val="24"/>
              </w:rPr>
            </w:pPr>
            <w:r w:rsidRPr="003C060C">
              <w:t>(40)</w:t>
            </w:r>
            <w:r w:rsidRPr="003C060C">
              <w:tab/>
              <w:t xml:space="preserve">S cílem zajistit všeobecný přístup k digitálnímu euru a jeho používání v souladu s jeho postavením zákonného platidla a s cílem podpořit jeho úlohu měnové kotvy v eurozóně by za základní platební služby v digitálních eurech neměly být účtovány poplatky fyzickým osobám, které mají bydliště v eurozóně, fyzickým osobám, které si otevřely účet v digitálních eurech v době, kdy měly bydliště v eurozóně, ale již v ní bydliště nemají, ani návštěvníkům. Znamená to, že tito uživatelé digitálního eura by neměli nést žádné přímé poplatky za svůj základní přístup k digitálnímu euru a jeho základní používání, včetně toho, že by jim nebyly účtovány transakční poplatky ani žádné jiné poplatky, které jsou přímo spojeny s poskytováním služeb souvisejících se základním používáním digitálního eura. Od uživatelů digitálního eura by se nemělo vyžadovat, aby měli nebo si zřídili platební účet v nedigitálních eurech ani aby přijímali jiné nedigitální produkty eura. Pokud uživatel digitálního eura souhlasí s balíčkem služeb, který obsahuje služby v nedigitálních eurech a základní platební služby v digitálních eurech, </w:t>
            </w:r>
            <w:r w:rsidRPr="003C060C">
              <w:rPr>
                <w:b/>
                <w:bCs/>
                <w:i/>
                <w:iCs/>
              </w:rPr>
              <w:t>nemělo</w:t>
            </w:r>
            <w:r w:rsidRPr="003C060C">
              <w:t xml:space="preserve"> by mít </w:t>
            </w:r>
            <w:r w:rsidRPr="003C060C">
              <w:rPr>
                <w:b/>
                <w:bCs/>
                <w:i/>
                <w:iCs/>
              </w:rPr>
              <w:t>zahrnutí těchto služeb žádný vliv na cenu balíčku</w:t>
            </w:r>
            <w:r w:rsidRPr="003C060C">
              <w:t xml:space="preserve"> služeb.</w:t>
            </w:r>
            <w:r w:rsidRPr="003C060C">
              <w:rPr>
                <w:b/>
                <w:i/>
              </w:rPr>
              <w:t xml:space="preserve"> </w:t>
            </w:r>
            <w:r w:rsidRPr="003C060C">
              <w:rPr>
                <w:b/>
                <w:bCs/>
                <w:i/>
                <w:iCs/>
              </w:rPr>
              <w:t>Jinými slovy</w:t>
            </w:r>
            <w:r w:rsidRPr="003C060C">
              <w:t xml:space="preserve"> by se neměly rozlišovat poplatky za služby v nedigitálních eurech, pokud jsou nabízeny samostatně nebo jako součást balíčku zahrnujícího základní platební služby v digitálních eurech. Pokud uživatel digitálního eura požádá u poskytovatele platebních služeb o poskytnutí pouze základních platebních služeb v digitálních eurech, neměly by být tyto služby zpoplatněny, včetně vodopádové funkce a reverzní vodopádové funkce, pokud má uživatel digitálního eura zároveň platební účet v nedigitálních eurech u jiného poskytovatele platebních služeb. Poskytovatelé platebních služeb by měli mít možnost účtovat uživatelům digitálního eura poplatky za dodatečné platební služby v digitálních eurech nad rámec základních platebních služeb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41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(41)</w:t>
            </w:r>
            <w:r w:rsidRPr="003C060C">
              <w:tab/>
              <w:t>Evropská centrální banka ani Eurosystém neúčtují poskytovatelům platebních služeb náklady, které nesou v souvislosti s podporou poskytování služeb v digitálních eurech uživatelům digitálního eura.</w:t>
            </w:r>
          </w:p>
        </w:tc>
        <w:tc>
          <w:tcPr>
            <w:tcW w:w="4876" w:type="dxa"/>
            <w:hideMark/>
          </w:tcPr>
          <w:p w:rsidR="00B67536" w:rsidRPr="003C060C" w:rsidRDefault="00B54D08">
            <w:pPr>
              <w:pStyle w:val="Normal6"/>
              <w:rPr>
                <w:szCs w:val="24"/>
              </w:rPr>
            </w:pPr>
            <w:r w:rsidRPr="003C060C">
              <w:t>(41)</w:t>
            </w:r>
            <w:r w:rsidRPr="003C060C">
              <w:tab/>
              <w:t xml:space="preserve">Evropská centrální banka ani Eurosystém neúčtují poskytovatelům platebních služeb náklady, které nesou v souvislosti s podporou poskytování služeb v digitálních eurech uživatelům digitálního eura. </w:t>
            </w:r>
            <w:r w:rsidRPr="003C060C">
              <w:rPr>
                <w:b/>
                <w:i/>
              </w:rPr>
              <w:t>Obdobně by poskytovatelé platebních služeb neměli uživatelům účtovat poplatky za náklady, které nesou na podporu využívání základních služeb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47</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(47)</w:t>
            </w:r>
            <w:r w:rsidRPr="003C060C">
              <w:tab/>
              <w:t>Nadměrné rozšíření digitálního eura mimo eurozónu by mohlo mít nežádoucí dopad na velikost a složení konsolidované rozvahy Evropské centrální banky a národních centrálních bank. Dopady na měnovou suverenitu a finanční stabilitu zemí mimo eurozónu se mohou lišit také v závislosti na používání digitálního eura mimo eurozónu. Tyto dopady by mohly být škodlivé v případě, že by digitální euro nahradilo místní měnu ve velkém počtu domácích transakcí. V rozporu s kritérii a postupem přijetí eura v eurozóně stanovenými v článku 140 SFEU by mohla být zejména situace, kdy se digitální euro stane dominantním v členském státě, jehož měnou není euro, a de facto tak nahradí národní měnu. Aby se zabránilo nežádoucím účinkům a předešlo rizikům pro měnovou suverenitu a finanční stabilitu v eurozóně i mimo ni, je nezbytné stanovit možnost, aby Unie uzavírala dohody se třetími zeměmi</w:t>
            </w:r>
            <w:r w:rsidRPr="003C060C">
              <w:rPr>
                <w:b/>
                <w:bCs/>
                <w:i/>
                <w:iCs/>
              </w:rPr>
              <w:t xml:space="preserve"> a aby</w:t>
            </w:r>
            <w:r w:rsidRPr="003C060C">
              <w:t xml:space="preserve"> Evropská centrální banka uzavírala ujednání s národními centrálními bankami členských států, jejichž měnou není euro, </w:t>
            </w:r>
            <w:r w:rsidRPr="003C060C">
              <w:rPr>
                <w:b/>
                <w:bCs/>
                <w:i/>
                <w:iCs/>
              </w:rPr>
              <w:t>a s národními centrálními bankami třetích zemí</w:t>
            </w:r>
            <w:r w:rsidRPr="003C060C">
              <w:t xml:space="preserve"> o podmínkách pravidelného poskytování platebních služeb v digitálních eurech uživatelům digitálního eura, kteří mají bydliště nebo jsou usazeni mimo eurozónu. Tyto dohody a ujednání by se neměly vztahovat na návštěvníky eurozóny, kterým mohou poskytovatelé platebních služeb usazení v Evropském hospodářském prostoru</w:t>
            </w:r>
            <w:r w:rsidRPr="003C060C">
              <w:rPr>
                <w:vertAlign w:val="superscript"/>
              </w:rPr>
              <w:t>31</w:t>
            </w:r>
            <w:r w:rsidRPr="003C060C">
              <w:t>, v souladu s Dohodou o Evropském hospodářském prostoru, přímo poskytovat platební služby v digitálních eurech.</w:t>
            </w:r>
          </w:p>
        </w:tc>
        <w:tc>
          <w:tcPr>
            <w:tcW w:w="4876" w:type="dxa"/>
            <w:hideMark/>
          </w:tcPr>
          <w:p w:rsidR="00B67536" w:rsidRPr="003C060C" w:rsidRDefault="00B54D08">
            <w:pPr>
              <w:pStyle w:val="Normal6"/>
              <w:rPr>
                <w:szCs w:val="24"/>
              </w:rPr>
            </w:pPr>
            <w:r w:rsidRPr="003C060C">
              <w:t>(47)</w:t>
            </w:r>
            <w:r w:rsidRPr="003C060C">
              <w:tab/>
              <w:t>Nadměrné rozšíření digitálního eura mimo eurozónu by mohlo mít nežádoucí dopad na velikost a složení konsolidované rozvahy Evropské centrální banky a národních centrálních bank. Dopady na měnovou suverenitu a finanční stabilitu zemí mimo eurozónu se mohou lišit také v závislosti na používání digitálního eura mimo eurozónu. Tyto dopady by mohly být škodlivé v případě, že by digitální euro nahradilo místní měnu ve velkém počtu domácích transakcí. V rozporu s kritérii a postupem přijetí eura v eurozóně stanovenými v článku 140 SFEU by mohla být zejména situace, kdy se digitální euro stane dominantním v členském státě, jehož měnou není euro, a de facto tak nahradí národní měnu. Aby se zabránilo nežádoucím účinkům a předešlo rizikům pro měnovou suverenitu a finanční stabilitu v eurozóně i mimo ni, je nezbytné stanovit možnost, aby Unie uzavírala dohody se třetími zeměmi. Evropská centrální banka</w:t>
            </w:r>
            <w:r w:rsidRPr="003C060C">
              <w:rPr>
                <w:b/>
                <w:bCs/>
                <w:i/>
                <w:iCs/>
              </w:rPr>
              <w:t xml:space="preserve"> by měla být vybízena, aby </w:t>
            </w:r>
            <w:r w:rsidRPr="003C060C">
              <w:t>uzavírala ujednání s národními centrálními bankami členských států, jejichž měnou není euro, o podmínkách pravidelného poskytování platebních služeb v digitálních eurech uživatelům digitálního eura, kteří mají bydliště nebo jsou usazeni mimo eurozónu.</w:t>
            </w:r>
            <w:r w:rsidRPr="003C060C">
              <w:rPr>
                <w:b/>
                <w:i/>
              </w:rPr>
              <w:t xml:space="preserve"> </w:t>
            </w:r>
            <w:r w:rsidRPr="003C060C">
              <w:rPr>
                <w:b/>
                <w:bCs/>
                <w:i/>
                <w:iCs/>
              </w:rPr>
              <w:t>Podobné dohody lze uzavírat s národními centrálními bankami třetích zemí.</w:t>
            </w:r>
            <w:r w:rsidRPr="003C060C">
              <w:t xml:space="preserve"> Tyto dohody a ujednání by se neměly vztahovat na návštěvníky eurozóny, kterým mohou poskytovatelé platebních služeb usazení v Evropském hospodářském prostoru</w:t>
            </w:r>
            <w:r w:rsidRPr="003C060C">
              <w:rPr>
                <w:vertAlign w:val="superscript"/>
              </w:rPr>
              <w:t>31</w:t>
            </w:r>
            <w:r w:rsidRPr="003C060C">
              <w:t>, v souladu s Dohodou o Evropském hospodářském prostoru, přímo poskytovat platební služby v digitálních eurech.</w:t>
            </w:r>
          </w:p>
        </w:tc>
      </w:tr>
      <w:tr w:rsidR="004911FF" w:rsidRPr="003C060C" w:rsidTr="00B67536">
        <w:trPr>
          <w:jc w:val="center"/>
        </w:trPr>
        <w:tc>
          <w:tcPr>
            <w:tcW w:w="4876" w:type="dxa"/>
            <w:hideMark/>
          </w:tcPr>
          <w:p w:rsidR="00B67536" w:rsidRPr="003C060C" w:rsidRDefault="00B54D08">
            <w:pPr>
              <w:pStyle w:val="Normal6"/>
            </w:pPr>
            <w:r w:rsidRPr="003C060C">
              <w:t>__________________</w:t>
            </w:r>
          </w:p>
        </w:tc>
        <w:tc>
          <w:tcPr>
            <w:tcW w:w="4876" w:type="dxa"/>
            <w:hideMark/>
          </w:tcPr>
          <w:p w:rsidR="00B67536" w:rsidRPr="003C060C" w:rsidRDefault="00B54D08">
            <w:pPr>
              <w:pStyle w:val="Normal6"/>
              <w:rPr>
                <w:szCs w:val="24"/>
              </w:rPr>
            </w:pPr>
            <w:r w:rsidRPr="003C060C">
              <w:t>__________________</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31</w:t>
            </w:r>
            <w:r w:rsidRPr="003C060C">
              <w:t xml:space="preserve"> Dohoda o Evropském hospodářském prostoru (Úř. věst. L 1, 3.1.1994, s. 3).</w:t>
            </w:r>
          </w:p>
        </w:tc>
        <w:tc>
          <w:tcPr>
            <w:tcW w:w="4876" w:type="dxa"/>
            <w:hideMark/>
          </w:tcPr>
          <w:p w:rsidR="00B67536" w:rsidRPr="003C060C" w:rsidRDefault="00B54D08">
            <w:pPr>
              <w:pStyle w:val="Normal6"/>
              <w:rPr>
                <w:szCs w:val="24"/>
              </w:rPr>
            </w:pPr>
            <w:r w:rsidRPr="003C060C">
              <w:rPr>
                <w:vertAlign w:val="superscript"/>
              </w:rPr>
              <w:t>31</w:t>
            </w:r>
            <w:r w:rsidRPr="003C060C">
              <w:t xml:space="preserve"> Dohoda o Evropském hospodářském prostoru (Úř. věst. L 1, 3.1.1994, s. 3).</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48</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(48)</w:t>
            </w:r>
            <w:r w:rsidRPr="003C060C">
              <w:tab/>
              <w:t>Poskytování platebních služeb v digitálních eurech uživatelům digitálního eura, kteří mají bydliště nebo jsou usazeni v členském státě, jehož měnou není euro,</w:t>
            </w:r>
            <w:r w:rsidRPr="003C060C">
              <w:rPr>
                <w:b/>
                <w:bCs/>
                <w:i/>
                <w:iCs/>
              </w:rPr>
              <w:t xml:space="preserve"> by se mělo řídit</w:t>
            </w:r>
            <w:r w:rsidRPr="003C060C">
              <w:t xml:space="preserve"> předchozí </w:t>
            </w:r>
            <w:r w:rsidRPr="003C060C">
              <w:rPr>
                <w:b/>
                <w:bCs/>
                <w:i/>
                <w:iCs/>
              </w:rPr>
              <w:t>dohodou</w:t>
            </w:r>
            <w:r w:rsidRPr="003C060C">
              <w:t xml:space="preserve"> mezi Evropskou centrální bankou a národní centrální bankou členského státu, jehož měnou není euro, a to na základě žádosti členského státu, jehož měnou není euro. V souladu s Dohodou o Evropském hospodářském prostoru mohou uživatelům digitálního eura s bydlištěm nebo sídlem v členských státech mimo eurozónu poskytovat digitální služby v digitálních eurech poskytovatelé platebních služeb usazení v Evropském hospodářském prostoru.</w:t>
            </w:r>
          </w:p>
        </w:tc>
        <w:tc>
          <w:tcPr>
            <w:tcW w:w="4876" w:type="dxa"/>
            <w:hideMark/>
          </w:tcPr>
          <w:p w:rsidR="00B67536" w:rsidRPr="003C060C" w:rsidRDefault="00B54D08">
            <w:pPr>
              <w:pStyle w:val="Normal6"/>
              <w:rPr>
                <w:szCs w:val="24"/>
              </w:rPr>
            </w:pPr>
            <w:r w:rsidRPr="003C060C">
              <w:t>(48)</w:t>
            </w:r>
            <w:r w:rsidRPr="003C060C">
              <w:tab/>
            </w:r>
            <w:r w:rsidRPr="003C060C">
              <w:rPr>
                <w:b/>
                <w:i/>
              </w:rPr>
              <w:t>Primární zavedení digitálního eura v eurozóně by nemělo vést k diskriminaci občanů a podniků v členských státech, jejichž měnou není euro, ani jinak neúmyslně vytvářet dvojí standardy na jednotném trhu. Potenciální uživatelé digitálního eura v těchto členských státech by měli mít možnost digitální euro dobrovolně přijmout, je-li to možné.</w:t>
            </w:r>
            <w:r w:rsidRPr="003C060C">
              <w:t xml:space="preserve"> Poskytování platebních služeb v digitálních eurech uživatelům digitálního eura, kteří mají bydliště nebo jsou usazeni v členském státě, jehož měnou není euro, </w:t>
            </w:r>
            <w:r w:rsidRPr="003C060C">
              <w:rPr>
                <w:b/>
                <w:bCs/>
                <w:i/>
                <w:iCs/>
              </w:rPr>
              <w:t>by mělo být možné na základě</w:t>
            </w:r>
            <w:r w:rsidRPr="003C060C">
              <w:t xml:space="preserve"> předchozí </w:t>
            </w:r>
            <w:r w:rsidRPr="003C060C">
              <w:rPr>
                <w:b/>
                <w:bCs/>
                <w:i/>
                <w:iCs/>
              </w:rPr>
              <w:t>dohody</w:t>
            </w:r>
            <w:r w:rsidRPr="003C060C">
              <w:t xml:space="preserve"> mezi Evropskou centrální bankou a národní centrální bankou členského státu, jehož měnou není euro, a to na základě žádosti členského státu, jehož měnou není euro.</w:t>
            </w:r>
            <w:r w:rsidRPr="003C060C">
              <w:rPr>
                <w:b/>
                <w:i/>
              </w:rPr>
              <w:t xml:space="preserve"> </w:t>
            </w:r>
            <w:r w:rsidRPr="003C060C">
              <w:rPr>
                <w:b/>
                <w:bCs/>
                <w:i/>
                <w:iCs/>
              </w:rPr>
              <w:t>Toto opatření by mělo zajistit, aby fyzické a právnické osoby, které se stanou uživateli digitálního eura v členském státě, jehož měnou není euro, měly stejné podmínky a příležitosti pro přístup k digitálnímu euru jako uživatelé digitálního eura v členských státech, jejichž měnou je euro, zejména pokud jde o omezení držby, rozsah bezplatných základních služeb atd., aniž je dotčeno výsadní právo Evropské centrální banky chránit cíle své měnové politiky.</w:t>
            </w:r>
            <w:r w:rsidRPr="003C060C">
              <w:t xml:space="preserve"> V souladu s Dohodou o Evropském hospodářském prostoru mohou uživatelům digitálního eura s bydlištěm nebo sídlem v členských státech mimo eurozónu poskytovat digitální služby v digitálních eurech poskytovatelé platebních služeb usazení v Evropském hospodářském prostoru.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53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(53)</w:t>
            </w:r>
            <w:r w:rsidRPr="003C060C">
              <w:tab/>
              <w:t>Dohody a ujednání týkající se poskytování platebních služeb v digitálních eurech nebo meziměnových plateb v digitálních eurech by měly být uzavírány na dobrovolném základě, a to přednostně s členskými státy mimo eurozónu. Evropská centrální banka by měla pro účely meziměnových plateb zahrnujících digitální euro spolupracovat s národními centrálními bankami členských států, jejichž měnou není euro.</w:t>
            </w:r>
          </w:p>
        </w:tc>
        <w:tc>
          <w:tcPr>
            <w:tcW w:w="4876" w:type="dxa"/>
            <w:hideMark/>
          </w:tcPr>
          <w:p w:rsidR="00B67536" w:rsidRPr="003C060C" w:rsidRDefault="00B54D08">
            <w:pPr>
              <w:pStyle w:val="Normal6"/>
              <w:rPr>
                <w:szCs w:val="24"/>
              </w:rPr>
            </w:pPr>
            <w:r w:rsidRPr="003C060C">
              <w:t>(53)</w:t>
            </w:r>
            <w:r w:rsidRPr="003C060C">
              <w:tab/>
              <w:t xml:space="preserve">Dohody a ujednání týkající se poskytování platebních služeb v digitálních eurech nebo meziměnových plateb v digitálních eurech by měly být uzavírány na dobrovolném základě, a to přednostně s členskými státy mimo eurozónu. Evropská centrální banka by měla pro účely meziměnových plateb zahrnujících digitální euro </w:t>
            </w:r>
            <w:r w:rsidRPr="003C060C">
              <w:rPr>
                <w:b/>
                <w:bCs/>
                <w:i/>
                <w:iCs/>
              </w:rPr>
              <w:t>aktivně</w:t>
            </w:r>
            <w:r w:rsidRPr="003C060C">
              <w:t xml:space="preserve"> spolupracovat s národními centrálními bankami členských států, jejichž měnou není euro.</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59</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(59)</w:t>
            </w:r>
            <w:r w:rsidRPr="003C060C">
              <w:tab/>
              <w:t>V zájmu usnadnění harmonizovaných uživatelských zkušeností by pravidla, standardy a postupy pro digitální euro, které může Evropská centrální banka přijmout v rámci svých pravomocí, měly zajistit, aby každý uživatel digitálního eura mohl provádět platební transakce v digitálních eurech s jinými libovolnými uživateli digitálního eura v celé eurozóně bez ohledu na zapojené poskytovatele platebních služeb a používané vstupní služby. Aby se snížila roztříštěnost evropského trhu malých plateb a podpořila hospodářská soutěž, efektivita a inovace na tomto trhu a rozvoj platebních nástrojů v celé Unii v souladu s cílem strategie Komise pro malé platby, mělo by být digitální euro v co největší míře slučitelné se soukromými digitálními platebními řešeními, a to na základě funkčních a technických synergií. Evropská centrální banka by měla zejména usilovat o to, aby digitální euro bylo slučitelné se soukromými digitálními platebními řešeními v bodě interakce a při osobních platbách, kde v současné době existuje značná roztříštěnost unijního trhu malých plateb. Tuto slučitelnost by mohlo podpořit používání otevřených standardů, společných pravidel a postupů a případně i sdílené infrastruktury. Ačkoli je možné využít stávající řešení, pokud jsou tato řešení považována za vhodná k zajištění této slučitelnosti, zejména s ohledem na minimalizaci celkových nákladů na přizpůsobení, neměla by tato stávající řešení vytvářet zbytečné závislosti, které by mohly bránit přizpůsobení digitálního eura novým technologiím nebo by byly neslučitelné s funkcemi digitálního eura. V zájmu dosažení těchto cílů, a aniž by byla subjektům na trhu přiznána jakákoli vymahatelná práva, Evropská centrální banka by měla usilovat o to, aby digitální euro bylo slučitelné se soukromými digitálními platebními řešeními, a to při vynaložení nejvyššího úsilí a tam, kde to bude považováno za vhodné.</w:t>
            </w:r>
          </w:p>
        </w:tc>
        <w:tc>
          <w:tcPr>
            <w:tcW w:w="4876" w:type="dxa"/>
            <w:hideMark/>
          </w:tcPr>
          <w:p w:rsidR="00B67536" w:rsidRPr="003C060C" w:rsidRDefault="00B54D08">
            <w:pPr>
              <w:pStyle w:val="Normal6"/>
              <w:rPr>
                <w:szCs w:val="24"/>
              </w:rPr>
            </w:pPr>
            <w:r w:rsidRPr="003C060C">
              <w:t>(59)</w:t>
            </w:r>
            <w:r w:rsidRPr="003C060C">
              <w:tab/>
              <w:t xml:space="preserve">V zájmu usnadnění harmonizovaných uživatelských zkušeností by pravidla, standardy a postupy pro digitální euro, které může Evropská centrální banka přijmout v rámci svých pravomocí, měly zajistit, aby každý uživatel digitálního eura mohl provádět platební transakce v digitálních eurech s jinými libovolnými uživateli digitálního eura v celé eurozóně bez ohledu na zapojené poskytovatele platebních služeb a používané vstupní služby. Aby se snížila roztříštěnost evropského trhu malých plateb a podpořila hospodářská soutěž, efektivita a inovace na tomto trhu a rozvoj platebních nástrojů v celé Unii v souladu s cílem strategie Komise pro malé platby, mělo by být digitální euro v co největší míře slučitelné se soukromými digitálními platebními řešeními, a to na základě funkčních a technických synergií. Evropská centrální banka by měla zejména usilovat o to, aby digitální euro bylo slučitelné se soukromými digitálními platebními řešeními v bodě interakce a při osobních platbách, kde v současné době existuje značná roztříštěnost unijního trhu malých plateb. Tuto slučitelnost by mohlo podpořit používání otevřených standardů, společných pravidel a postupů a případně i sdílené infrastruktury. </w:t>
            </w:r>
            <w:r w:rsidRPr="003C060C">
              <w:rPr>
                <w:b/>
                <w:i/>
              </w:rPr>
              <w:t>Evropská centrální banka by konkrétně měla upřednostnit používání otevřených standardů, jsou-li takové standardy k dispozici.</w:t>
            </w:r>
            <w:r w:rsidRPr="003C060C">
              <w:t xml:space="preserve"> Ačkoli je možné využít stávající řešení, pokud jsou tato řešení považována za vhodná k zajištění této slučitelnosti, zejména s ohledem na minimalizaci celkových nákladů na přizpůsobení, neměla by tato stávající řešení vytvářet zbytečné závislosti, které by mohly bránit přizpůsobení digitálního eura novým technologiím nebo by byly neslučitelné s funkcemi digitálního eura. V zájmu dosažení těchto cílů, a aniž by byla subjektům na trhu přiznána jakákoli vymahatelná práva, Evropská centrální banka by měla usilovat o to, aby digitální euro bylo slučitelné se soukromými digitálními platebními řešeními, a to při vynaložení nejvyššího úsilí a tam, kde to bude považováno za vhodné.</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61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(61)</w:t>
            </w:r>
            <w:r w:rsidRPr="003C060C">
              <w:tab/>
              <w:t xml:space="preserve">Pro přístup k digitálnímu euru a jeho používání v rámci platebních služeb v digitálních eurech by měly být uživatelům digitálního eura poskytnuty vstupní služby. Tito uživatelé by měli mít možnost přístupu k platebním službám v digitálních eurech a jejich využívání prostřednictvím vstupních služeb poskytovaných poskytovateli platebních služeb a Evropskou centrální bankou. Poskytovatelé platebních služeb by měli mít možnost rozhodnout se, že budou spoléhat na vstupní služby poskytované jinými zúčastněnými stranami, včetně Evropské centrální banky, zejména v případě, že náklady na vývoj a provoz vstupních služeb, včetně aplikací, jsou neúměrné. Pokud si uživatelé digitálního eura mohou vybrat mezi různými vstupními službami, rozhodnutí o výběru dané vstupní služby by mělo být v konečném důsledku na uvážení těchto uživatelů a nemělo by být vnucováno poskytovateli platebních služeb ani Evropskou centrální bankou. V tomto ohledu by poskytovatelé platebních služeb měli mít možnost poskytovat uživatelům digitálního eura přístup k platebním službám v digitálních eurech a využívat je prostřednictvím vstupních služeb poskytovaných Evropskou centrální bankou. Evropská centrální banka a poskytovatelé platebních služeb </w:t>
            </w:r>
            <w:r w:rsidRPr="003C060C">
              <w:rPr>
                <w:b/>
                <w:bCs/>
                <w:i/>
                <w:iCs/>
              </w:rPr>
              <w:t>zavedou</w:t>
            </w:r>
            <w:r w:rsidRPr="003C060C">
              <w:t xml:space="preserve"> vhodná technická a organizační opatření včetně nejmodernějších bezpečnostních opatření a opatření na ochranu soukromí, aby </w:t>
            </w:r>
            <w:r w:rsidRPr="003C060C">
              <w:rPr>
                <w:b/>
                <w:bCs/>
                <w:i/>
                <w:iCs/>
              </w:rPr>
              <w:t>zajistili, že</w:t>
            </w:r>
            <w:r w:rsidRPr="003C060C">
              <w:t xml:space="preserve"> ECB </w:t>
            </w:r>
            <w:r w:rsidRPr="003C060C">
              <w:rPr>
                <w:b/>
                <w:bCs/>
                <w:i/>
                <w:iCs/>
              </w:rPr>
              <w:t>nebude mít</w:t>
            </w:r>
            <w:r w:rsidRPr="003C060C">
              <w:t xml:space="preserve"> </w:t>
            </w:r>
            <w:r w:rsidRPr="003C060C">
              <w:rPr>
                <w:b/>
                <w:bCs/>
                <w:i/>
                <w:iCs/>
              </w:rPr>
              <w:t>prostřednictvím svého vstupního řešení</w:t>
            </w:r>
            <w:r w:rsidRPr="003C060C">
              <w:t xml:space="preserve"> </w:t>
            </w:r>
            <w:r w:rsidRPr="003C060C">
              <w:rPr>
                <w:b/>
                <w:bCs/>
                <w:i/>
                <w:iCs/>
              </w:rPr>
              <w:t>přístup</w:t>
            </w:r>
            <w:r w:rsidRPr="003C060C">
              <w:t xml:space="preserve"> k totožnosti jednotlivých uživatelů digitálního eura.</w:t>
            </w:r>
          </w:p>
        </w:tc>
        <w:tc>
          <w:tcPr>
            <w:tcW w:w="4876" w:type="dxa"/>
            <w:hideMark/>
          </w:tcPr>
          <w:p w:rsidR="00B67536" w:rsidRPr="003C060C" w:rsidRDefault="00B54D08">
            <w:pPr>
              <w:pStyle w:val="Normal6"/>
              <w:rPr>
                <w:szCs w:val="24"/>
              </w:rPr>
            </w:pPr>
            <w:r w:rsidRPr="003C060C">
              <w:t>(61)</w:t>
            </w:r>
            <w:r w:rsidRPr="003C060C">
              <w:tab/>
              <w:t xml:space="preserve">Pro přístup k digitálnímu euru a jeho používání v rámci platebních služeb v digitálních eurech by měly být uživatelům digitálního eura poskytnuty vstupní služby. Tito uživatelé by měli mít možnost přístupu k platebním službám v digitálních eurech a jejich využívání prostřednictvím vstupních služeb poskytovaných poskytovateli platebních služeb a Evropskou centrální bankou. Poskytovatelé platebních služeb by měli mít možnost rozhodnout se, že budou spoléhat na vstupní služby poskytované jinými zúčastněnými stranami, včetně Evropské centrální banky, zejména v případě, že náklady na vývoj a provoz vstupních služeb, včetně aplikací, jsou neúměrné. Pokud si uživatelé digitálního eura mohou vybrat mezi různými vstupními službami, rozhodnutí o výběru dané vstupní služby by mělo být v konečném důsledku na uvážení těchto uživatelů a nemělo by být vnucováno poskytovateli platebních služeb ani Evropskou centrální bankou. V tomto ohledu by poskytovatelé platebních služeb měli mít možnost poskytovat uživatelům digitálního eura přístup k platebním službám v digitálních eurech a využívat je prostřednictvím vstupních služeb poskytovaných Evropskou centrální bankou. Evropská centrální banka a poskytovatelé platebních služeb </w:t>
            </w:r>
            <w:r w:rsidRPr="003C060C">
              <w:rPr>
                <w:b/>
                <w:bCs/>
                <w:i/>
                <w:iCs/>
              </w:rPr>
              <w:t>by měli zavést</w:t>
            </w:r>
            <w:r w:rsidRPr="003C060C">
              <w:t xml:space="preserve"> vhodná technická a organizační opatření včetně nejmodernějších bezpečnostních opatření a opatření na ochranu soukromí, aby </w:t>
            </w:r>
            <w:r w:rsidRPr="003C060C">
              <w:rPr>
                <w:b/>
                <w:bCs/>
                <w:i/>
                <w:iCs/>
              </w:rPr>
              <w:t>technicky znemožnili jakýkoli přístup</w:t>
            </w:r>
            <w:r w:rsidRPr="003C060C">
              <w:t xml:space="preserve"> ECB k totožnosti jednotlivých uživatelů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62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(62)</w:t>
            </w:r>
            <w:r w:rsidRPr="003C060C">
              <w:tab/>
              <w:t xml:space="preserve">Aby se zabránilo zasahování do vztahů se zákazníky poskytovatelů platebních služeb a jejich úlohy při distribuci digitálního eura, měla by se vstupní řešení poskytovaná Evropskou centrální bankou omezit na poskytování rozhraní mezi uživateli digitálního eura a platebními infrastrukturami poskytovatelů platebních služeb. Eurosystém by zejména neměl smluvní vztah s uživateli digitálního eura, a to i kdyby tito uživatelé využívali vstupní služby poskytované Evropskou centrální bankou. ECB a poskytovatelé platebních služeb by měli zavést vhodná technická a organizační opatření včetně nejmodernějších bezpečnostních opatření a opatření na ochranu soukromí, aby </w:t>
            </w:r>
            <w:r w:rsidRPr="003C060C">
              <w:rPr>
                <w:b/>
                <w:bCs/>
                <w:i/>
                <w:iCs/>
              </w:rPr>
              <w:t>zajistili</w:t>
            </w:r>
            <w:r w:rsidRPr="003C060C">
              <w:t xml:space="preserve">, </w:t>
            </w:r>
            <w:r w:rsidRPr="003C060C">
              <w:rPr>
                <w:b/>
                <w:bCs/>
                <w:i/>
                <w:iCs/>
              </w:rPr>
              <w:t>že</w:t>
            </w:r>
            <w:r w:rsidRPr="003C060C">
              <w:t xml:space="preserve"> ECB </w:t>
            </w:r>
            <w:r w:rsidRPr="003C060C">
              <w:rPr>
                <w:b/>
                <w:bCs/>
                <w:i/>
                <w:iCs/>
              </w:rPr>
              <w:t>nebude mít prostřednictvím svého vstupního řešení</w:t>
            </w:r>
            <w:r w:rsidRPr="003C060C">
              <w:t xml:space="preserve"> přístup k totožnosti jednotlivých uživatelů digitálního eura.</w:t>
            </w:r>
          </w:p>
        </w:tc>
        <w:tc>
          <w:tcPr>
            <w:tcW w:w="4876" w:type="dxa"/>
            <w:hideMark/>
          </w:tcPr>
          <w:p w:rsidR="00B67536" w:rsidRPr="003C060C" w:rsidRDefault="00B54D08">
            <w:pPr>
              <w:pStyle w:val="Normal6"/>
              <w:rPr>
                <w:szCs w:val="24"/>
              </w:rPr>
            </w:pPr>
            <w:r w:rsidRPr="003C060C">
              <w:t>(62)</w:t>
            </w:r>
            <w:r w:rsidRPr="003C060C">
              <w:tab/>
              <w:t xml:space="preserve">Aby se zabránilo zasahování do vztahů se zákazníky poskytovatelů platebních služeb a jejich úlohy při distribuci digitálního eura, měla by se vstupní řešení poskytovaná Evropskou centrální bankou omezit na poskytování rozhraní mezi uživateli digitálního eura a platebními infrastrukturami poskytovatelů platebních služeb. Eurosystém by zejména neměl smluvní vztah s uživateli digitálního eura, a to i kdyby tito uživatelé využívali vstupní služby poskytované Evropskou centrální bankou. Evropská centrální banka a poskytovatelé platebních služeb by měli zavést vhodná technická a organizační opatření včetně nejmodernějších bezpečnostních opatření a opatření na ochranu soukromí, aby </w:t>
            </w:r>
            <w:r w:rsidRPr="003C060C">
              <w:rPr>
                <w:b/>
                <w:bCs/>
                <w:i/>
                <w:iCs/>
              </w:rPr>
              <w:t>technicky znemožnili jakýkoli přístup</w:t>
            </w:r>
            <w:r w:rsidRPr="003C060C">
              <w:t xml:space="preserve"> ECB k totožnosti jednotlivých uživatelů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64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(64)</w:t>
            </w:r>
            <w:r w:rsidRPr="003C060C">
              <w:tab/>
              <w:t>Aby bylo zajištěno okamžité vypořádání, měly by být online i offline transakce v digitálním euru, a to i v souvislosti s financováním a definancováním a jako vodopádová funkce a reverzní vodopádová funkce, za běžných okolností vypořádány okamžitě, během pouhých několika sekund. Vypořádání online platebních transakcí v digitálních eurech by mělo být prováděno v infrastruktuře pro vypořádání v digitálních eurech, kterou přijal Eurosystém. Online platební transakce v digitálních eurech by měly být vypořádány během několika sekund, jak je uvedeno ve funkčních a technických požadavcích přijatých Evropskou centrální bankou. Konečné vypořádání online platebních transakcí v digitálních eurech by mělo být provedeno v okamžiku zaznamenání příslušných digitálních eur plátce a příjemce v infrastruktuře pro vypořádání digitálního eura schválené Evropskou centrální bankou, a to bez ohledu na to, zda jsou digitální eura zaznamenána jako zůstatky nebo jednotky hodnoty, nebo na použitou technologii. Infrastruktura pro vypořádání digitálního eura by měla usilovat o to, aby zajistila přizpůsobení novým technologiím, včetně technologie distribuovaného registru.</w:t>
            </w:r>
          </w:p>
        </w:tc>
        <w:tc>
          <w:tcPr>
            <w:tcW w:w="4876" w:type="dxa"/>
            <w:hideMark/>
          </w:tcPr>
          <w:p w:rsidR="00B67536" w:rsidRPr="003C060C" w:rsidRDefault="00B54D08">
            <w:pPr>
              <w:pStyle w:val="Normal6"/>
              <w:rPr>
                <w:szCs w:val="24"/>
              </w:rPr>
            </w:pPr>
            <w:r w:rsidRPr="003C060C">
              <w:t>(64)</w:t>
            </w:r>
            <w:r w:rsidRPr="003C060C">
              <w:tab/>
              <w:t xml:space="preserve">Aby bylo zajištěno okamžité vypořádání, měly by být online i offline transakce v digitálním euru, a to i v souvislosti s financováním a definancováním a jako vodopádová funkce a reverzní vodopádová funkce, za běžných okolností vypořádány okamžitě, během pouhých několika sekund. Vypořádání online platebních transakcí v digitálních eurech by mělo být prováděno v infrastruktuře pro vypořádání v digitálních eurech, kterou přijal Eurosystém. Online platební transakce v digitálních eurech by měly být vypořádány během několika sekund, jak je uvedeno ve funkčních a technických požadavcích přijatých Evropskou centrální bankou. Konečné vypořádání online platebních transakcí v digitálních eurech by mělo být provedeno v okamžiku zaznamenání příslušných digitálních eur plátce a příjemce v infrastruktuře pro vypořádání digitálního eura schválené Evropskou centrální bankou, a to bez ohledu na to, zda jsou digitální eura zaznamenána jako zůstatky nebo jednotky hodnoty, nebo na použitou technologii. Infrastruktura pro vypořádání digitálního eura by měla usilovat o to, aby zajistila přizpůsobení novým technologiím, včetně technologie distribuovaného registru. </w:t>
            </w:r>
            <w:r w:rsidRPr="003C060C">
              <w:rPr>
                <w:b/>
                <w:i/>
              </w:rPr>
              <w:t>Vzhledem k citlivosti údajů, které mají být uloženy v infrastruktuře pro vypořádání, by při jejím vývoji měly být řádně zohledněny zásady záměrné a standardní ochrany údajů definované v nařízení 2016/679, jakož i provádění vhodných záruk v tomto ohledu.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67</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(67)</w:t>
            </w:r>
            <w:r w:rsidRPr="003C060C">
              <w:tab/>
              <w:t>Z důvodu smluvní svobody a zajištění hospodářské soutěže by uživatelé digitálního eura měli mít možnost přejít se svými platebními účty v digitálních eurech k jiným poskytovatelům platebních služeb. Na žádost uživatelů digitálního eura by pak poskytovatelé platebních služeb měli umožnit změnu platebních účtů v digitálních eurech při zachování stejných identifikátorů účtů. Za výjimečných okolností, kdy poskytovatel platebních služeb není schopen tento úkol splnit, a to i z důvodu ztráty příslušných údajů týkajících se platebního účtu v digitálních eurech, by Evropská centrální banka měla mít možnost povolit změnu platebních účtů v digitálních eurech, aby nový poskytovatel platebních služeb určený uživatelem digitálního eura mohl získat informace o účtech v digitálních eurech uživatele digitálního eura a dokončit změnu, aniž by se spoléhal na nedostupného poskytovatele platebních služeb. Tento postup by měl uživateli digitálního eura umožnit další přístup k jeho digitálním eurům prostřednictvím nově určeného poskytovatele platebních služeb. Evropská centrální banka by při přechodu účtů neměla žádnou operativní roli, a to ani v případě pokračování činnosti, ani za výjimečných okolností.</w:t>
            </w:r>
          </w:p>
        </w:tc>
        <w:tc>
          <w:tcPr>
            <w:tcW w:w="4876" w:type="dxa"/>
            <w:hideMark/>
          </w:tcPr>
          <w:p w:rsidR="00B67536" w:rsidRPr="003C060C" w:rsidRDefault="00B54D08">
            <w:pPr>
              <w:pStyle w:val="Normal6"/>
              <w:rPr>
                <w:szCs w:val="24"/>
              </w:rPr>
            </w:pPr>
            <w:r w:rsidRPr="003C060C">
              <w:t>(67)</w:t>
            </w:r>
            <w:r w:rsidRPr="003C060C">
              <w:tab/>
              <w:t xml:space="preserve">Z důvodu smluvní svobody a zajištění hospodářské soutěže by uživatelé digitálního eura měli mít možnost přejít </w:t>
            </w:r>
            <w:r w:rsidRPr="003C060C">
              <w:rPr>
                <w:b/>
                <w:bCs/>
                <w:i/>
                <w:iCs/>
              </w:rPr>
              <w:t>bezplatně</w:t>
            </w:r>
            <w:r w:rsidRPr="003C060C">
              <w:t xml:space="preserve"> se svými platebními účty v digitálních eurech k jiným poskytovatelům platebních služeb. Na žádost uživatelů digitálního eura by pak poskytovatelé platebních služeb měli umožnit změnu platebních účtů v digitálních eurech při zachování stejných identifikátorů účtů. Za výjimečných okolností, kdy poskytovatel platebních služeb není schopen tento úkol splnit, a to i z důvodu ztráty příslušných údajů týkajících se platebního účtu v digitálních eurech, by Evropská centrální banka měla mít možnost povolit změnu platebních účtů v digitálních eurech, aby nový poskytovatel platebních služeb určený uživatelem digitálního eura mohl získat informace o účtech v digitálních eurech uživatele digitálního eura a dokončit změnu, aniž by se spoléhal na nedostupného poskytovatele platebních služeb. Tento postup by měl uživateli digitálního eura umožnit další přístup k jeho digitálním eurům prostřednictvím nově určeného poskytovatele platebních služeb. Evropská centrální banka by při přechodu účtů neměla žádnou operativní roli, a to ani v případě pokračování činnosti, ani za výjimečných okolností.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68</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(68)</w:t>
            </w:r>
            <w:r w:rsidRPr="003C060C">
              <w:tab/>
              <w:t>Předcházení podvodům ze strany poskytovatelů platebních služeb je nezbytné pro ochranu občanů využívajících digitální euro, integritu osobních údajů zpracovávaných při digitálních platbách v eurech a pro zajištění hladkého a účinného fungování digitálního eura. Prevence podvodů hraje zásadní roli při udržování důvěry v jednotnou měnu. Za tímto účelem může Evropská centrální banka zavést obecný mechanismus odhalování a prevence podvodů, který bude podporovat činnosti poskytovatelů platebních služeb v oblasti řízení boje proti podvodům při online platebních transakcích v digitálních eurech. Obecný mechanismus odhalování a prevence podvodů poskytuje řadu základních funkcí pro odhalování vzorců podvodů, které by jediný poskytovatel platebních služeb sám nedokázal odhalit. Jeden poskytovatel platebních služeb často nemá úplný přehled o všech prvcích, které by mohly vést k včasnému odhalení podvodu. Lze ji však zefektivnit pomocí informací o potenciálně podvodné činnosti pocházejících od jiných poskytovatelů platebních služeb. Tato obecná funkce odhalování podvodů existuje ve srovnatelných platebních schématech a je nezbytná k dosažení prokazatelně nízké míry podvodů, aby digitální euro zůstalo bezpečné pro spotřebitele i obchodníky. Přenos informací mezi poskytovateli platebních služeb a mechanismem pro odhalování a prevenci podvodů by měl podléhat nejmodernějším bezpečnostním opatřením a opatřením na ochranu soukromí, aby bylo zajištěno, že jednotliví uživatelé digitálního eura nebudou centrálním mechanismem pro odhalování a prevenci podvodů identifikováni.</w:t>
            </w:r>
          </w:p>
        </w:tc>
        <w:tc>
          <w:tcPr>
            <w:tcW w:w="4876" w:type="dxa"/>
            <w:hideMark/>
          </w:tcPr>
          <w:p w:rsidR="00B67536" w:rsidRPr="003C060C" w:rsidRDefault="00B54D08">
            <w:pPr>
              <w:pStyle w:val="Normal6"/>
              <w:rPr>
                <w:szCs w:val="24"/>
              </w:rPr>
            </w:pPr>
            <w:r w:rsidRPr="003C060C">
              <w:t>(68)</w:t>
            </w:r>
            <w:r w:rsidRPr="003C060C">
              <w:tab/>
              <w:t>Předcházení podvodům ze strany poskytovatelů platebních služeb je nezbytné pro ochranu občanů využívajících digitální euro, integritu osobních údajů zpracovávaných při digitálních platbách v eurech a pro zajištění hladkého a účinného fungování digitálního eura. Prevence podvodů hraje zásadní roli při udržování důvěry v jednotnou měnu. Za tímto účelem může Evropská centrální banka zavést obecný mechanismus odhalování a prevence podvodů, který bude podporovat činnosti poskytovatelů platebních služeb v oblasti řízení boje proti podvodům při online platebních transakcích v digitálních eurech. Obecný mechanismus odhalování a prevence podvodů poskytuje řadu základních funkcí pro odhalování vzorců podvodů, které by jediný poskytovatel platebních služeb sám nedokázal odhalit. Jeden poskytovatel platebních služeb často nemá úplný přehled o všech prvcích, které by mohly vést k včasnému odhalení podvodu. Lze ji však zefektivnit pomocí informací o potenciálně podvodné činnosti pocházejících od jiných poskytovatelů platebních služeb. Tato obecná funkce odhalování podvodů existuje ve srovnatelných platebních schématech a je nezbytná k dosažení prokazatelně nízké míry podvodů, aby digitální euro zůstalo bezpečné pro spotřebitele i obchodníky. Přenos informací mezi poskytovateli platebních služeb a mechanismem pro odhalování a prevenci podvodů by měl podléhat nejmodernějším bezpečnostním opatřením a opatřením na ochranu soukromí, aby bylo zajištěno, že jednotliví uživatelé digitálního eura nebudou centrálním mechanismem pro odhalování a prevenci podvodů identifikováni</w:t>
            </w:r>
            <w:r w:rsidRPr="003C060C">
              <w:rPr>
                <w:b/>
                <w:bCs/>
                <w:i/>
                <w:iCs/>
              </w:rPr>
              <w:t>, a rovněž by měl podléhat vhodným zárukám, které zabraňují algoritmickému zkreslení.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70</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(70)</w:t>
            </w:r>
            <w:r w:rsidRPr="003C060C">
              <w:tab/>
              <w:t>Právo na ochranu soukromí a osobních údajů představují základní práva zakotvená v článcích 7 a 8 Listiny základních práv Evropské unie. Jak zdůraznil Evropský sbor pro ochranu osobních údajů</w:t>
            </w:r>
            <w:r w:rsidRPr="003C060C">
              <w:rPr>
                <w:vertAlign w:val="superscript"/>
              </w:rPr>
              <w:t>34</w:t>
            </w:r>
            <w:r w:rsidRPr="003C060C">
              <w:t>, vysoký standard ochrany soukromí a údajů je zásadní pro zajištění důvěry Evropanů v budoucí digitální euro. Je to rovněž v souladu se zásadami veřejné politiky G7 pro retailové digitální měny centrální banky. Zpracování osobních údajů za účelem dodržování tohoto nařízení a v souvislosti s ním by probíhalo v souladu s nařízením (EU) 2016/679</w:t>
            </w:r>
            <w:r w:rsidRPr="003C060C">
              <w:rPr>
                <w:vertAlign w:val="superscript"/>
              </w:rPr>
              <w:t>35</w:t>
            </w:r>
            <w:r w:rsidRPr="003C060C">
              <w:t xml:space="preserve"> a nařízením (EU) </w:t>
            </w:r>
            <w:r w:rsidRPr="003C060C">
              <w:rPr>
                <w:b/>
                <w:bCs/>
                <w:i/>
                <w:iCs/>
              </w:rPr>
              <w:t>2018/1715</w:t>
            </w:r>
            <w:r w:rsidRPr="003C060C">
              <w:rPr>
                <w:vertAlign w:val="superscript"/>
              </w:rPr>
              <w:t>36</w:t>
            </w:r>
            <w:r w:rsidRPr="003C060C">
              <w:t xml:space="preserve"> a případně také se směrnicí 2002/58/ES</w:t>
            </w:r>
            <w:r w:rsidRPr="003C060C">
              <w:rPr>
                <w:vertAlign w:val="superscript"/>
              </w:rPr>
              <w:t>37</w:t>
            </w:r>
            <w:r w:rsidRPr="003C060C">
              <w:t>.</w:t>
            </w:r>
          </w:p>
        </w:tc>
        <w:tc>
          <w:tcPr>
            <w:tcW w:w="4876" w:type="dxa"/>
            <w:hideMark/>
          </w:tcPr>
          <w:p w:rsidR="00B67536" w:rsidRPr="003C060C" w:rsidRDefault="00B54D08">
            <w:pPr>
              <w:pStyle w:val="Normal6"/>
              <w:rPr>
                <w:szCs w:val="24"/>
              </w:rPr>
            </w:pPr>
            <w:r w:rsidRPr="003C060C">
              <w:t>(70)</w:t>
            </w:r>
            <w:r w:rsidRPr="003C060C">
              <w:tab/>
              <w:t>Právo na ochranu soukromí a osobních údajů představují základní práva zakotvená v článcích 7 a 8 Listiny základních práv Evropské unie. Jak zdůraznil Evropský sbor pro ochranu osobních údajů</w:t>
            </w:r>
            <w:r w:rsidRPr="003C060C">
              <w:rPr>
                <w:vertAlign w:val="superscript"/>
              </w:rPr>
              <w:t>34</w:t>
            </w:r>
            <w:r w:rsidRPr="003C060C">
              <w:t>, vysoký standard ochrany soukromí a údajů je zásadní pro zajištění důvěry Evropanů v budoucí digitální euro. Je to rovněž v souladu se zásadami veřejné politiky G7 pro retailové digitální měny centrální banky. Zpracování osobních údajů za účelem dodržování tohoto nařízení a v souvislosti s ním by probíhalo v souladu s nařízením (EU) 2016/679</w:t>
            </w:r>
            <w:r w:rsidRPr="003C060C">
              <w:rPr>
                <w:vertAlign w:val="superscript"/>
              </w:rPr>
              <w:t>35</w:t>
            </w:r>
            <w:r w:rsidRPr="003C060C">
              <w:t xml:space="preserve"> a nařízením (EU) </w:t>
            </w:r>
            <w:r w:rsidRPr="003C060C">
              <w:rPr>
                <w:b/>
                <w:i/>
              </w:rPr>
              <w:t>2018/1725</w:t>
            </w:r>
            <w:r w:rsidRPr="003C060C">
              <w:rPr>
                <w:vertAlign w:val="superscript"/>
              </w:rPr>
              <w:t>36</w:t>
            </w:r>
            <w:r w:rsidRPr="003C060C">
              <w:t xml:space="preserve"> a případně také se směrnicí 2002/58/ES</w:t>
            </w:r>
            <w:r w:rsidRPr="003C060C">
              <w:rPr>
                <w:vertAlign w:val="superscript"/>
              </w:rPr>
              <w:t>37</w:t>
            </w:r>
            <w:r w:rsidRPr="003C060C">
              <w:t xml:space="preserve">, </w:t>
            </w:r>
            <w:r w:rsidRPr="003C060C">
              <w:rPr>
                <w:b/>
                <w:bCs/>
                <w:i/>
                <w:iCs/>
              </w:rPr>
              <w:t>zvláště v souladu se zásadami záměrné a standardní ochrany údajů</w:t>
            </w:r>
            <w:r w:rsidRPr="003C060C">
              <w:t>.</w:t>
            </w:r>
          </w:p>
        </w:tc>
      </w:tr>
      <w:tr w:rsidR="004911FF" w:rsidRPr="003C060C" w:rsidTr="00B67536">
        <w:trPr>
          <w:jc w:val="center"/>
        </w:trPr>
        <w:tc>
          <w:tcPr>
            <w:tcW w:w="4876" w:type="dxa"/>
            <w:hideMark/>
          </w:tcPr>
          <w:p w:rsidR="00B67536" w:rsidRPr="003C060C" w:rsidRDefault="00B54D08">
            <w:pPr>
              <w:pStyle w:val="Normal6"/>
            </w:pPr>
            <w:r w:rsidRPr="003C060C">
              <w:t>__________________</w:t>
            </w:r>
          </w:p>
        </w:tc>
        <w:tc>
          <w:tcPr>
            <w:tcW w:w="4876" w:type="dxa"/>
            <w:hideMark/>
          </w:tcPr>
          <w:p w:rsidR="00B67536" w:rsidRPr="003C060C" w:rsidRDefault="00B54D08">
            <w:pPr>
              <w:pStyle w:val="Normal6"/>
              <w:rPr>
                <w:szCs w:val="24"/>
              </w:rPr>
            </w:pPr>
            <w:r w:rsidRPr="003C060C">
              <w:t>__________________</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34</w:t>
            </w:r>
            <w:r w:rsidRPr="003C060C">
              <w:t xml:space="preserve"> Prohlášení o možnostech řešení digitálního eura z hlediska ochrany soukromí a údajů přijaté dne 10. října 2022.</w:t>
            </w:r>
          </w:p>
        </w:tc>
        <w:tc>
          <w:tcPr>
            <w:tcW w:w="4876" w:type="dxa"/>
            <w:hideMark/>
          </w:tcPr>
          <w:p w:rsidR="00B67536" w:rsidRPr="003C060C" w:rsidRDefault="00B54D08">
            <w:pPr>
              <w:pStyle w:val="Normal6"/>
              <w:rPr>
                <w:szCs w:val="24"/>
              </w:rPr>
            </w:pPr>
            <w:r w:rsidRPr="003C060C">
              <w:rPr>
                <w:vertAlign w:val="superscript"/>
              </w:rPr>
              <w:t>34</w:t>
            </w:r>
            <w:r w:rsidRPr="003C060C">
              <w:t xml:space="preserve"> Prohlášení o možnostech řešení digitálního eura z hlediska ochrany soukromí a údajů přijaté dne 10. října 2022.</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35</w:t>
            </w:r>
            <w:r w:rsidRPr="003C060C">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hideMark/>
          </w:tcPr>
          <w:p w:rsidR="00B67536" w:rsidRPr="003C060C" w:rsidRDefault="00B54D08">
            <w:pPr>
              <w:pStyle w:val="Normal6"/>
              <w:rPr>
                <w:szCs w:val="24"/>
              </w:rPr>
            </w:pPr>
            <w:r w:rsidRPr="003C060C">
              <w:rPr>
                <w:vertAlign w:val="superscript"/>
              </w:rPr>
              <w:t>35</w:t>
            </w:r>
            <w:r w:rsidRPr="003C060C">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36</w:t>
            </w:r>
            <w:r w:rsidRPr="003C060C">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tc>
        <w:tc>
          <w:tcPr>
            <w:tcW w:w="4876" w:type="dxa"/>
            <w:hideMark/>
          </w:tcPr>
          <w:p w:rsidR="00B67536" w:rsidRPr="003C060C" w:rsidRDefault="00B54D08">
            <w:pPr>
              <w:pStyle w:val="Normal6"/>
              <w:rPr>
                <w:szCs w:val="24"/>
              </w:rPr>
            </w:pPr>
            <w:r w:rsidRPr="003C060C">
              <w:rPr>
                <w:vertAlign w:val="superscript"/>
              </w:rPr>
              <w:t>36</w:t>
            </w:r>
            <w:r w:rsidRPr="003C060C">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37</w:t>
            </w:r>
            <w:r w:rsidRPr="003C060C">
              <w:t xml:space="preserve"> Směrnice Evropského parlamentu a Rady 2002/58/ES ze dne 12. července 2002 o zpracování osobních údajů a ochraně soukromí v odvětví elektronických komunikací (Úř. věst. L 201, 31.7.2002, s. 37).</w:t>
            </w:r>
          </w:p>
        </w:tc>
        <w:tc>
          <w:tcPr>
            <w:tcW w:w="4876" w:type="dxa"/>
            <w:hideMark/>
          </w:tcPr>
          <w:p w:rsidR="00B67536" w:rsidRPr="003C060C" w:rsidRDefault="00B54D08">
            <w:pPr>
              <w:pStyle w:val="Normal6"/>
              <w:rPr>
                <w:szCs w:val="24"/>
              </w:rPr>
            </w:pPr>
            <w:r w:rsidRPr="003C060C">
              <w:rPr>
                <w:vertAlign w:val="superscript"/>
              </w:rPr>
              <w:t>37</w:t>
            </w:r>
            <w:r w:rsidRPr="003C060C">
              <w:t xml:space="preserve"> Směrnice Evropského parlamentu a Rady 2002/58/ES ze dne 12. července 2002 o zpracování osobních údajů a ochraně soukromí v odvětví elektronických komunikací (Úř. věst. L 201, 31.7.2002, s. 37).</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(71)</w:t>
            </w:r>
            <w:r w:rsidRPr="003C060C">
              <w:tab/>
              <w:t>Digitální euro by proto mělo mít takovou podobu, aby poskytovatelé platebních služeb a Evropská centrální banka zpracovávali osobní údaje pouze v rozsahu nezbytném pro zajištění řádného fungování digitálního eura. Digitální euro by mělo být k dispozici offline, s určitou úrovní ochrany soukromí vůči poskytovatelům platebních služeb, která je srovnatelná s výběry bankovek v bankomatech. Vypořádání transakcí v digitálních eurech by mělo být řešeno tak, aby Evropská centrální banka ani národní centrální banky nemohly přiřadit údaje k identifikovanému nebo identifikovatelnému uživateli digitálního eura.</w:t>
            </w:r>
          </w:p>
        </w:tc>
        <w:tc>
          <w:tcPr>
            <w:tcW w:w="4876" w:type="dxa"/>
            <w:hideMark/>
          </w:tcPr>
          <w:p w:rsidR="00B67536" w:rsidRPr="003C060C" w:rsidRDefault="00B54D08">
            <w:pPr>
              <w:pStyle w:val="Normal6"/>
              <w:rPr>
                <w:szCs w:val="24"/>
              </w:rPr>
            </w:pPr>
            <w:r w:rsidRPr="003C060C">
              <w:t>(71)</w:t>
            </w:r>
            <w:r w:rsidRPr="003C060C">
              <w:tab/>
              <w:t>Digitální euro by proto mělo mít takovou podobu, aby poskytovatelé platebních služeb a Evropská centrální banka zpracovávali osobní údaje pouze v rozsahu nezbytném pro zajištění řádného fungování digitálního eura,</w:t>
            </w:r>
            <w:r w:rsidRPr="003C060C">
              <w:rPr>
                <w:b/>
                <w:bCs/>
                <w:i/>
                <w:iCs/>
              </w:rPr>
              <w:t xml:space="preserve"> jak je uvedeno v čl. 5 odst. 1 písm. c) obecného nařízení o ochraně osobních údajů</w:t>
            </w:r>
            <w:r w:rsidRPr="003C060C">
              <w:t xml:space="preserve">. Digitální euro by mělo být k dispozici offline, s určitou úrovní ochrany soukromí vůči poskytovatelům platebních služeb, která je srovnatelná s výběry bankovek v bankomatech. Vypořádání transakcí v digitálních eurech by mělo být řešeno tak, aby Evropská centrální banka ani národní centrální banky nemohly přiřadit údaje k identifikovanému nebo identifikovatelnému uživateli digitálního eura. </w:t>
            </w:r>
            <w:r w:rsidRPr="003C060C">
              <w:rPr>
                <w:b/>
                <w:i/>
              </w:rPr>
              <w:t>Pro účely ověření a identifikace a v souladu se zásadami minimalizace údajů a záměrného a standardního nastavení ochrany soukromí, jak je stanoveno v nařízení (EU) 2016/679, by měli poskytovatelé platebních služeb mimoto používat standardně metody ověřování a identifikace, které nevycházejí z biometrických údajů.</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(72)</w:t>
            </w:r>
            <w:r w:rsidRPr="003C060C">
              <w:tab/>
              <w:t xml:space="preserve">Součástí všech systémů zpracovávání osobních údajů, které jsou v rámci tohoto nařízení vytvořeny a používány, by měla být záměrná ochrana osobních údajů a standardní ochrana osobních údajů. Zpracování osobních údajů by mělo být předmětem vhodných záruk na ochranu práv a svobod subjektu údajů. Tato ochranná opatření by měla zajistit, aby byla zavedena zejména technická a organizační opatření k zajištění dodržování zásad ochrany údajů stanovených v nařízení (EU) 2016/679 a nařízení (EU) </w:t>
            </w:r>
            <w:r w:rsidRPr="003C060C">
              <w:rPr>
                <w:b/>
                <w:bCs/>
                <w:i/>
                <w:iCs/>
              </w:rPr>
              <w:t>2018/1715</w:t>
            </w:r>
            <w:r w:rsidRPr="003C060C">
              <w:t>, včetně minimalizace údajů a účelového omezení.</w:t>
            </w:r>
          </w:p>
        </w:tc>
        <w:tc>
          <w:tcPr>
            <w:tcW w:w="4876" w:type="dxa"/>
            <w:hideMark/>
          </w:tcPr>
          <w:p w:rsidR="00B67536" w:rsidRPr="003C060C" w:rsidRDefault="00B54D08">
            <w:pPr>
              <w:pStyle w:val="Normal6"/>
              <w:rPr>
                <w:szCs w:val="24"/>
              </w:rPr>
            </w:pPr>
            <w:r w:rsidRPr="003C060C">
              <w:t>(72)</w:t>
            </w:r>
            <w:r w:rsidRPr="003C060C">
              <w:tab/>
              <w:t xml:space="preserve">Součástí všech systémů zpracovávání osobních údajů, které jsou v rámci tohoto nařízení vytvořeny a používány, by měla být záměrná ochrana osobních údajů a standardní ochrana osobních údajů. Zpracování osobních údajů by mělo být předmětem vhodných záruk na ochranu práv a svobod subjektu údajů. Tato ochranná opatření by měla zajistit, aby byla zavedena zejména technická a organizační opatření k zajištění dodržování zásad ochrany údajů stanovených v nařízení (EU) 2016/679 a nařízení (EU) </w:t>
            </w:r>
            <w:r w:rsidRPr="003C060C">
              <w:rPr>
                <w:b/>
                <w:bCs/>
                <w:i/>
                <w:iCs/>
              </w:rPr>
              <w:t>2018/1725</w:t>
            </w:r>
            <w:r w:rsidRPr="003C060C">
              <w:t xml:space="preserve">, včetně minimalizace údajů a účelového omezení. </w:t>
            </w:r>
            <w:r w:rsidRPr="003C060C">
              <w:rPr>
                <w:b/>
                <w:i/>
              </w:rPr>
              <w:t>Evropský sbor pro ochranu údajů může po konzultaci s Evropskou centrální bankou vydat pokyny k provádění vhodných technických a organizačních opatření, včetně technik pseudonymizace pro účely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(73)</w:t>
            </w:r>
            <w:r w:rsidRPr="003C060C">
              <w:tab/>
              <w:t xml:space="preserve">Poskytovatelé platebních služeb by měli mít možnost zpracovávat osobní údaje, pokud je to nutné pro plnění úkolů, které jsou nezbytné pro řádné fungování digitálního eura. V souladu s čl. 6 odst. 1 písm. c) nařízení (EU) 2016/679 by se činnosti zpracování měly považovat za zákonné, pokud jde o digitální euro, pokud jsou nezbytné pro splnění právní povinnosti, která se na správce vztahuje podle tohoto nařízení, a v rozsahu, v jakém jsou nezbytné. V rámci tohoto nařízení je zpracování osobních údajů pro účely vymáhání omezení držby, zahájení financování a definancování držby uživatele a správy místních úložných zařízení pro offline platby v digitálních eurech úkolem ve veřejném zájmu, který je nezbytný pro ochranu občanů využívajících digitální euro, jakož i pro stabilitu a integritu finančního systému Unie. Správcem osobních údajů, pokud jde o tyto úkoly, jsou poskytovatelé platebních služeb. Kromě toho mohou poskytovatelé platebních služeb zpracovávat osobní údaje </w:t>
            </w:r>
            <w:r w:rsidRPr="003C060C">
              <w:rPr>
                <w:b/>
                <w:bCs/>
                <w:i/>
                <w:iCs/>
              </w:rPr>
              <w:t>za účelem plnění stávajících úkolů ve veřejném zájmu nebo</w:t>
            </w:r>
            <w:r w:rsidRPr="003C060C">
              <w:t xml:space="preserve"> za účelem splnění právní povinnosti stanovené v právu Unie, které se vztahuje na peněžní prostředky vymezené ve směrnici (EU) 2015/2366. Tyto úkoly se týkají poskytování platebních služeb a předcházení podvodům a jejich odhalování v souladu se směrnicí (EU) 2015/2366, boje proti praní peněz a financování terorismu v souladu se směrnicí (EU) 2015/849, plnění povinností souvisejících s daněmi a vyhýbáním se daňovým povinnostem a řízení operačních a bezpečnostních rizik v souladu s nařízením (EU) 2022/255.</w:t>
            </w:r>
          </w:p>
        </w:tc>
        <w:tc>
          <w:tcPr>
            <w:tcW w:w="4876" w:type="dxa"/>
            <w:hideMark/>
          </w:tcPr>
          <w:p w:rsidR="00B67536" w:rsidRPr="003C060C" w:rsidRDefault="00B54D08">
            <w:pPr>
              <w:pStyle w:val="Normal6"/>
              <w:rPr>
                <w:szCs w:val="24"/>
              </w:rPr>
            </w:pPr>
            <w:r w:rsidRPr="003C060C">
              <w:t>(73)</w:t>
            </w:r>
            <w:r w:rsidRPr="003C060C">
              <w:tab/>
              <w:t>Poskytovatelé platebních služeb by měli mít možnost zpracovávat osobní údaje, pokud je to nutné pro plnění úkolů, které jsou nezbytné pro řádné fungování digitálního eura. V souladu s čl. 6 odst. 1 písm. c) nařízení (EU) 2016/679 by se činnosti zpracování měly považovat za zákonné, pokud jde o digitální euro, pokud jsou nezbytné pro splnění právní povinnosti, která se na správce vztahuje podle tohoto nařízení, a v rozsahu, v jakém jsou nezbytné. V rámci tohoto nařízení je zpracování osobních údajů pro účely vymáhání omezení držby, zahájení financování a definancování držby uživatele a správy místních úložných zařízení pro offline platby v digitálních eurech úkolem ve veřejném zájmu, který je nezbytný pro ochranu občanů využívajících digitální euro, jakož i pro stabilitu a integritu finančního systému Unie. Správcem osobních údajů, pokud jde o tyto úkoly, jsou poskytovatelé platebních služeb. Kromě toho mohou poskytovatelé platebních služeb zpracovávat osobní údaje za účelem splnění právní povinnosti stanovené v právu Unie, která se vztahuje na peněžní prostředky definované ve směrnici (EU) 2015/2366. Tyto úkoly se týkají poskytování platebních služeb a předcházení podvodům a jejich odhalování v souladu se směrnicí (EU) 2015/2366, boje proti praní peněz a financování terorismu v souladu se směrnicí (EU) 2015/849, plnění povinností souvisejících s daněmi a vyhýbáním se daňovým povinnostem a řízení operačních a bezpečnostních rizik v souladu s nařízením (EU) 2022/255.</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75</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(75)</w:t>
            </w:r>
            <w:r w:rsidRPr="003C060C">
              <w:tab/>
              <w:t>Offline platební transakce v digitálních eurech jsou platby, ke kterým dochází v těsné fyzické blízkosti („na místě“). Jsou podobné transakcím v hotovosti a mělo by se s nimi zacházet podobným způsobem, pokud jde o ochranu osobních údajů. Poskytovatelé platebních služeb by proto neměli zpracovávat osobní údaje související s offline platebními transakcemi v digitálních eurech, ale pouze osobní údaje související s vkládáním nebo vybíráním digitálních eur z platebních účtů v digitálních eurech za účelem jejich nahrání na místní úložná zařízení nebo z místních úložných zařízení na platební účty v digitálních eurech. To zahrnuje identifikátor místních úložných zařízení, který poskytovatelé platebních služeb přiřadí uživateli digitálního eura, jenž drží offline digitální euro. Tato úroveň soukromí by byla srovnatelná s výběry bankovek v bankomatech, kdy poskytovatelé platebních služeb zpracovávají osobní údaje týkající se totožnosti uživatele a údaje o tom, jak byly provedeny transakce financování a definancování. To znamená, že u offline plateb v digitálních eurech by nemělo docházet ke sledování transakčních údajů.</w:t>
            </w:r>
          </w:p>
        </w:tc>
        <w:tc>
          <w:tcPr>
            <w:tcW w:w="4876" w:type="dxa"/>
            <w:hideMark/>
          </w:tcPr>
          <w:p w:rsidR="00B67536" w:rsidRPr="003C060C" w:rsidRDefault="00B54D08">
            <w:pPr>
              <w:pStyle w:val="Normal6"/>
              <w:rPr>
                <w:szCs w:val="24"/>
              </w:rPr>
            </w:pPr>
            <w:r w:rsidRPr="003C060C">
              <w:t>(75)</w:t>
            </w:r>
            <w:r w:rsidRPr="003C060C">
              <w:tab/>
              <w:t>Offline platební transakce v digitálních eurech jsou platby, ke kterým dochází v těsné fyzické blízkosti („na místě“). Jsou podobné transakcím v hotovosti a mělo by se s nimi zacházet podobným způsobem, pokud jde o ochranu osobních údajů.</w:t>
            </w:r>
            <w:r w:rsidRPr="003C060C">
              <w:rPr>
                <w:b/>
                <w:i/>
              </w:rPr>
              <w:t xml:space="preserve"> </w:t>
            </w:r>
            <w:r w:rsidRPr="003C060C">
              <w:rPr>
                <w:b/>
                <w:bCs/>
                <w:i/>
                <w:iCs/>
              </w:rPr>
              <w:t>V tomto smyslu je zásadní, aby vytvoření offline digitálního eura neposkytovalo základ pro sledování nebo kontrolu toho, jak je vynakládáno ve srovnání s hotovostí.</w:t>
            </w:r>
            <w:r w:rsidRPr="003C060C">
              <w:t xml:space="preserve"> Poskytovatelé platebních služeb by proto neměli zpracovávat osobní údaje související s offline platebními transakcemi v digitálních eurech, ale pouze osobní údaje související s vkládáním nebo vybíráním digitálních eur z platebních účtů v digitálních eurech za účelem jejich nahrání na místní úložná zařízení nebo z místních úložných zařízení na platební účty v digitálních eurech. To zahrnuje identifikátor místních úložných zařízení, který poskytovatelé platebních služeb přiřadí uživateli digitálního eura, jenž drží offline digitální euro. Tato úroveň soukromí by byla srovnatelná s výběry bankovek v bankomatech, kdy poskytovatelé platebních služeb zpracovávají osobní údaje týkající se totožnosti uživatele a údaje o tom, jak byly provedeny transakce financování a definancování. To znamená, že u offline plateb v digitálních eurech by nemělo docházet ke sledování transakčních údajů.</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76</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(76)</w:t>
            </w:r>
            <w:r w:rsidRPr="003C060C">
              <w:tab/>
              <w:t>Evropská centrální banka a národní centrální banky mohou zpracovávat osobní údaje, pokud je to nutné pro plnění úkolů, které jsou nezbytné pro řádné fungování digitálního eura. V rámci tohoto nařízení je zpracování osobních údajů pro účely vypořádání platebních transakcí v digitálních eurech a řízení bezpečnosti a integrity infrastruktury digitálního eura úkolem ve veřejném zájmu, který je nezbytný pro ochranu občanů využívajících digitální euro, jakož i pro stabilitu a integritu finančního systému Unie. Úkol udržovat bezpečnost a integritu digitální infrastruktury eura zahrnuje činnosti související se zajištěním stability a provozní odolnosti digitálního eura. Správcem osobních údajů, pokud jde o tyto úkoly, by byla Evropská centrální banka a národní centrální banky. Evropská centrální banka a národní centrální banky by pro tyto úkoly zpracovávaly osobní údaje za použití nejmodernějších bezpečnostních opatření a opatření na ochranu soukromí, jako je pseudonymizace nebo šifrování, aby bylo zajištěno, že údaje nelze použít k přímé identifikaci konkrétního uživatele digitálního eura.</w:t>
            </w:r>
          </w:p>
        </w:tc>
        <w:tc>
          <w:tcPr>
            <w:tcW w:w="4876" w:type="dxa"/>
            <w:hideMark/>
          </w:tcPr>
          <w:p w:rsidR="00B67536" w:rsidRPr="003C060C" w:rsidRDefault="00B54D08">
            <w:pPr>
              <w:pStyle w:val="Normal6"/>
              <w:rPr>
                <w:szCs w:val="24"/>
              </w:rPr>
            </w:pPr>
            <w:r w:rsidRPr="003C060C">
              <w:t>(76)</w:t>
            </w:r>
            <w:r w:rsidRPr="003C060C">
              <w:tab/>
              <w:t xml:space="preserve">Evropská centrální banka a národní centrální banky mohou zpracovávat osobní údaje, pokud je to nutné pro plnění úkolů, které jsou nezbytné pro řádné fungování digitálního eura. V rámci tohoto nařízení je zpracování osobních údajů pro účely vypořádání platebních transakcí v digitálních eurech a řízení bezpečnosti a integrity infrastruktury digitálního eura úkolem ve veřejném zájmu, který je nezbytný pro ochranu občanů využívajících digitální euro, jakož i pro stabilitu a integritu finančního systému Unie. </w:t>
            </w:r>
            <w:r w:rsidRPr="003C060C">
              <w:rPr>
                <w:b/>
                <w:bCs/>
                <w:i/>
                <w:iCs/>
              </w:rPr>
              <w:t>Právní základ pro zpracování osobních údajů je proto stanoven v čl. 6 odst. 1 písm. e) nařízení (EU) 2016/679 pro národní banky a v čl. 5 odst. 1 písm. a) nařízení (EU) 2018/1725 pro Evropskou centrální banku.</w:t>
            </w:r>
            <w:r w:rsidRPr="003C060C">
              <w:rPr>
                <w:b/>
                <w:i/>
              </w:rPr>
              <w:t xml:space="preserve"> </w:t>
            </w:r>
            <w:r w:rsidRPr="003C060C">
              <w:t>Úkol udržovat bezpečnost a integritu digitální infrastruktury eura zahrnuje činnosti související se zajištěním stability a provozní odolnosti digitálního eura. Správcem osobních údajů, pokud jde o tyto úkoly, by byla Evropská centrální banka a národní centrální banky. Evropská centrální banka a národní centrální banky by pro tyto úkoly zpracovávaly osobní údaje za použití nejmodernějších bezpečnostních opatření a opatření na ochranu soukromí, jako je pseudonymizace nebo šifrování, aby bylo zajištěno, že údaje nelze použít k přímé identifikaci konkrétního uživatele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77</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(77)</w:t>
            </w:r>
            <w:r w:rsidRPr="003C060C">
              <w:tab/>
              <w:t>Pro účely vymáhání omezení držby a zajištění výjimečného přechodu platebních účtů v digitálních eurech v mimořádných situacích na žádost uživatele digitálního eura je k zajištění účinného fungování digitálního eura v celé eurozóně nezbytné jednotné místo přístupu k identifikátorům uživatelů digitálního eura a souvisejícím omezením držby digitálního eura, neboť uživatelé digitálního eura mohou mít platební účty v digitálních eurech v různých členských státech. Při zřizování jednotného přístupového bodu by Evropská centrální banka a národní centrální banky měly zajistit, aby zpracování osobních údajů bylo minimalizováno na nezbytně nutnou míru a aby součástí byla záměrná a standardní ochrana údajů. Evropská centrální banka a národní centrální banky by měly v případě potřeby a s cílem minimalizovat riziko narušení bezpečnosti údajů zvážit využití decentralizovaného ukládání údajů.</w:t>
            </w:r>
          </w:p>
        </w:tc>
        <w:tc>
          <w:tcPr>
            <w:tcW w:w="4876" w:type="dxa"/>
            <w:hideMark/>
          </w:tcPr>
          <w:p w:rsidR="00B67536" w:rsidRPr="003C060C" w:rsidRDefault="00B54D08">
            <w:pPr>
              <w:pStyle w:val="Normal6"/>
              <w:rPr>
                <w:szCs w:val="24"/>
              </w:rPr>
            </w:pPr>
            <w:r w:rsidRPr="003C060C">
              <w:t>(77)</w:t>
            </w:r>
            <w:r w:rsidRPr="003C060C">
              <w:tab/>
              <w:t xml:space="preserve">Pro účely vymáhání omezení držby a zajištění výjimečného přechodu platebních účtů v digitálních eurech v mimořádných situacích na žádost uživatele digitálního eura je k zajištění účinného fungování digitálního eura v celé eurozóně nezbytné jednotné místo přístupu k identifikátorům uživatelů digitálního eura a souvisejícím omezením držby digitálního eura, neboť uživatelé digitálního eura mohou mít platební účty v digitálních eurech v různých členských státech. Při zřizování jednotného přístupového bodu by Evropská centrální banka a národní centrální banky měly zajistit, aby zpracování osobních údajů bylo minimalizováno na nezbytně nutnou </w:t>
            </w:r>
            <w:r w:rsidRPr="003C060C">
              <w:rPr>
                <w:b/>
                <w:bCs/>
                <w:i/>
                <w:iCs/>
              </w:rPr>
              <w:t>a přiměřenou</w:t>
            </w:r>
            <w:r w:rsidRPr="003C060C">
              <w:t xml:space="preserve"> míru a aby součástí byla záměrná a standardní ochrana údajů. Evropská centrální banka a národní centrální banky by měly v případě potřeby a s cílem minimalizovat riziko narušení bezpečnosti údajů zvážit využití decentralizovaného ukládání údajů. </w:t>
            </w:r>
            <w:r w:rsidRPr="003C060C">
              <w:rPr>
                <w:b/>
                <w:i/>
              </w:rPr>
              <w:t>Mohou rovněž zvážit přijetí opatření k zajištění toho, aby si uživatelé mohli splatit zůstatky na účtu přímo pomocí záložního kódu.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78</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(78)</w:t>
            </w:r>
            <w:r w:rsidRPr="003C060C">
              <w:tab/>
              <w:t>V balíčku o předcházení využívání finančního systému k praní peněz a financování terorismu, který Komise přijala 21. července 2021</w:t>
            </w:r>
            <w:r w:rsidRPr="003C060C">
              <w:rPr>
                <w:vertAlign w:val="superscript"/>
              </w:rPr>
              <w:t>38</w:t>
            </w:r>
            <w:r w:rsidRPr="003C060C">
              <w:t xml:space="preserve"> (dále jen „balíček AML“), navrhla Komise výrazně posílit pravidla boje proti praní peněz </w:t>
            </w:r>
            <w:r w:rsidRPr="003C060C">
              <w:rPr>
                <w:b/>
                <w:bCs/>
                <w:i/>
                <w:iCs/>
              </w:rPr>
              <w:t>(</w:t>
            </w:r>
            <w:r w:rsidRPr="003C060C">
              <w:t>dále jen</w:t>
            </w:r>
            <w:r w:rsidRPr="003C060C">
              <w:rPr>
                <w:b/>
                <w:bCs/>
                <w:i/>
                <w:iCs/>
              </w:rPr>
              <w:t xml:space="preserve"> AML</w:t>
            </w:r>
            <w:r w:rsidRPr="003C060C">
              <w:t>) v celé Unii. V souladu s tímto cílem a v zájmu zajištění účinného uplatňování požadavků na digitální euro v oblasti boje proti praní peněz a financování terorismu by toto nařízení mělo stanovit, že se na online platební transakce v digitálních eurech vztahují požadavky v oblasti boje proti praní peněz a financování terorismu stanovené ve směrnici (EU) 2015/849.</w:t>
            </w:r>
          </w:p>
        </w:tc>
        <w:tc>
          <w:tcPr>
            <w:tcW w:w="4876" w:type="dxa"/>
            <w:hideMark/>
          </w:tcPr>
          <w:p w:rsidR="00B67536" w:rsidRPr="003C060C" w:rsidRDefault="00B54D08">
            <w:pPr>
              <w:pStyle w:val="Normal6"/>
              <w:rPr>
                <w:szCs w:val="24"/>
              </w:rPr>
            </w:pPr>
            <w:r w:rsidRPr="003C060C">
              <w:t>(78)</w:t>
            </w:r>
            <w:r w:rsidRPr="003C060C">
              <w:tab/>
              <w:t>V balíčku o předcházení využívání finančního systému k praní peněz a financování terorismu, který Komise přijala 21. července 2021</w:t>
            </w:r>
            <w:r w:rsidRPr="003C060C">
              <w:rPr>
                <w:vertAlign w:val="superscript"/>
              </w:rPr>
              <w:t>38</w:t>
            </w:r>
            <w:r w:rsidRPr="003C060C">
              <w:t xml:space="preserve"> (dále jen „balíček AML“), navrhla Komise výrazně posílit pravidla boje proti praní peněz </w:t>
            </w:r>
            <w:r w:rsidRPr="003C060C">
              <w:rPr>
                <w:b/>
                <w:bCs/>
                <w:i/>
                <w:iCs/>
              </w:rPr>
              <w:t>a financování terorismu</w:t>
            </w:r>
            <w:r w:rsidRPr="003C060C">
              <w:t xml:space="preserve"> (dále jen </w:t>
            </w:r>
            <w:r w:rsidRPr="003C060C">
              <w:rPr>
                <w:b/>
                <w:bCs/>
                <w:i/>
                <w:iCs/>
              </w:rPr>
              <w:t>AML/CFT</w:t>
            </w:r>
            <w:r w:rsidRPr="003C060C">
              <w:t>) v celé Unii. V souladu s tímto cílem a v zájmu zajištění účinného uplatňování požadavků na digitální euro v oblasti boje proti praní peněz a financování terorismu by toto nařízení mělo stanovit, že se na online platební transakce v digitálních eurech vztahují požadavky v oblasti boje proti praní peněz a financování terorismu stanovené ve směrnici (EU) 2015/849.</w:t>
            </w:r>
            <w:r w:rsidRPr="003C060C">
              <w:rPr>
                <w:vertAlign w:val="superscript"/>
              </w:rPr>
              <w:t xml:space="preserve"> </w:t>
            </w:r>
          </w:p>
        </w:tc>
      </w:tr>
      <w:tr w:rsidR="004911FF" w:rsidRPr="003C060C" w:rsidTr="00B67536">
        <w:trPr>
          <w:jc w:val="center"/>
        </w:trPr>
        <w:tc>
          <w:tcPr>
            <w:tcW w:w="4876" w:type="dxa"/>
            <w:hideMark/>
          </w:tcPr>
          <w:p w:rsidR="00B67536" w:rsidRPr="003C060C" w:rsidRDefault="00B54D08">
            <w:pPr>
              <w:pStyle w:val="Normal6"/>
            </w:pPr>
            <w:r w:rsidRPr="003C060C">
              <w:t>__________________</w:t>
            </w:r>
          </w:p>
        </w:tc>
        <w:tc>
          <w:tcPr>
            <w:tcW w:w="4876" w:type="dxa"/>
            <w:hideMark/>
          </w:tcPr>
          <w:p w:rsidR="00B67536" w:rsidRPr="003C060C" w:rsidRDefault="00B54D08">
            <w:pPr>
              <w:pStyle w:val="Normal6"/>
              <w:rPr>
                <w:szCs w:val="24"/>
              </w:rPr>
            </w:pPr>
            <w:r w:rsidRPr="003C060C">
              <w:t>__________________</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38</w:t>
            </w:r>
            <w:r w:rsidRPr="003C060C">
              <w:t xml:space="preserve"> Návrh nařízení o předcházení využívání finančního systému k praní peněz nebo financování terorismu (COM/2021/420 final); návrh směrnice o mechanismech, které mají zavést členské státy pro předcházení využívání finančního systému k praní peněz nebo financování terorismu, a o zrušení směrnice (EU) 2015/849 (COM/2021/423 final); návrh nařízení, kterým se zřizuje orgán EU pro boj proti praní peněz a financování terorismu („AMLA“) (COM/2021/421 final) a návrh přepracovaného znění nařízení (EU) 2015/847, kterým se požadavky na sledovatelnost rozšiřují na kryptoaktiva (COM/2021/422 final).</w:t>
            </w:r>
          </w:p>
        </w:tc>
        <w:tc>
          <w:tcPr>
            <w:tcW w:w="4876" w:type="dxa"/>
            <w:hideMark/>
          </w:tcPr>
          <w:p w:rsidR="00B67536" w:rsidRPr="003C060C" w:rsidRDefault="00B54D08">
            <w:pPr>
              <w:pStyle w:val="Normal6"/>
              <w:rPr>
                <w:szCs w:val="24"/>
              </w:rPr>
            </w:pPr>
            <w:r w:rsidRPr="003C060C">
              <w:rPr>
                <w:vertAlign w:val="superscript"/>
              </w:rPr>
              <w:t>38</w:t>
            </w:r>
            <w:r w:rsidRPr="003C060C">
              <w:t xml:space="preserve"> Návrh nařízení o předcházení využívání finančního systému k praní peněz nebo financování terorismu (COM/2021/420 final); návrh směrnice o mechanismech, které mají zavést členské státy pro předcházení využívání finančního systému k praní peněz nebo financování terorismu, a o zrušení směrnice (EU) 2015/849 (COM/2021/423 final); návrh nařízení, kterým se zřizuje orgán EU pro boj proti praní peněz a financování terorismu („AMLA“) (COM/2021/421 final) a návrh přepracovaného znění nařízení (EU) 2015/847, kterým se požadavky na sledovatelnost rozšiřují na kryptoaktiva (COM/2021/422 final).</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29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Bod odůvodnění 79</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(79)</w:t>
            </w:r>
            <w:r w:rsidRPr="003C060C">
              <w:tab/>
              <w:t>Za účelem usnadnění všeobecného rozšíření digitálního eura je nezbytné, aby potenciální uživatelé digitálního eura měli v celé eurozóně harmonizovaným způsobem snadný přístup k platebním službám v digitálních eurech poskytovaným poskytovateli platebních služeb. Je proto vhodné, aniž by byl vyloučen přístup na základě rizik, který je základem balíčku opatření proti praní peněz, aby se Orgán pro boj proti praní peněz (dále jen „AMLA“) Unie zabýval ve svých regulačních technických normách týkajících se náležité péče o klienta zřizováním platebních účtů v digitálních eurech. U transakcí nebo obchodních vztahů s nízkým rizikem by orgán AMLA měl určit příslušná zjednodušená opatření náležité péče, která by poskytovatelé platebních služeb měli uplatňovat. Pro orgán AMLA by mělo být vypracování těchto regulačních technických norem prioritou.</w:t>
            </w:r>
          </w:p>
        </w:tc>
        <w:tc>
          <w:tcPr>
            <w:tcW w:w="4876" w:type="dxa"/>
            <w:hideMark/>
          </w:tcPr>
          <w:p w:rsidR="00B67536" w:rsidRPr="003C060C" w:rsidRDefault="00B54D08">
            <w:pPr>
              <w:pStyle w:val="Normal6"/>
              <w:rPr>
                <w:szCs w:val="24"/>
              </w:rPr>
            </w:pPr>
            <w:r w:rsidRPr="003C060C">
              <w:t>(79)</w:t>
            </w:r>
            <w:r w:rsidRPr="003C060C">
              <w:tab/>
              <w:t>Za účelem usnadnění všeobecného rozšíření digitálního eura je nezbytné, aby potenciální uživatelé digitálního eura měli v celé eurozóně harmonizovaným způsobem snadný přístup k platebním službám v digitálních eurech poskytovaným poskytovateli platebních služeb. Je proto vhodné, aniž by byl vyloučen přístup na základě rizik, který je základem legislativního balíčku opatření proti praní peněz, aby se Orgán pro boj proti praní peněz (dále jen „AMLA“) Unie zabýval ve svých regulačních technických normách týkajících se náležité péče o klienta</w:t>
            </w:r>
            <w:r w:rsidRPr="003C060C">
              <w:rPr>
                <w:b/>
                <w:bCs/>
                <w:i/>
                <w:iCs/>
              </w:rPr>
              <w:t>,</w:t>
            </w:r>
            <w:r w:rsidRPr="003C060C">
              <w:t xml:space="preserve"> </w:t>
            </w:r>
            <w:r w:rsidRPr="003C060C">
              <w:rPr>
                <w:b/>
                <w:bCs/>
                <w:i/>
                <w:iCs/>
              </w:rPr>
              <w:t>vypracovaných v souladu s článkem 22 nařízení o boji proti praní peněz [návrh NAŘÍZENÍ EVROPSKÉHO PARLAMENTU A RADY o předcházení využívání finančního systému k praní peněz nebo financování terorismu],</w:t>
            </w:r>
            <w:r w:rsidRPr="003C060C">
              <w:t xml:space="preserve"> zřizováním platebních účtů v digitálních eurech. U transakcí nebo obchodních vztahů s nízkým rizikem by orgán AMLA měl určit příslušná zjednodušená opatření náležité péče, která by poskytovatelé platebních služeb měli uplatňovat. Pro orgán AMLA by mělo být vypracování těchto regulačních technických norem prioritou.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 – odst. 1 – bod 5</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5)</w:t>
            </w:r>
            <w:r w:rsidRPr="003C060C">
              <w:tab/>
              <w:t xml:space="preserve">„platebním účtem v digitálních eurech“ účet vedený jedním nebo více uživateli digitálního eura u poskytovatele platebních služeb pro přístup k digitálnímu euru zaznamenaným v infrastruktuře pro vypořádání digitálního eura nebo v </w:t>
            </w:r>
            <w:r w:rsidRPr="003C060C">
              <w:rPr>
                <w:b/>
                <w:bCs/>
                <w:i/>
                <w:iCs/>
              </w:rPr>
              <w:t>offline</w:t>
            </w:r>
            <w:r w:rsidRPr="003C060C">
              <w:t xml:space="preserve"> zařízení </w:t>
            </w:r>
            <w:r w:rsidRPr="003C060C">
              <w:rPr>
                <w:b/>
                <w:bCs/>
                <w:i/>
                <w:iCs/>
              </w:rPr>
              <w:t>pro digitální euro</w:t>
            </w:r>
            <w:r w:rsidRPr="003C060C">
              <w:t xml:space="preserve"> a pro iniciování nebo přijímání platebních transakcí v digitálních eurech, ať už offline, nebo online, a to bez ohledu na technologii a strukturu dat;</w:t>
            </w:r>
          </w:p>
        </w:tc>
        <w:tc>
          <w:tcPr>
            <w:tcW w:w="4876" w:type="dxa"/>
            <w:hideMark/>
          </w:tcPr>
          <w:p w:rsidR="00B67536" w:rsidRPr="003C060C" w:rsidRDefault="00B54D08">
            <w:pPr>
              <w:pStyle w:val="Normal6"/>
              <w:rPr>
                <w:szCs w:val="24"/>
              </w:rPr>
            </w:pPr>
            <w:r w:rsidRPr="003C060C">
              <w:t>5)</w:t>
            </w:r>
            <w:r w:rsidRPr="003C060C">
              <w:tab/>
              <w:t>„platebním účtem v digitálních eurech“ účet vedený jedním nebo více uživateli digitálního eura u poskytovatele platebních služeb pro přístup k digitálnímu euru zaznamenaným v infrastruktuře pro vypořádání digitálního eura nebo v</w:t>
            </w:r>
            <w:r w:rsidRPr="003C060C">
              <w:rPr>
                <w:b/>
                <w:bCs/>
                <w:i/>
                <w:iCs/>
              </w:rPr>
              <w:t xml:space="preserve"> místním úložném</w:t>
            </w:r>
            <w:r w:rsidRPr="003C060C">
              <w:t xml:space="preserve"> zařízení a pro iniciování nebo přijímání platebních transakcí v digitálních eurech, ať už offline, nebo online, a to bez ohledu na technologii a strukturu dat;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 – odst. 1 – bod 28</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28)</w:t>
            </w:r>
            <w:r w:rsidRPr="003C060C">
              <w:tab/>
              <w:t xml:space="preserve">„pseudonymem uživatele“ </w:t>
            </w:r>
            <w:r w:rsidRPr="003C060C">
              <w:rPr>
                <w:b/>
                <w:bCs/>
                <w:i/>
                <w:iCs/>
              </w:rPr>
              <w:t>jedinečný</w:t>
            </w:r>
            <w:r w:rsidRPr="003C060C">
              <w:t xml:space="preserve"> pseudonymní identifikátor </w:t>
            </w:r>
            <w:r w:rsidRPr="003C060C">
              <w:rPr>
                <w:b/>
                <w:bCs/>
                <w:i/>
                <w:iCs/>
              </w:rPr>
              <w:t>používaný</w:t>
            </w:r>
            <w:r w:rsidRPr="003C060C">
              <w:t xml:space="preserve"> k ochraně totožnosti uživatele při zpracování plateb v digitálním euru, který může k identifikovatelné fyzické nebo právnické osobě přiřadit pouze poskytovatel platebních služeb </w:t>
            </w:r>
            <w:r w:rsidRPr="003C060C">
              <w:rPr>
                <w:b/>
                <w:bCs/>
                <w:i/>
                <w:iCs/>
              </w:rPr>
              <w:t>distribuující digitální euro</w:t>
            </w:r>
            <w:r w:rsidRPr="003C060C">
              <w:t xml:space="preserve"> nebo uživatel digitálního eura;</w:t>
            </w:r>
          </w:p>
        </w:tc>
        <w:tc>
          <w:tcPr>
            <w:tcW w:w="4876" w:type="dxa"/>
            <w:hideMark/>
          </w:tcPr>
          <w:p w:rsidR="00B67536" w:rsidRPr="003C060C" w:rsidRDefault="00B54D08">
            <w:pPr>
              <w:pStyle w:val="Normal6"/>
              <w:rPr>
                <w:szCs w:val="24"/>
              </w:rPr>
            </w:pPr>
            <w:r w:rsidRPr="003C060C">
              <w:t>28)</w:t>
            </w:r>
            <w:r w:rsidRPr="003C060C">
              <w:tab/>
              <w:t xml:space="preserve">„pseudonymem uživatele“ pseudonymní identifikátor </w:t>
            </w:r>
            <w:r w:rsidRPr="003C060C">
              <w:rPr>
                <w:b/>
                <w:bCs/>
                <w:i/>
                <w:iCs/>
              </w:rPr>
              <w:t>složený z jedinečného čísla účtu v digitálních eurech a na žádost uživatele digitálního eura z dalších zástupných údajů, který jednoznačně identifikuje platební účet v digitálních eurech a který se používá</w:t>
            </w:r>
            <w:r w:rsidRPr="003C060C">
              <w:t xml:space="preserve"> k ochraně totožnosti uživatele při zpracování plateb v digitálním euru, který může k identifikovatelné fyzické nebo právnické osobě přiřadit pouze poskytovatel platebních služeb nebo uživatel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 – odst. 1 – bod 31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31)</w:t>
            </w:r>
            <w:r w:rsidRPr="003C060C">
              <w:tab/>
              <w:t>„mobilním zařízením“ zařízení, které umožňuje uživatelům digitálního eura autorizovat online nebo offline platební transakce v digitálních eurech, včetně zejména chytrých telefonů, tabletů, chytrých hodinek a nositelné elektroniky všeho druhu.</w:t>
            </w:r>
          </w:p>
        </w:tc>
        <w:tc>
          <w:tcPr>
            <w:tcW w:w="4876" w:type="dxa"/>
            <w:hideMark/>
          </w:tcPr>
          <w:p w:rsidR="00B67536" w:rsidRPr="003C060C" w:rsidRDefault="00B54D08">
            <w:pPr>
              <w:pStyle w:val="Normal6"/>
              <w:rPr>
                <w:szCs w:val="24"/>
              </w:rPr>
            </w:pPr>
            <w:r w:rsidRPr="003C060C">
              <w:t>31)</w:t>
            </w:r>
            <w:r w:rsidRPr="003C060C">
              <w:tab/>
              <w:t xml:space="preserve">„mobilním zařízením“ </w:t>
            </w:r>
            <w:r w:rsidRPr="003C060C">
              <w:rPr>
                <w:b/>
                <w:bCs/>
                <w:i/>
                <w:iCs/>
              </w:rPr>
              <w:t xml:space="preserve">platební terminál nebo </w:t>
            </w:r>
            <w:r w:rsidRPr="003C060C">
              <w:t xml:space="preserve">zařízení, které umožňuje uživatelům digitálního eura </w:t>
            </w:r>
            <w:r w:rsidRPr="003C060C">
              <w:rPr>
                <w:b/>
                <w:bCs/>
                <w:i/>
                <w:iCs/>
              </w:rPr>
              <w:t xml:space="preserve">bezpečně </w:t>
            </w:r>
            <w:r w:rsidRPr="003C060C">
              <w:t xml:space="preserve">autorizovat online nebo offline platební transakce v digitálních eurech, včetně zejména chytrých telefonů, tabletů, chytrých hodinek a nositelné elektroniky všeho druhu </w:t>
            </w:r>
            <w:r w:rsidRPr="003C060C">
              <w:rPr>
                <w:b/>
                <w:bCs/>
                <w:i/>
                <w:iCs/>
              </w:rPr>
              <w:t>a rovněž</w:t>
            </w:r>
            <w:r w:rsidRPr="003C060C">
              <w:t xml:space="preserve"> </w:t>
            </w:r>
            <w:r w:rsidRPr="003C060C">
              <w:rPr>
                <w:b/>
                <w:bCs/>
                <w:i/>
                <w:iCs/>
              </w:rPr>
              <w:t>karet a USB paměťových jednotek obsahujících místní úložné zařízení</w:t>
            </w:r>
            <w:r w:rsidRPr="003C060C">
              <w:t xml:space="preserve"> </w:t>
            </w:r>
            <w:r w:rsidRPr="003C060C">
              <w:rPr>
                <w:b/>
                <w:bCs/>
                <w:i/>
                <w:iCs/>
              </w:rPr>
              <w:t>a dalších</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 – odst. 1 – bod 31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31a)</w:t>
            </w:r>
            <w:r w:rsidRPr="003C060C">
              <w:rPr>
                <w:b/>
                <w:i/>
              </w:rPr>
              <w:tab/>
              <w:t>„místním úložným zařízením“ mobilní zařízení nebo platební terminál, které se používají k autorizaci a zúčtování platebních transakcí v offline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5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Digitální euro se řídí ustanoveními tohoto nařízení doplněnými akty v přenesené pravomoci, které je Komise oprávněna přijímat podle článků 11, 33, 34, 35 a 38, a prováděcími akty, které je Komise oprávněna přijímat podle článku 37.</w:t>
            </w:r>
          </w:p>
        </w:tc>
        <w:tc>
          <w:tcPr>
            <w:tcW w:w="4876" w:type="dxa"/>
            <w:hideMark/>
          </w:tcPr>
          <w:p w:rsidR="00B67536" w:rsidRPr="003C060C" w:rsidRDefault="00B54D08">
            <w:pPr>
              <w:pStyle w:val="Normal6"/>
              <w:rPr>
                <w:szCs w:val="24"/>
              </w:rPr>
            </w:pPr>
            <w:r w:rsidRPr="003C060C">
              <w:t>1.</w:t>
            </w:r>
            <w:r w:rsidRPr="003C060C">
              <w:tab/>
              <w:t xml:space="preserve">Digitální euro se řídí ustanoveními tohoto nařízení doplněnými akty v přenesené pravomoci, které je Komise oprávněna přijímat podle článků 11, 33, 34, 35 a 38, a prováděcími akty, které je Komise oprávněna přijímat podle článku 37. </w:t>
            </w:r>
            <w:r w:rsidRPr="003C060C">
              <w:rPr>
                <w:b/>
                <w:i/>
              </w:rPr>
              <w:t>Při vypracovávání aktů v přenesené pravomoci a prováděcích aktů podle článků uvedených v tomto odstavci Komise plně uplatňuje zásady záměrné a standardní ochrany údajů, jak jsou definovány v nařízení (EU) 2016/679.</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5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V rámci tohoto nařízení se digitální euro řídí rovněž podrobnými opatřeními, pravidly a normami, které může v rámci svých pravomocí přijmout Evropská centrální banka. Pokud mají tato podrobná opatření, pravidla a normy dopad na ochranu práv a svobod jednotlivců v souvislosti se zpracováním osobních údajů, konzultuje Evropská centrální banka jejich přijetí s evropským inspektorem ochrany údajů.</w:t>
            </w:r>
          </w:p>
        </w:tc>
        <w:tc>
          <w:tcPr>
            <w:tcW w:w="4876" w:type="dxa"/>
            <w:hideMark/>
          </w:tcPr>
          <w:p w:rsidR="00B67536" w:rsidRPr="003C060C" w:rsidRDefault="00B54D08">
            <w:pPr>
              <w:pStyle w:val="Normal6"/>
              <w:rPr>
                <w:szCs w:val="24"/>
              </w:rPr>
            </w:pPr>
            <w:r w:rsidRPr="003C060C">
              <w:t>2.</w:t>
            </w:r>
            <w:r w:rsidRPr="003C060C">
              <w:tab/>
              <w:t xml:space="preserve">V rámci tohoto nařízení se digitální euro řídí rovněž podrobnými opatřeními, pravidly a normami, které může v rámci svých pravomocí přijmout Evropská centrální banka. Pokud mají tato podrobná opatření, pravidla a normy dopad na </w:t>
            </w:r>
            <w:r w:rsidRPr="003C060C">
              <w:rPr>
                <w:b/>
                <w:bCs/>
                <w:i/>
                <w:iCs/>
              </w:rPr>
              <w:t>soukromí a </w:t>
            </w:r>
            <w:r w:rsidRPr="003C060C">
              <w:t xml:space="preserve">ochranu práv a svobod jednotlivců v souvislosti se zpracováním </w:t>
            </w:r>
            <w:r w:rsidRPr="003C060C">
              <w:rPr>
                <w:b/>
                <w:bCs/>
                <w:i/>
                <w:iCs/>
              </w:rPr>
              <w:t xml:space="preserve">jejich </w:t>
            </w:r>
            <w:r w:rsidRPr="003C060C">
              <w:t>osobních údajů, konzultuje Evropská centrální banka jejich přijetí s evropským inspektorem ochrany údajů.</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Tato podrobná opatření, pravidla a normy provádějí zásady záměrné a standardní ochrany údajů, jak jsou definovány v nařízení (EU) 2016/679, a zavedou technologie zvyšující ochranu soukromí, pokud je to technicky možné.</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6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Směrnice Evropského parlamentu a Rady (EU) 2015/2366 ze dne 25. listopadu 2015 o platebních službách na vnitřním trhu, nahrazená směrnicí (EU) [vložte prosím odkaz – návrh směrnice o platebních službách a službách elektronických peněz na vnitřním trhu – COM/2023/366 final], upravuje dohled příslušných orgánů, režim sankcí a ujednání o dohledu mezi příslušnými orgány domovských členských států a hostitelských členských států, pokud jde o plnění povinností poskytovatelů platebních služeb podle kapitol IV, V, VI a VII tohoto nařízení.</w:t>
            </w:r>
          </w:p>
        </w:tc>
        <w:tc>
          <w:tcPr>
            <w:tcW w:w="4876" w:type="dxa"/>
            <w:hideMark/>
          </w:tcPr>
          <w:p w:rsidR="00B67536" w:rsidRPr="003C060C" w:rsidRDefault="00B54D08">
            <w:pPr>
              <w:pStyle w:val="Normal6"/>
              <w:rPr>
                <w:szCs w:val="24"/>
              </w:rPr>
            </w:pPr>
            <w:r w:rsidRPr="003C060C">
              <w:t>2.</w:t>
            </w:r>
            <w:r w:rsidRPr="003C060C">
              <w:tab/>
              <w:t xml:space="preserve">Směrnice Evropského parlamentu a Rady (EU) 2015/2366 ze dne 25. listopadu 2015 o platebních službách na vnitřním trhu, nahrazená směrnicí (EU) [vložte prosím odkaz – návrh směrnice o platebních službách a službách elektronických peněz na vnitřním trhu – COM/2023/366 final] </w:t>
            </w:r>
            <w:r w:rsidRPr="003C060C">
              <w:rPr>
                <w:b/>
                <w:bCs/>
                <w:i/>
                <w:iCs/>
              </w:rPr>
              <w:t>a nařízením (EU) [vložte prosím odkaz – návrh nařízení o platebních službách na vnitřním trhu a o změně nařízení (EU) č. 1093/2010 – COM(2023) 367 final]</w:t>
            </w:r>
            <w:r w:rsidRPr="003C060C">
              <w:t>, upravuje dohled příslušných orgánů, režim sankcí a ujednání o dohledu mezi příslušnými orgány domovských členských států a hostitelských členských států, pokud jde o plnění povinností poskytovatelů platebních služeb podle kapitol IV, V, VI a VII tohoto nařízení.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6 – odst. 2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2a.</w:t>
            </w:r>
            <w:r w:rsidRPr="003C060C">
              <w:rPr>
                <w:b/>
                <w:i/>
              </w:rPr>
              <w:tab/>
              <w:t>Nařízení (EU) 2016/679 a nařízení (EU) 2018/1725 upravují dohled příslušných orgánů, režim sankcí a ujednání o dohledu mezi příslušnými orgány domovských členských států a hostitelských členských států, pokud jde o plnění povinností správců údajů podle kapitoly VIII tohoto nařízení.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9 – odst. 1 – písm. a</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a)</w:t>
            </w:r>
            <w:r w:rsidRPr="003C060C">
              <w:tab/>
              <w:t xml:space="preserve">pokud je příjemce podnikem, který zaměstnává méně než </w:t>
            </w:r>
            <w:r w:rsidRPr="003C060C">
              <w:rPr>
                <w:b/>
                <w:bCs/>
                <w:i/>
                <w:iCs/>
              </w:rPr>
              <w:t>deset</w:t>
            </w:r>
            <w:r w:rsidRPr="003C060C">
              <w:t xml:space="preserve"> osob nebo jehož roční obrat nebo bilanční suma roční rozvahy nepřesahuje </w:t>
            </w:r>
            <w:r w:rsidRPr="003C060C">
              <w:rPr>
                <w:b/>
                <w:bCs/>
                <w:i/>
                <w:iCs/>
              </w:rPr>
              <w:t>2</w:t>
            </w:r>
            <w:r w:rsidRPr="003C060C">
              <w:t> </w:t>
            </w:r>
            <w:r w:rsidRPr="003C060C">
              <w:rPr>
                <w:b/>
                <w:bCs/>
                <w:i/>
                <w:iCs/>
              </w:rPr>
              <w:t>miliony</w:t>
            </w:r>
            <w:r w:rsidRPr="003C060C">
              <w:t xml:space="preserve"> EUR, nebo je neziskovou právnickou osobou ve smyslu čl. 2 bodu 18 nařízení Evropského parlamentu a Rady (EU) 2021/695</w:t>
            </w:r>
            <w:r w:rsidRPr="003C060C">
              <w:rPr>
                <w:vertAlign w:val="superscript"/>
              </w:rPr>
              <w:t>44</w:t>
            </w:r>
            <w:r w:rsidRPr="003C060C">
              <w:t xml:space="preserve">, pokud nepřijímá </w:t>
            </w:r>
            <w:r w:rsidRPr="003C060C">
              <w:rPr>
                <w:b/>
                <w:bCs/>
                <w:i/>
                <w:iCs/>
              </w:rPr>
              <w:t>srovnatelné</w:t>
            </w:r>
            <w:r w:rsidRPr="003C060C">
              <w:t xml:space="preserve"> digitální platební prostředky;</w:t>
            </w:r>
          </w:p>
        </w:tc>
        <w:tc>
          <w:tcPr>
            <w:tcW w:w="4876" w:type="dxa"/>
            <w:hideMark/>
          </w:tcPr>
          <w:p w:rsidR="00B67536" w:rsidRPr="003C060C" w:rsidRDefault="00B54D08">
            <w:pPr>
              <w:pStyle w:val="Normal6"/>
              <w:rPr>
                <w:szCs w:val="24"/>
              </w:rPr>
            </w:pPr>
            <w:r w:rsidRPr="003C060C">
              <w:t>a)</w:t>
            </w:r>
            <w:r w:rsidRPr="003C060C">
              <w:tab/>
              <w:t xml:space="preserve">pokud je příjemce podnikem, který zaměstnává méně než </w:t>
            </w:r>
            <w:r w:rsidRPr="003C060C">
              <w:rPr>
                <w:b/>
                <w:bCs/>
                <w:i/>
                <w:iCs/>
              </w:rPr>
              <w:t>padesát</w:t>
            </w:r>
            <w:r w:rsidRPr="003C060C">
              <w:t xml:space="preserve"> osob nebo jehož roční obrat nebo bilanční suma roční rozvahy nepřesahuje </w:t>
            </w:r>
            <w:r w:rsidRPr="003C060C">
              <w:rPr>
                <w:b/>
                <w:bCs/>
                <w:i/>
                <w:iCs/>
              </w:rPr>
              <w:t>5 milionů</w:t>
            </w:r>
            <w:r w:rsidRPr="003C060C">
              <w:t xml:space="preserve"> EUR, nebo je neziskovou právnickou osobou ve smyslu čl. 2 bodu 18 nařízení Evropského parlamentu a Rady (EU) 2021/695</w:t>
            </w:r>
            <w:r w:rsidRPr="003C060C">
              <w:rPr>
                <w:vertAlign w:val="superscript"/>
              </w:rPr>
              <w:t>44</w:t>
            </w:r>
            <w:r w:rsidRPr="003C060C">
              <w:t>, pokud nepřijímá digitální platební prostředky;</w:t>
            </w:r>
          </w:p>
        </w:tc>
      </w:tr>
      <w:tr w:rsidR="004911FF" w:rsidRPr="003C060C" w:rsidTr="00B67536">
        <w:trPr>
          <w:jc w:val="center"/>
        </w:trPr>
        <w:tc>
          <w:tcPr>
            <w:tcW w:w="4876" w:type="dxa"/>
            <w:hideMark/>
          </w:tcPr>
          <w:p w:rsidR="00B67536" w:rsidRPr="003C060C" w:rsidRDefault="00B54D08">
            <w:pPr>
              <w:pStyle w:val="Normal6"/>
            </w:pPr>
            <w:r w:rsidRPr="003C060C">
              <w:t>__________________</w:t>
            </w:r>
          </w:p>
        </w:tc>
        <w:tc>
          <w:tcPr>
            <w:tcW w:w="4876" w:type="dxa"/>
            <w:hideMark/>
          </w:tcPr>
          <w:p w:rsidR="00B67536" w:rsidRPr="003C060C" w:rsidRDefault="00B54D08">
            <w:pPr>
              <w:pStyle w:val="Normal6"/>
              <w:rPr>
                <w:szCs w:val="24"/>
              </w:rPr>
            </w:pPr>
            <w:r w:rsidRPr="003C060C">
              <w:t>__________________</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44</w:t>
            </w:r>
            <w:r w:rsidRPr="003C060C">
              <w:t xml:space="preserve"> Nařízení Evropského parlamentu a Rady (EU) 2021/695 ze dne 28. dubna 2021, kterým se zavádí rámcový program pro výzkum a inovace Horizont Evropa a stanoví pravidla pro účast a šíření výsledků a zrušují nařízení (EU) č. 1290/2013 a (EU) č. 1291/2013 (Úř. věst. L 170, 12.5.2021, s. 1).</w:t>
            </w:r>
          </w:p>
        </w:tc>
        <w:tc>
          <w:tcPr>
            <w:tcW w:w="4876" w:type="dxa"/>
            <w:hideMark/>
          </w:tcPr>
          <w:p w:rsidR="00B67536" w:rsidRPr="003C060C" w:rsidRDefault="00B54D08">
            <w:pPr>
              <w:pStyle w:val="Normal6"/>
              <w:rPr>
                <w:szCs w:val="24"/>
              </w:rPr>
            </w:pPr>
            <w:r w:rsidRPr="003C060C">
              <w:rPr>
                <w:vertAlign w:val="superscript"/>
              </w:rPr>
              <w:t>44</w:t>
            </w:r>
            <w:r w:rsidRPr="003C060C">
              <w:t xml:space="preserve"> Nařízení Evropského parlamentu a Rady (EU) 2021/695 ze dne 28. dubna 2021, kterým se zavádí rámcový program pro výzkum a inovace Horizont Evropa a stanoví pravidla pro účast a šíření výsledků a zrušují nařízení (EU) č. 1290/2013 a (EU) č. 1291/2013 (Úř. věst. L 170, 12.5.2021, s. 1).</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39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13 – odst. 1 – pododstavec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Evropská centrální banka může uživatelům digitálního eura uvedeným v písmenech b) a c) omezit přístup k digitálnímu euru a jeho používání v čase, a to za podmínek stanovených v čl. 16 odst. 2. Tyto lhůty se stanoví v závislosti na statusu pobytu nebo návštěvníka uživatelů digitálního eura.</w:t>
            </w:r>
          </w:p>
        </w:tc>
        <w:tc>
          <w:tcPr>
            <w:tcW w:w="4876" w:type="dxa"/>
            <w:hideMark/>
          </w:tcPr>
          <w:p w:rsidR="00B67536" w:rsidRPr="003C060C" w:rsidRDefault="00B54D08">
            <w:pPr>
              <w:pStyle w:val="Normal6"/>
              <w:rPr>
                <w:szCs w:val="24"/>
              </w:rPr>
            </w:pPr>
            <w:r w:rsidRPr="003C060C">
              <w:t xml:space="preserve">Evropská centrální banka může </w:t>
            </w:r>
            <w:r w:rsidRPr="003C060C">
              <w:rPr>
                <w:b/>
                <w:bCs/>
                <w:i/>
                <w:iCs/>
              </w:rPr>
              <w:t>za účelem ochrany cílů své měnové politiky</w:t>
            </w:r>
            <w:r w:rsidRPr="003C060C">
              <w:t xml:space="preserve"> uživatelům digitálního eura uvedeným v písmenech b) a c) omezit přístup k digitálnímu euru a jeho používání v čase, a to za podmínek stanovených v čl. 16 odst. 2. Tyto lhůty se stanoví v závislosti na statusu pobytu nebo návštěvníka uživatelů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13 – odst. 4 – pododstavec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Pro účely písmen a) a b) a po</w:t>
            </w:r>
            <w:r w:rsidRPr="003C060C">
              <w:rPr>
                <w:b/>
                <w:bCs/>
                <w:i/>
                <w:iCs/>
              </w:rPr>
              <w:t xml:space="preserve"> předchozím souhlasu</w:t>
            </w:r>
            <w:r w:rsidRPr="003C060C">
              <w:t xml:space="preserve"> uživatelů digitálního eura propojí poskytovatelé platebních služeb každý platební účet v digitálních eurech s jedním platebním účtem v nedigitálních eurech, který určí uživatelé digitálního eura. Uživatelé digitálního eura mají možnost mít tento určený platební účet v nedigitálních eurech u jiného poskytovatele platebních služeb, než u kterého je veden daný platební účet v digitálních eurech.</w:t>
            </w:r>
          </w:p>
        </w:tc>
        <w:tc>
          <w:tcPr>
            <w:tcW w:w="4876" w:type="dxa"/>
            <w:hideMark/>
          </w:tcPr>
          <w:p w:rsidR="00B67536" w:rsidRPr="003C060C" w:rsidRDefault="00B54D08">
            <w:pPr>
              <w:pStyle w:val="Normal6"/>
              <w:rPr>
                <w:szCs w:val="24"/>
              </w:rPr>
            </w:pPr>
            <w:r w:rsidRPr="003C060C">
              <w:t xml:space="preserve">Pro účely písmen a) a b) a po </w:t>
            </w:r>
            <w:r w:rsidRPr="003C060C">
              <w:rPr>
                <w:b/>
                <w:bCs/>
                <w:i/>
                <w:iCs/>
              </w:rPr>
              <w:t>svolení</w:t>
            </w:r>
            <w:r w:rsidRPr="003C060C">
              <w:t xml:space="preserve"> uživatelů digitálního eura propojí poskytovatelé platebních služeb každý platební účet v digitálních eurech s jedním platebním účtem v nedigitálních eurech, který určí uživatelé digitálního eura. Uživatelé digitálního eura mají možnost mít tento určený platební účet v nedigitálních eurech u jiného poskytovatele platebních služeb, než u kterého je veden daný platební účet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13 – odst. 6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6a.</w:t>
            </w:r>
            <w:r w:rsidRPr="003C060C">
              <w:rPr>
                <w:b/>
                <w:i/>
              </w:rPr>
              <w:tab/>
              <w:t>V případě, že poskytovatel platebních služeb poskytující platební služby v digitálních eurech vstoupí do insolvenčního nebo jiného podobného řízení, nemá to vliv na držbu digitálního eura uživateli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14 – odst. 3 – písm. a</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a)</w:t>
            </w:r>
            <w:r w:rsidRPr="003C060C">
              <w:tab/>
              <w:t xml:space="preserve">poskytovali základní platební služby v digitálních eurech fyzickým osobám </w:t>
            </w:r>
            <w:r w:rsidRPr="003C060C">
              <w:rPr>
                <w:b/>
                <w:bCs/>
                <w:i/>
                <w:iCs/>
              </w:rPr>
              <w:t>uvedeným v čl. 13 odst. 1 písm. a), které nemají nebo nechtějí mít platební účet v nedigitálních eurech</w:t>
            </w:r>
            <w:r w:rsidRPr="003C060C">
              <w:t>;</w:t>
            </w:r>
          </w:p>
        </w:tc>
        <w:tc>
          <w:tcPr>
            <w:tcW w:w="4876" w:type="dxa"/>
            <w:hideMark/>
          </w:tcPr>
          <w:p w:rsidR="00B67536" w:rsidRPr="003C060C" w:rsidRDefault="00B54D08">
            <w:pPr>
              <w:pStyle w:val="Normal6"/>
              <w:rPr>
                <w:szCs w:val="24"/>
              </w:rPr>
            </w:pPr>
            <w:r w:rsidRPr="003C060C">
              <w:t>a)</w:t>
            </w:r>
            <w:r w:rsidRPr="003C060C">
              <w:tab/>
              <w:t>poskytovali základní platební služby v digitálních eurech fyzickým osobám;</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14 – odst. 3 – písm. b</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b)</w:t>
            </w:r>
            <w:r w:rsidRPr="003C060C">
              <w:tab/>
              <w:t>poskytovali základní digitální platební služby a zajišťovali podporu digitálního začleňování poskytovanou na místě ve fyzické blízkosti osobám se zdravotním postižením, funkčním omezením nebo omezenými digitálními dovednostmi a starším lidem.</w:t>
            </w:r>
          </w:p>
        </w:tc>
        <w:tc>
          <w:tcPr>
            <w:tcW w:w="4876" w:type="dxa"/>
            <w:hideMark/>
          </w:tcPr>
          <w:p w:rsidR="00B67536" w:rsidRPr="003C060C" w:rsidRDefault="00B54D08">
            <w:pPr>
              <w:pStyle w:val="Normal6"/>
              <w:rPr>
                <w:szCs w:val="24"/>
              </w:rPr>
            </w:pPr>
            <w:r w:rsidRPr="003C060C">
              <w:t>b)</w:t>
            </w:r>
            <w:r w:rsidRPr="003C060C">
              <w:tab/>
              <w:t xml:space="preserve">poskytovali základní digitální platební služby a zajišťovali podporu digitálního začleňování poskytovanou na místě ve fyzické blízkosti </w:t>
            </w:r>
            <w:r w:rsidRPr="003C060C">
              <w:rPr>
                <w:b/>
                <w:bCs/>
                <w:i/>
                <w:iCs/>
              </w:rPr>
              <w:t xml:space="preserve">všem uživatelům, přičemž zvláštní pozornost věnují </w:t>
            </w:r>
            <w:r w:rsidRPr="003C060C">
              <w:t>osobám se zdravotním postižením, funkčním omezením nebo omezenými digitálními dovednostmi a starším lidem.</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14 – odst. 3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3a.</w:t>
            </w:r>
            <w:r w:rsidRPr="003C060C">
              <w:rPr>
                <w:b/>
                <w:i/>
              </w:rPr>
              <w:tab/>
              <w:t>Členské státy zajistí, aby všichni uživatelé digitálního eura získali dostatečný a účinný přístup k subjektům uvedeným v prvním pododstavci s vysokou úrovní podpory a služeb, přizpůsobených zejména konkrétním potřebám zranitelných spotřebitelů.</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14 – odst. 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Poskytovatelé platebních služeb uvedení v odstavcích 1 až 3 poskytují podporu digitálnímu začleňování osob se zdravotním postižením, funkčním omezením nebo omezenými digitálními dovednostmi a starších osob. Aniž je dotčen odst. 3 písm. b), zahrnuje podpora digitálního začleňování specializovanou pomoc pro vstup na účet v digitálních eurech a používání všech základních služeb v digitálních eurech.</w:t>
            </w:r>
          </w:p>
        </w:tc>
        <w:tc>
          <w:tcPr>
            <w:tcW w:w="4876" w:type="dxa"/>
            <w:hideMark/>
          </w:tcPr>
          <w:p w:rsidR="00B67536" w:rsidRPr="003C060C" w:rsidRDefault="00B54D08">
            <w:pPr>
              <w:pStyle w:val="Normal6"/>
              <w:rPr>
                <w:szCs w:val="24"/>
              </w:rPr>
            </w:pPr>
            <w:r w:rsidRPr="003C060C">
              <w:t>4.</w:t>
            </w:r>
            <w:r w:rsidRPr="003C060C">
              <w:tab/>
              <w:t xml:space="preserve">Poskytovatelé platebních služeb uvedení v odstavcích 1 až 3 poskytují podporu digitálnímu začleňování osob se zdravotním postižením, funkčním omezením nebo omezenými digitálními dovednostmi a starších osob. Aniž je dotčen odst. 3 písm. b), zahrnuje podpora digitálního začleňování specializovanou pomoc pro vstup na účet v digitálních eurech a používání všech základních služeb v digitálních eurech. </w:t>
            </w:r>
            <w:r w:rsidRPr="003C060C">
              <w:rPr>
                <w:b/>
                <w:i/>
              </w:rPr>
              <w:t>Podpora digitálního začleňování se poskytuje zdarma jako součást základních služeb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14 – odst. 5</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5.</w:t>
            </w:r>
            <w:r w:rsidRPr="003C060C">
              <w:tab/>
              <w:t>Orgán Unie pro boj proti praní peněz (dále jen „AMLA“) zřízený podle nařízení (EU) [vložte odkaz – návrh nařízení, kterým se zřizuje orgán EU pro boj proti praní peněz a financování terorismu (dále jen „AMLA“) (COM/2021/421 final)] a Evropský orgán pro bankovnictví společně vydají pokyny upřesňující vzájemný vztah mezi požadavky na boj proti praní peněz a financování terorismu a poskytováním základních platebních služeb v digitálních eurech se zvláštním zaměřením na finanční začlenění zranitelných skupin, včetně žadatelů o azyl nebo osob požívajících mezinárodní ochrany, osob bez stálé adresy nebo státních příslušníků třetích zemí, kterým nebylo uděleno povolení k pobytu, ale jejichž vyhoštění není možné z právních nebo faktických důvodů.</w:t>
            </w:r>
          </w:p>
        </w:tc>
        <w:tc>
          <w:tcPr>
            <w:tcW w:w="4876" w:type="dxa"/>
            <w:hideMark/>
          </w:tcPr>
          <w:p w:rsidR="00B67536" w:rsidRPr="003C060C" w:rsidRDefault="00B54D08">
            <w:pPr>
              <w:pStyle w:val="Normal6"/>
              <w:rPr>
                <w:szCs w:val="24"/>
              </w:rPr>
            </w:pPr>
            <w:r w:rsidRPr="003C060C">
              <w:t>5.</w:t>
            </w:r>
            <w:r w:rsidRPr="003C060C">
              <w:tab/>
            </w:r>
            <w:r w:rsidRPr="003C060C">
              <w:rPr>
                <w:i/>
                <w:iCs/>
              </w:rPr>
              <w:t>(Netýká se českého znění.)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16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Pro účely čl. 15 odst. 1 vypracuje Evropská centrální banka nástroje k omezení používání digitálního eura jako uchovatele hodnoty a rozhodne o jejich parametrech a použití v souladu s rámcem stanoveným v tomto článku. Poskytovatelé platebních služeb, kteří poskytují platební služby vedení účtu ve smyslu směrnice (EU) 2015/2366 fyzickým a právnickým osobám uvedeným v čl. 12 odst. 1, použijí tato omezení na platební účty v digitálních eurech.</w:t>
            </w:r>
          </w:p>
        </w:tc>
        <w:tc>
          <w:tcPr>
            <w:tcW w:w="4876" w:type="dxa"/>
            <w:hideMark/>
          </w:tcPr>
          <w:p w:rsidR="00B67536" w:rsidRPr="003C060C" w:rsidRDefault="00B54D08">
            <w:pPr>
              <w:pStyle w:val="Normal6"/>
              <w:rPr>
                <w:szCs w:val="24"/>
              </w:rPr>
            </w:pPr>
            <w:r w:rsidRPr="003C060C">
              <w:t>1.</w:t>
            </w:r>
            <w:r w:rsidRPr="003C060C">
              <w:tab/>
              <w:t>Pro účely čl. 15 odst. 1</w:t>
            </w:r>
            <w:r w:rsidRPr="003C060C">
              <w:rPr>
                <w:b/>
                <w:bCs/>
                <w:i/>
                <w:iCs/>
              </w:rPr>
              <w:t>, podle něhož by měla být stanovena omezení,</w:t>
            </w:r>
            <w:r w:rsidRPr="003C060C">
              <w:t xml:space="preserve"> vypracuje Evropská centrální banka nástroje k omezení používání digitálního eura jako uchovatele hodnoty a rozhodne o jejich parametrech a použití v souladu s rámcem stanoveným v tomto článku. Poskytovatelé platebních služeb, kteří poskytují platební služby vedení účtu ve smyslu směrnice (EU) 2015/2366 fyzickým a právnickým osobám uvedeným v čl. 12 odst. 1, použijí tato omezení na platební účty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16 – odst. 2 – písm. c a (nové)</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ca)</w:t>
            </w:r>
            <w:r w:rsidRPr="003C060C">
              <w:rPr>
                <w:b/>
                <w:i/>
              </w:rPr>
              <w:tab/>
              <w:t>odrážet současné trendy a rizika související s praním peněz a financováním terorismu.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49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16 – odst. 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Veškerá omezení držby týkající se platebních účtů v digitálních eurech přijatá podle odstavce 1 se vztahují jak na offline, tak na online držbu. Pokud uživatel digitálního eura používá offline i online digitální euro, omezení, které se vztahuje na online digitální euro, se rovná celkovému omezení stanovenému Evropskou centrální bankou sníženému o omezení držby offline digitálního eura stanovené uživateli digitálního eura. Uživatel digitálního eura může nastavit své omezení offline držby na libovolnou částku mezi nulou a omezením držby stanoveným v souladu s článkem 37.</w:t>
            </w:r>
          </w:p>
        </w:tc>
        <w:tc>
          <w:tcPr>
            <w:tcW w:w="4876" w:type="dxa"/>
            <w:hideMark/>
          </w:tcPr>
          <w:p w:rsidR="00B67536" w:rsidRPr="003C060C" w:rsidRDefault="00B54D08">
            <w:pPr>
              <w:pStyle w:val="Normal6"/>
              <w:rPr>
                <w:szCs w:val="24"/>
              </w:rPr>
            </w:pPr>
            <w:r w:rsidRPr="003C060C">
              <w:t>4.</w:t>
            </w:r>
            <w:r w:rsidRPr="003C060C">
              <w:tab/>
              <w:t xml:space="preserve">Veškerá omezení držby týkající se platebních účtů v digitálních eurech přijatá podle odstavce 1 se vztahují jak na offline, tak na online držbu. Pokud uživatel digitálního eura používá offline i online digitální euro, omezení, které se vztahuje na online digitální euro, se rovná celkovému omezení stanovenému Evropskou centrální bankou sníženému o omezení držby offline digitálního eura stanovené uživateli digitálního eura. Uživatel digitálního eura může nastavit své omezení offline držby na libovolnou částku mezi nulou a omezením držby stanoveným v souladu s článkem 37. </w:t>
            </w:r>
            <w:r w:rsidRPr="003C060C">
              <w:rPr>
                <w:b/>
                <w:i/>
              </w:rPr>
              <w:t>Evropská centrální banka může rovněž zvážit zavedení vzájemně nezávislých omezení pro online a offline digitální euro s cílem co nejlépe chránit soukromí uživatelů offline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17 – odst. 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Evropská centrální banka může požadovat, aby poskytovatelé platebních služeb poskytovali veškeré informace nezbytné pro uplatňování tohoto článku a pro ověřování jeho dodržování. Veškeré požadované informace zašlou poskytovatelé platebních služeb ve lhůtě stanovené Evropskou centrální bankou. Evropská centrální banka může požadovat ověření takových informací nezávislým auditorem.</w:t>
            </w:r>
          </w:p>
        </w:tc>
        <w:tc>
          <w:tcPr>
            <w:tcW w:w="4876" w:type="dxa"/>
            <w:hideMark/>
          </w:tcPr>
          <w:p w:rsidR="00B67536" w:rsidRPr="003C060C" w:rsidRDefault="00B54D08">
            <w:pPr>
              <w:pStyle w:val="Normal6"/>
              <w:rPr>
                <w:szCs w:val="24"/>
              </w:rPr>
            </w:pPr>
            <w:r w:rsidRPr="003C060C">
              <w:t>4.</w:t>
            </w:r>
            <w:r w:rsidRPr="003C060C">
              <w:tab/>
              <w:t>Evropská centrální banka může požadovat, aby poskytovatelé platebních služeb poskytovali veškeré informace nezbytné pro uplatňování tohoto článku a pro ověřování jeho dodržování.</w:t>
            </w:r>
            <w:r w:rsidRPr="003C060C">
              <w:rPr>
                <w:b/>
                <w:i/>
              </w:rPr>
              <w:t xml:space="preserve"> </w:t>
            </w:r>
            <w:r w:rsidRPr="003C060C">
              <w:rPr>
                <w:b/>
                <w:bCs/>
                <w:i/>
                <w:iCs/>
              </w:rPr>
              <w:t>Pokud se tyto informace týkají osobních údajů, vyžaduje Evropská centrální banka pouze ty údaje, které jsou nezbytně nutné pro účely zpracování a při plném uplatňování zásady minimalizace údajů.</w:t>
            </w:r>
            <w:r w:rsidRPr="003C060C">
              <w:t xml:space="preserve"> Veškeré požadované informace zašlou poskytovatelé platebních služeb ve lhůtě stanovené Evropskou centrální bankou. Evropská centrální banka může požadovat ověření takových informací nezávislým auditorem. </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18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Poskytovatelé platebních služeb mohou distribuovat digitální euro fyzickým a právnickým osobám, které mají bydliště nebo jsou usazeny v členském státě, jehož měnou není euro, pouze tehdy, pokud Evropská centrální banka a národní centrální banka tohoto členského státu podepsaly příslušnou dohodu.</w:t>
            </w:r>
          </w:p>
        </w:tc>
        <w:tc>
          <w:tcPr>
            <w:tcW w:w="4876" w:type="dxa"/>
            <w:hideMark/>
          </w:tcPr>
          <w:p w:rsidR="00B67536" w:rsidRPr="003C060C" w:rsidRDefault="00B54D08">
            <w:pPr>
              <w:pStyle w:val="Normal6"/>
              <w:rPr>
                <w:szCs w:val="24"/>
              </w:rPr>
            </w:pPr>
            <w:r w:rsidRPr="003C060C">
              <w:t>1.</w:t>
            </w:r>
            <w:r w:rsidRPr="003C060C">
              <w:tab/>
              <w:t xml:space="preserve">Poskytovatelé platebních služeb mohou distribuovat digitální euro fyzickým a právnickým osobám, které mají bydliště nebo jsou usazeny v členském státě, jehož měnou není euro, pouze tehdy, pokud Evropská centrální banka a národní centrální banka tohoto členského státu podepsaly příslušnou dohodu. </w:t>
            </w:r>
            <w:r w:rsidRPr="003C060C">
              <w:rPr>
                <w:b/>
                <w:i/>
              </w:rPr>
              <w:t>V rámci takového ujednání se fyzickým a právnickým osobám, které mají bydliště nebo jsou usazeny v daném členském státě, které se chtějí stát uživateli digitálního eura, poskytují stejné podmínky a příležitosti pro používání digitálního eura jako uživatelům digitálního eura v členských státech, jejichž měnou je euro, aniž jsou dotčeny výsady Evropské centrální banky chránit cíle své měnové politiky.</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18 – odst.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r>
            <w:r w:rsidRPr="003C060C">
              <w:rPr>
                <w:b/>
                <w:bCs/>
                <w:i/>
                <w:iCs/>
              </w:rPr>
              <w:t>Dohoda</w:t>
            </w:r>
            <w:r w:rsidRPr="003C060C">
              <w:t xml:space="preserve"> podle odstavce 1 stanoví nezbytná prováděcí opatření a postupy, jakož i případy, kdy může být </w:t>
            </w:r>
            <w:r w:rsidRPr="003C060C">
              <w:rPr>
                <w:b/>
                <w:bCs/>
                <w:i/>
                <w:iCs/>
              </w:rPr>
              <w:t>dohoda</w:t>
            </w:r>
            <w:r w:rsidRPr="003C060C">
              <w:t xml:space="preserve"> </w:t>
            </w:r>
            <w:r w:rsidRPr="003C060C">
              <w:rPr>
                <w:b/>
                <w:bCs/>
                <w:i/>
                <w:iCs/>
              </w:rPr>
              <w:t>omezena, pozastavena</w:t>
            </w:r>
            <w:r w:rsidRPr="003C060C">
              <w:t xml:space="preserve"> nebo </w:t>
            </w:r>
            <w:r w:rsidRPr="003C060C">
              <w:rPr>
                <w:b/>
                <w:bCs/>
                <w:i/>
                <w:iCs/>
              </w:rPr>
              <w:t>vypovězena</w:t>
            </w:r>
            <w:r w:rsidRPr="003C060C">
              <w:t>.</w:t>
            </w:r>
          </w:p>
        </w:tc>
        <w:tc>
          <w:tcPr>
            <w:tcW w:w="4876" w:type="dxa"/>
            <w:hideMark/>
          </w:tcPr>
          <w:p w:rsidR="00B67536" w:rsidRPr="003C060C" w:rsidRDefault="00B54D08">
            <w:pPr>
              <w:pStyle w:val="Normal6"/>
              <w:rPr>
                <w:szCs w:val="24"/>
              </w:rPr>
            </w:pPr>
            <w:r w:rsidRPr="003C060C">
              <w:t>3.</w:t>
            </w:r>
            <w:r w:rsidRPr="003C060C">
              <w:tab/>
            </w:r>
            <w:r w:rsidRPr="003C060C">
              <w:rPr>
                <w:b/>
                <w:bCs/>
                <w:i/>
                <w:iCs/>
              </w:rPr>
              <w:t>Ujednání</w:t>
            </w:r>
            <w:r w:rsidRPr="003C060C">
              <w:t xml:space="preserve"> podle odstavce 1 stanoví nezbytná prováděcí opatření a postupy, jakož i případy, kdy může být </w:t>
            </w:r>
            <w:r w:rsidRPr="003C060C">
              <w:rPr>
                <w:b/>
                <w:bCs/>
                <w:i/>
                <w:iCs/>
              </w:rPr>
              <w:t>ujednání</w:t>
            </w:r>
            <w:r w:rsidRPr="003C060C">
              <w:t xml:space="preserve"> </w:t>
            </w:r>
            <w:r w:rsidRPr="003C060C">
              <w:rPr>
                <w:b/>
                <w:bCs/>
                <w:i/>
                <w:iCs/>
              </w:rPr>
              <w:t>omezeno, pozastaveno</w:t>
            </w:r>
            <w:r w:rsidRPr="003C060C">
              <w:t xml:space="preserve"> nebo </w:t>
            </w:r>
            <w:r w:rsidRPr="003C060C">
              <w:rPr>
                <w:b/>
                <w:bCs/>
                <w:i/>
                <w:iCs/>
              </w:rPr>
              <w:t>vypovězeno</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18 – odst. 3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3a.</w:t>
            </w:r>
            <w:r w:rsidRPr="003C060C">
              <w:rPr>
                <w:b/>
                <w:i/>
              </w:rPr>
              <w:tab/>
              <w:t>Evropská centrální banka poskytuje národním centrálním bankám členských států, jejichž měnou není euro, příslušné informace a pomoc s cílem usnadnit podpis ujednání uvedených v odstavci 1. Za tímto účelem může Komise organizovat informační kampaně s cílem informovat členské státy, jejichž měnou není euro, o různých charakteristikách digitálního eura, včetně přínosů jeho používání, jakož i o jeho aspektech týkajících se ochrany a výkonu základních práv a svobod.</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19 – odst.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Dohoda mezi Unií a třetí zemí stanoví nezbytná prováděcí opatření a postupy, jakož i případy, kdy může být dohoda omezena, pozastavena nebo ukončena, zejména pokud byla třetí země označena za třetí zemi s významnými strategickými nedostatky ve svém vnitrostátním režimu boje proti praní peněz a financování terorismu, jak je uvedeno v článku 23 nařízení [vložte odkaz – návrh nařízení proti praní peněz – COM/2021/420 final], nebo za třetí zemi s nedostatky v dodržování vnitrostátního režimu boje proti praní peněz a financování terorismu, jak je uvedeno v článku 24 nařízení [vložte odkaz – návrh nařízení proti praní peněz – COM/2021/420 final]. Tuto dohodu doplňuje ujednání mezi Evropskou centrální bankou a národní centrální bankou a případně příslušným vnitrostátním orgánem třetí země.</w:t>
            </w:r>
          </w:p>
        </w:tc>
        <w:tc>
          <w:tcPr>
            <w:tcW w:w="4876" w:type="dxa"/>
            <w:hideMark/>
          </w:tcPr>
          <w:p w:rsidR="00B67536" w:rsidRPr="003C060C" w:rsidRDefault="00B54D08">
            <w:pPr>
              <w:pStyle w:val="Normal6"/>
              <w:rPr>
                <w:szCs w:val="24"/>
              </w:rPr>
            </w:pPr>
            <w:r w:rsidRPr="003C060C">
              <w:t>3.</w:t>
            </w:r>
            <w:r w:rsidRPr="003C060C">
              <w:tab/>
              <w:t>Dohoda mezi Unií a třetí zemí stanoví nezbytná prováděcí opatření a postupy, jakož i případy, kdy může být dohoda omezena, pozastavena nebo ukončena, zejména pokud byla třetí země označena za třetí zemi s významnými strategickými nedostatky ve svém vnitrostátním režimu boje proti praní peněz a financování terorismu, jak je uvedeno v článku 23 nařízení [vložte odkaz – návrh nařízení proti praní peněz – COM/2021/420 final], nebo za třetí zemi s nedostatky v dodržování vnitrostátního režimu boje proti praní peněz a financování terorismu, jak je uvedeno v článku 24 nařízení [vložte odkaz – návrh nařízení proti praní peněz – COM/2021/420 final] nebo za třetí zemí, která představuje hrozbu pro finanční systém Unie ve smyslu článku 25 nařízení [vložte odkaz – návrh nařízení proti praní peněz – COM/2021/420 final]</w:t>
            </w:r>
            <w:r w:rsidRPr="003C060C">
              <w:rPr>
                <w:b/>
                <w:bCs/>
                <w:i/>
                <w:iCs/>
              </w:rPr>
              <w:t>,</w:t>
            </w:r>
            <w:r w:rsidRPr="003C060C">
              <w:t xml:space="preserve"> </w:t>
            </w:r>
            <w:r w:rsidRPr="003C060C">
              <w:rPr>
                <w:b/>
                <w:bCs/>
                <w:i/>
                <w:iCs/>
              </w:rPr>
              <w:t>nebo za třetí zemi, která představuje zvláštní a vážnou hrozbu pro finanční systém Unie, jak je uvedeno v článku 25 nařízení [vložte odkaz – návrh nařízení proti praní peněz – COM/2021/420 final]</w:t>
            </w:r>
            <w:r w:rsidRPr="003C060C">
              <w:t>. Tuto dohodu doplňuje ujednání mezi Evropskou centrální bankou a národní centrální bankou a případně příslušným vnitrostátním orgánem třetí země.</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21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Evropská centrální banka spolupracuje s národními centrálními bankami členských států, jejichž měnou není euro, aby umožnila interoperabilní platby mezi digitálním eurem a ostatními měnami.</w:t>
            </w:r>
          </w:p>
        </w:tc>
        <w:tc>
          <w:tcPr>
            <w:tcW w:w="4876" w:type="dxa"/>
            <w:hideMark/>
          </w:tcPr>
          <w:p w:rsidR="00B67536" w:rsidRPr="003C060C" w:rsidRDefault="00B54D08">
            <w:pPr>
              <w:pStyle w:val="Normal6"/>
              <w:rPr>
                <w:szCs w:val="24"/>
              </w:rPr>
            </w:pPr>
            <w:r w:rsidRPr="003C060C">
              <w:t>2.</w:t>
            </w:r>
            <w:r w:rsidRPr="003C060C">
              <w:tab/>
              <w:t xml:space="preserve">Evropská centrální banka </w:t>
            </w:r>
            <w:r w:rsidRPr="003C060C">
              <w:rPr>
                <w:b/>
                <w:bCs/>
                <w:i/>
                <w:iCs/>
              </w:rPr>
              <w:t>aktivně</w:t>
            </w:r>
            <w:r w:rsidRPr="003C060C">
              <w:t xml:space="preserve"> spolupracuje s národními centrálními bankami členských států, jejichž měnou není euro, aby umožnila interoperabilní platby mezi digitálním eurem a ostatními měnami. </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22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Ve vztazích s poskytovateli platebních služeb za účelem poskytování platebních služeb v digitálních eurech se od uživatelů digitálního eura nevyžaduje, aby měli nebo si zřizovali platební účty v nedigitálních eurech ani aby přijímali jiné produkty nedigitálního eura.</w:t>
            </w:r>
          </w:p>
        </w:tc>
        <w:tc>
          <w:tcPr>
            <w:tcW w:w="4876" w:type="dxa"/>
            <w:hideMark/>
          </w:tcPr>
          <w:p w:rsidR="00B67536" w:rsidRPr="003C060C" w:rsidRDefault="00B54D08">
            <w:pPr>
              <w:pStyle w:val="Normal6"/>
              <w:rPr>
                <w:szCs w:val="24"/>
              </w:rPr>
            </w:pPr>
            <w:r w:rsidRPr="003C060C">
              <w:t>2.</w:t>
            </w:r>
            <w:r w:rsidRPr="003C060C">
              <w:tab/>
              <w:t xml:space="preserve">Ve vztazích s poskytovateli platebních služeb za účelem poskytování platebních služeb v digitálních eurech </w:t>
            </w:r>
            <w:r w:rsidRPr="003C060C">
              <w:rPr>
                <w:b/>
                <w:bCs/>
                <w:i/>
                <w:iCs/>
              </w:rPr>
              <w:t>podle čl. 14 odst. 3 tohoto nařízení</w:t>
            </w:r>
            <w:r w:rsidRPr="003C060C">
              <w:t xml:space="preserve"> se od uživatelů digitálního eura nevyžaduje, aby měli nebo si zřizovali platební účty v nedigitálních eurech ani aby přijímali jiné produkty nedigitálního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23 – odst.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 xml:space="preserve">Před zahájením platební transakce v digitálních eurech v rámci bezkontaktní platby </w:t>
            </w:r>
            <w:r w:rsidRPr="003C060C">
              <w:rPr>
                <w:b/>
                <w:bCs/>
                <w:i/>
                <w:iCs/>
              </w:rPr>
              <w:t>jsou</w:t>
            </w:r>
            <w:r w:rsidRPr="003C060C">
              <w:t xml:space="preserve"> příjemce a plátce </w:t>
            </w:r>
            <w:r w:rsidRPr="003C060C">
              <w:rPr>
                <w:b/>
                <w:bCs/>
                <w:i/>
                <w:iCs/>
              </w:rPr>
              <w:t>informováni o</w:t>
            </w:r>
            <w:r w:rsidRPr="003C060C">
              <w:t xml:space="preserve"> tom, zda platební transakce v digitálních eurech bude probíhat offline nebo online.</w:t>
            </w:r>
          </w:p>
        </w:tc>
        <w:tc>
          <w:tcPr>
            <w:tcW w:w="4876" w:type="dxa"/>
            <w:hideMark/>
          </w:tcPr>
          <w:p w:rsidR="00B67536" w:rsidRPr="003C060C" w:rsidRDefault="00B54D08">
            <w:pPr>
              <w:pStyle w:val="Normal6"/>
              <w:rPr>
                <w:szCs w:val="24"/>
              </w:rPr>
            </w:pPr>
            <w:r w:rsidRPr="003C060C">
              <w:t>3.</w:t>
            </w:r>
            <w:r w:rsidRPr="003C060C">
              <w:tab/>
              <w:t xml:space="preserve">Před zahájením platební transakce v digitálních eurech v rámci bezkontaktní platby </w:t>
            </w:r>
            <w:r w:rsidRPr="003C060C">
              <w:rPr>
                <w:b/>
                <w:bCs/>
                <w:i/>
                <w:iCs/>
              </w:rPr>
              <w:t>se</w:t>
            </w:r>
            <w:r w:rsidRPr="003C060C">
              <w:t xml:space="preserve"> příjemce a plátce </w:t>
            </w:r>
            <w:r w:rsidRPr="003C060C">
              <w:rPr>
                <w:b/>
                <w:bCs/>
                <w:i/>
                <w:iCs/>
              </w:rPr>
              <w:t>dohodnou na</w:t>
            </w:r>
            <w:r w:rsidRPr="003C060C">
              <w:t xml:space="preserve"> tom, zda platební transakce v digitálních eurech bude probíhat offline nebo online.</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25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r>
            <w:r w:rsidRPr="003C060C">
              <w:rPr>
                <w:b/>
                <w:bCs/>
                <w:i/>
                <w:iCs/>
              </w:rPr>
              <w:t>Vstupní služby jsou interoperabilní s</w:t>
            </w:r>
            <w:r w:rsidRPr="003C060C">
              <w:t xml:space="preserve"> evropskými peněženkami digitální identity </w:t>
            </w:r>
            <w:r w:rsidRPr="003C060C">
              <w:rPr>
                <w:b/>
                <w:bCs/>
                <w:i/>
                <w:iCs/>
              </w:rPr>
              <w:t>nebo jsou do nich integrovány</w:t>
            </w:r>
            <w:r w:rsidRPr="003C060C">
              <w:t>.</w:t>
            </w:r>
          </w:p>
        </w:tc>
        <w:tc>
          <w:tcPr>
            <w:tcW w:w="4876" w:type="dxa"/>
            <w:hideMark/>
          </w:tcPr>
          <w:p w:rsidR="00B67536" w:rsidRPr="003C060C" w:rsidRDefault="00B54D08">
            <w:pPr>
              <w:pStyle w:val="Normal6"/>
              <w:rPr>
                <w:szCs w:val="24"/>
              </w:rPr>
            </w:pPr>
            <w:r w:rsidRPr="003C060C">
              <w:t>1.</w:t>
            </w:r>
            <w:r w:rsidRPr="003C060C">
              <w:tab/>
            </w:r>
            <w:r w:rsidRPr="003C060C">
              <w:rPr>
                <w:b/>
                <w:i/>
              </w:rPr>
              <w:t xml:space="preserve">Pokud vnitrostátní právo nebo právo Unie vyžaduje, aby poskytovatelé platebních služeb používali silné ověření klienta, přijmou také snadno dostupným a nediskriminačním způsobem používání evropských peněženek digitální identity. </w:t>
            </w:r>
            <w:r w:rsidRPr="003C060C">
              <w:rPr>
                <w:b/>
                <w:bCs/>
                <w:i/>
                <w:iCs/>
              </w:rPr>
              <w:t>Za stejným účelem je zajištěna interoperabilita mezi vstupními službami, jak jsou definovány v čl. 2 bodu 20 tohoto nařízení, a</w:t>
            </w:r>
            <w:r w:rsidRPr="003C060C">
              <w:rPr>
                <w:b/>
                <w:bCs/>
              </w:rPr>
              <w:t xml:space="preserve"> </w:t>
            </w:r>
            <w:r w:rsidRPr="003C060C">
              <w:t>evropskými peněženkami digitální identity.</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59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26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 xml:space="preserve">Evropská centrální banka usiluje o zajištění co největší interoperability standardů upravujících platební služby v digitálních eurech s příslušnými standardy upravujícími soukromé digitální platební prostředky. Evropská centrální banka usiluje o to, aby </w:t>
            </w:r>
            <w:r w:rsidRPr="003C060C">
              <w:rPr>
                <w:b/>
                <w:bCs/>
                <w:i/>
                <w:iCs/>
              </w:rPr>
              <w:t>soukromé digitální platební prostředky mohly</w:t>
            </w:r>
            <w:r w:rsidRPr="003C060C">
              <w:t xml:space="preserve"> v co nejvyšší míře a tam, kde je to vhodné, </w:t>
            </w:r>
            <w:r w:rsidRPr="003C060C">
              <w:rPr>
                <w:b/>
                <w:bCs/>
                <w:i/>
                <w:iCs/>
              </w:rPr>
              <w:t>používat pravidla, standardy a postupy</w:t>
            </w:r>
            <w:r w:rsidRPr="003C060C">
              <w:t>, kterými se řídí platební služby v digitálních eurech.</w:t>
            </w:r>
          </w:p>
        </w:tc>
        <w:tc>
          <w:tcPr>
            <w:tcW w:w="4876" w:type="dxa"/>
            <w:hideMark/>
          </w:tcPr>
          <w:p w:rsidR="00B67536" w:rsidRPr="003C060C" w:rsidRDefault="00B54D08">
            <w:pPr>
              <w:pStyle w:val="Normal6"/>
              <w:rPr>
                <w:szCs w:val="24"/>
              </w:rPr>
            </w:pPr>
            <w:r w:rsidRPr="003C060C">
              <w:t xml:space="preserve">Evropská centrální banka usiluje o zajištění co největší interoperability standardů upravujících platební služby v digitálních eurech s příslušnými standardy upravujícími soukromé digitální platební prostředky. Evropská centrální banka usiluje to, aby </w:t>
            </w:r>
            <w:r w:rsidRPr="003C060C">
              <w:rPr>
                <w:b/>
                <w:bCs/>
                <w:i/>
                <w:iCs/>
              </w:rPr>
              <w:t>soukromým digitálním platebním prostředkům umožnila a</w:t>
            </w:r>
            <w:r w:rsidRPr="003C060C">
              <w:t xml:space="preserve"> v co nejvyšší míře a tam, kde je to vhodné, </w:t>
            </w:r>
            <w:r w:rsidRPr="003C060C">
              <w:rPr>
                <w:b/>
                <w:bCs/>
                <w:i/>
                <w:iCs/>
              </w:rPr>
              <w:t xml:space="preserve">podporovala používání pravidel, standardů a postupů, </w:t>
            </w:r>
            <w:r w:rsidRPr="003C060C">
              <w:t>kterými se řídí platební služby v digitálních eurech</w:t>
            </w:r>
            <w:r w:rsidRPr="003C060C">
              <w:rPr>
                <w:b/>
                <w:bCs/>
                <w:i/>
                <w:iCs/>
              </w:rPr>
              <w:t>, včetně plného provedení zásad záměrné a standardní ochrany údajů, jak jsou definovány v nařízení (EU) 2016/679</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27 – odst. 3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3a.</w:t>
            </w:r>
            <w:r w:rsidRPr="003C060C">
              <w:rPr>
                <w:b/>
                <w:i/>
              </w:rPr>
              <w:tab/>
              <w:t>Přístup k mechanismu pro řešení sporů se poskytuje uživatelům digitálního eura bezplatně jako součást základních služeb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30 – odst.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 xml:space="preserve">Ke konečnému zúčtování offline platebních transakcí v digitálních eurech dojde v okamžiku, kdy jsou aktualizovány záznamy o </w:t>
            </w:r>
            <w:r w:rsidRPr="003C060C">
              <w:rPr>
                <w:b/>
                <w:bCs/>
                <w:i/>
                <w:iCs/>
              </w:rPr>
              <w:t>příslušných</w:t>
            </w:r>
            <w:r w:rsidRPr="003C060C">
              <w:t xml:space="preserve"> držbách digitálního eura </w:t>
            </w:r>
            <w:r w:rsidRPr="003C060C">
              <w:rPr>
                <w:b/>
                <w:bCs/>
                <w:i/>
                <w:iCs/>
              </w:rPr>
              <w:t>v místních úložných zařízeních</w:t>
            </w:r>
            <w:r w:rsidRPr="003C060C">
              <w:t xml:space="preserve"> plátce a příjemce.</w:t>
            </w:r>
          </w:p>
        </w:tc>
        <w:tc>
          <w:tcPr>
            <w:tcW w:w="4876" w:type="dxa"/>
            <w:hideMark/>
          </w:tcPr>
          <w:p w:rsidR="00B67536" w:rsidRPr="003C060C" w:rsidRDefault="00B54D08">
            <w:pPr>
              <w:pStyle w:val="Normal6"/>
              <w:rPr>
                <w:szCs w:val="24"/>
              </w:rPr>
            </w:pPr>
            <w:r w:rsidRPr="003C060C">
              <w:t>3.</w:t>
            </w:r>
            <w:r w:rsidRPr="003C060C">
              <w:tab/>
              <w:t xml:space="preserve">Ke konečnému zúčtování offline platebních transakcí v digitálních eurech dojde v okamžiku, kdy jsou aktualizovány záznamy o držbách digitálního eura plátce a příjemce </w:t>
            </w:r>
            <w:r w:rsidRPr="003C060C">
              <w:rPr>
                <w:b/>
                <w:bCs/>
                <w:i/>
                <w:iCs/>
              </w:rPr>
              <w:t>v jejich místních úložných zařízeních</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30 – odst. 3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3a.</w:t>
            </w:r>
            <w:r w:rsidRPr="003C060C">
              <w:rPr>
                <w:b/>
                <w:i/>
              </w:rPr>
              <w:tab/>
              <w:t>Infrastruktura pro vypořádání je vyvinuta v souladu se zásadami záměrné a standardní ochrany údajů, jak jsou definovány v nařízení (EU) 2016/679, a řešena tak, aby Evropská centrální banka ani národní centrální banky nemohly přiřadit údaje k identifikovanému nebo identifikovatelnému uživateli digitálního eura.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31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Poskytovatelé platebních služeb umožní uživatelům digitálního eura na jejich žádost přechod jejich platebních účtů v digitálních eurech k jiným poskytovatelům platebních služeb při zachování stejných identifikátorů účtu.</w:t>
            </w:r>
          </w:p>
        </w:tc>
        <w:tc>
          <w:tcPr>
            <w:tcW w:w="4876" w:type="dxa"/>
            <w:hideMark/>
          </w:tcPr>
          <w:p w:rsidR="00B67536" w:rsidRPr="003C060C" w:rsidRDefault="00B54D08">
            <w:pPr>
              <w:pStyle w:val="Normal6"/>
              <w:rPr>
                <w:szCs w:val="24"/>
              </w:rPr>
            </w:pPr>
            <w:r w:rsidRPr="003C060C">
              <w:t>1.</w:t>
            </w:r>
            <w:r w:rsidRPr="003C060C">
              <w:tab/>
              <w:t xml:space="preserve">Poskytovatelé platebních služeb umožní uživatelům digitálního eura na jejich žádost </w:t>
            </w:r>
            <w:r w:rsidRPr="003C060C">
              <w:rPr>
                <w:b/>
                <w:bCs/>
                <w:i/>
                <w:iCs/>
              </w:rPr>
              <w:t xml:space="preserve">bezplatný </w:t>
            </w:r>
            <w:r w:rsidRPr="003C060C">
              <w:t>přechod jejich platebních účtů v digitálních eurech k jiným poskytovatelům platebních služeb při zachování stejných identifikátorů účtu.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32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Evropská centrální banka může usnadnit úkoly v oblasti odhalování a prevence podvodů, které mají poskytovatelé platebních služeb plnit podle směrnice (EU) 2015/2366, tím, že vytvoří obecný mechanismus odhalování a prevence podvodů pro online transakce v digitálním euru, aby zajistila hladké a účinné fungování digitálního eura. Tento obecný mechanismus odhalování a prevence podvodů může být provozován přímo Evropskou centrální bankou nebo poskytovateli podpůrných služeb určenými Evropskou centrální bankou.</w:t>
            </w:r>
          </w:p>
        </w:tc>
        <w:tc>
          <w:tcPr>
            <w:tcW w:w="4876" w:type="dxa"/>
            <w:hideMark/>
          </w:tcPr>
          <w:p w:rsidR="00B67536" w:rsidRPr="003C060C" w:rsidRDefault="00B54D08">
            <w:pPr>
              <w:pStyle w:val="Normal6"/>
              <w:rPr>
                <w:szCs w:val="24"/>
              </w:rPr>
            </w:pPr>
            <w:r w:rsidRPr="003C060C">
              <w:t>1.</w:t>
            </w:r>
            <w:r w:rsidRPr="003C060C">
              <w:tab/>
              <w:t>Evropská centrální banka může usnadnit úkoly v oblasti odhalování a prevence podvodů, které mají poskytovatelé platebních služeb plnit podle směrnice (EU) 2015/2366, tím, že vytvoří obecný mechanismus odhalování a prevence podvodů pro online transakce v digitálním euru, aby zajistila hladké a účinné fungování digitálního eura</w:t>
            </w:r>
            <w:r w:rsidRPr="003C060C">
              <w:rPr>
                <w:b/>
                <w:bCs/>
                <w:i/>
                <w:iCs/>
              </w:rPr>
              <w:t>, a zároveň poskytne záruky nezbytné k tomu, aby zpracování bylo v souladu se zásadami nezbytnosti a přiměřenosti a zohledňovalo přiměřené omezení uchovávání</w:t>
            </w:r>
            <w:r w:rsidRPr="003C060C">
              <w:t>. Tento obecný mechanismus odhalování a prevence podvodů může být provozován přímo Evropskou centrální bankou nebo poskytovateli podpůrných služeb určenými Evropskou centrální bankou.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32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Před vypracováním podrobností o provozních prvcích mechanismu odhalování a prevence podvodů konzultuje Evropská centrální banka evropského inspektora ochrany údajů.</w:t>
            </w:r>
          </w:p>
        </w:tc>
        <w:tc>
          <w:tcPr>
            <w:tcW w:w="4876" w:type="dxa"/>
            <w:hideMark/>
          </w:tcPr>
          <w:p w:rsidR="00B67536" w:rsidRPr="003C060C" w:rsidRDefault="00B54D08">
            <w:pPr>
              <w:pStyle w:val="Normal6"/>
              <w:rPr>
                <w:szCs w:val="24"/>
              </w:rPr>
            </w:pPr>
            <w:r w:rsidRPr="003C060C">
              <w:t>2.</w:t>
            </w:r>
            <w:r w:rsidRPr="003C060C">
              <w:tab/>
              <w:t xml:space="preserve">Před vypracováním podrobností o provozních prvcích mechanismu odhalování a prevence podvodů konzultuje Evropská centrální banka evropského inspektora ochrany údajů </w:t>
            </w:r>
            <w:r w:rsidRPr="003C060C">
              <w:rPr>
                <w:b/>
                <w:bCs/>
                <w:i/>
                <w:iCs/>
              </w:rPr>
              <w:t>a Orgán pro boj proti praní peněz</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32 – odst. 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 xml:space="preserve">Pro účely tohoto článku poskytnou poskytovatelé platebních služeb mechanismu odhalování a prevence podvodů informace uvedené v příloze </w:t>
            </w:r>
            <w:r w:rsidRPr="003C060C">
              <w:rPr>
                <w:b/>
                <w:bCs/>
                <w:i/>
                <w:iCs/>
              </w:rPr>
              <w:t>5</w:t>
            </w:r>
            <w:r w:rsidRPr="003C060C">
              <w:t>. Poskytovatelé platebních služeb zavedou vhodná technická a organizační opatření, včetně nejmodernějších bezpečnostních opatření a opatření na ochranu soukromí, aby zajistili, že podpůrná služba nebude moci přímo identifikovat uživatele digitálního eura na základě informací poskytnutých mechanismu odhalování a prevence podvodů.</w:t>
            </w:r>
          </w:p>
        </w:tc>
        <w:tc>
          <w:tcPr>
            <w:tcW w:w="4876" w:type="dxa"/>
            <w:hideMark/>
          </w:tcPr>
          <w:p w:rsidR="00B67536" w:rsidRPr="003C060C" w:rsidRDefault="00B54D08">
            <w:pPr>
              <w:pStyle w:val="Normal6"/>
              <w:rPr>
                <w:szCs w:val="24"/>
              </w:rPr>
            </w:pPr>
            <w:r w:rsidRPr="003C060C">
              <w:t>4.</w:t>
            </w:r>
            <w:r w:rsidRPr="003C060C">
              <w:tab/>
              <w:t xml:space="preserve">Pro účely tohoto článku poskytnou poskytovatelé platebních služeb mechanismu odhalování a prevence podvodů informace uvedené v příloze </w:t>
            </w:r>
            <w:r w:rsidRPr="003C060C">
              <w:rPr>
                <w:b/>
                <w:bCs/>
                <w:i/>
                <w:iCs/>
              </w:rPr>
              <w:t>V</w:t>
            </w:r>
            <w:r w:rsidRPr="003C060C">
              <w:t xml:space="preserve">. Poskytovatelé platebních služeb zavedou vhodná technická a organizační opatření, včetně nejmodernějších bezpečnostních opatření a opatření na ochranu soukromí, aby zajistili, že </w:t>
            </w:r>
            <w:r w:rsidRPr="003C060C">
              <w:rPr>
                <w:b/>
                <w:bCs/>
                <w:i/>
                <w:iCs/>
              </w:rPr>
              <w:t>Evropská centrální banka nebo</w:t>
            </w:r>
            <w:r w:rsidRPr="003C060C">
              <w:t xml:space="preserve"> podpůrná služba nebude moci přímo identifikovat uživatele digitálního eura na základě informací poskytnutých mechanismu odhalování a prevence podvodů. </w:t>
            </w:r>
            <w:r w:rsidRPr="003C060C">
              <w:rPr>
                <w:b/>
                <w:i/>
              </w:rPr>
              <w:t>Poskytovatelé platebních služeb a Evropská centrální banka při provádění těchto technických a organizačních opatření zohlední zásady záměrné a standardní ochrany údajů, jak jsou definovány v nařízení (EU) 2016/679, a zajistí, aby zpracování osobních údajů bylo prováděno takovým způsobem, aby osobní údaje již nebylo možné přisoudit jednotlivému uživateli digitálního eura bez použití dodatečných informací.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33 – odst.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Aniž je dotčen čl. 6 odst. 7 nařízení Evropského parlamentu a Rady (EU) 2022/1925 ze dne 14. září 2022 o spravedlivých trzích otevřených hospodářské soutěži v digitálním odvětví a o změně směrnic (EU) 2019/1937 a (EU) 2020/1828, výrobci originálního vybavení mobilních zařízení a poskytovatelé služeb elektronických komunikací ve smyslu čl. 2 odst. 1 směrnice (EU) 2018/1972</w:t>
            </w:r>
            <w:r w:rsidRPr="003C060C">
              <w:rPr>
                <w:vertAlign w:val="superscript"/>
              </w:rPr>
              <w:t>47</w:t>
            </w:r>
            <w:r w:rsidRPr="003C060C">
              <w:t xml:space="preserve"> umožní poskytovatelům vstupních služeb a poskytovatelům evropských peněženek digitální identity účinnou interoperabilitu a přístup pro účely interoperability k hardwarovým a softwarovým prvkům nezbytným pro ukládání a přenos dat za účelem zpracování online nebo offline transakcí v digitálních eurech, a to za spravedlivých, přiměřených a nediskriminačních podmínek.</w:t>
            </w:r>
          </w:p>
        </w:tc>
        <w:tc>
          <w:tcPr>
            <w:tcW w:w="4876" w:type="dxa"/>
            <w:hideMark/>
          </w:tcPr>
          <w:p w:rsidR="00B67536" w:rsidRPr="003C060C" w:rsidRDefault="00B54D08">
            <w:pPr>
              <w:pStyle w:val="Normal6"/>
              <w:rPr>
                <w:szCs w:val="24"/>
              </w:rPr>
            </w:pPr>
            <w:r w:rsidRPr="003C060C">
              <w:t>1.</w:t>
            </w:r>
            <w:r w:rsidRPr="003C060C">
              <w:tab/>
              <w:t>Aniž je dotčen čl. 6 odst. 7 nařízení Evropského parlamentu a Rady (EU) 2022/1925 ze dne 14. září 2022 o spravedlivých trzích otevřených hospodářské soutěži v digitálním odvětví a o změně směrnic (EU) 2019/1937 a (EU) 2020/1828, výrobci originálního vybavení mobilních zařízení a poskytovatelé služeb elektronických komunikací ve smyslu čl. 2 odst. 1 směrnice (EU) 2018/1972</w:t>
            </w:r>
            <w:r w:rsidRPr="003C060C">
              <w:rPr>
                <w:vertAlign w:val="superscript"/>
              </w:rPr>
              <w:t>47</w:t>
            </w:r>
            <w:r w:rsidRPr="003C060C">
              <w:t xml:space="preserve"> umožní poskytovatelům vstupních služeb a poskytovatelům evropských peněženek digitální identity </w:t>
            </w:r>
            <w:r w:rsidRPr="003C060C">
              <w:rPr>
                <w:b/>
                <w:bCs/>
                <w:i/>
                <w:iCs/>
              </w:rPr>
              <w:t xml:space="preserve">v oblasti působnosti nařízení (EU) [vložte odkaz – návrh nařízení Evropského parlamentu a Rady, kterým se mění nařízení (EU) č. 910/2014, pokud jde o zřízení rámce pro evropskou digitální identitu – COM(2021) 281 final] </w:t>
            </w:r>
            <w:r w:rsidRPr="003C060C">
              <w:t xml:space="preserve">účinnou interoperabilitu a přístup pro účely interoperability k hardwarovým a softwarovým prvkům nezbytným pro ukládání a přenos dat za účelem zpracování online nebo offline transakcí v digitálních eurech, a to za spravedlivých, přiměřených a nediskriminačních podmínek. </w:t>
            </w:r>
          </w:p>
        </w:tc>
      </w:tr>
      <w:tr w:rsidR="004911FF" w:rsidRPr="003C060C" w:rsidTr="00B67536">
        <w:trPr>
          <w:jc w:val="center"/>
        </w:trPr>
        <w:tc>
          <w:tcPr>
            <w:tcW w:w="4876" w:type="dxa"/>
            <w:hideMark/>
          </w:tcPr>
          <w:p w:rsidR="00B67536" w:rsidRPr="003C060C" w:rsidRDefault="00B54D08">
            <w:pPr>
              <w:pStyle w:val="Normal6"/>
            </w:pPr>
            <w:r w:rsidRPr="003C060C">
              <w:t>__________________</w:t>
            </w:r>
          </w:p>
        </w:tc>
        <w:tc>
          <w:tcPr>
            <w:tcW w:w="4876" w:type="dxa"/>
            <w:hideMark/>
          </w:tcPr>
          <w:p w:rsidR="00B67536" w:rsidRPr="003C060C" w:rsidRDefault="00B54D08">
            <w:pPr>
              <w:pStyle w:val="Normal6"/>
              <w:rPr>
                <w:szCs w:val="24"/>
              </w:rPr>
            </w:pPr>
            <w:r w:rsidRPr="003C060C">
              <w:t>__________________</w:t>
            </w:r>
          </w:p>
        </w:tc>
      </w:tr>
      <w:tr w:rsidR="004911FF" w:rsidRPr="003C060C" w:rsidTr="00B67536">
        <w:trPr>
          <w:jc w:val="center"/>
        </w:trPr>
        <w:tc>
          <w:tcPr>
            <w:tcW w:w="4876" w:type="dxa"/>
            <w:hideMark/>
          </w:tcPr>
          <w:p w:rsidR="00B67536" w:rsidRPr="003C060C" w:rsidRDefault="00B54D08">
            <w:pPr>
              <w:pStyle w:val="Normal6"/>
            </w:pPr>
            <w:r w:rsidRPr="003C060C">
              <w:rPr>
                <w:vertAlign w:val="superscript"/>
              </w:rPr>
              <w:t>47</w:t>
            </w:r>
            <w:r w:rsidRPr="003C060C">
              <w:t xml:space="preserve"> Směrnice Evropského parlamentu a Rady (EU) 2018/1972 ze dne 11. prosince 2018, kterou se stanoví evropský kodex pro elektronické komunikace (Úř. věst. L 17.12.2018, s. 36).</w:t>
            </w:r>
          </w:p>
        </w:tc>
        <w:tc>
          <w:tcPr>
            <w:tcW w:w="4876" w:type="dxa"/>
            <w:hideMark/>
          </w:tcPr>
          <w:p w:rsidR="00B67536" w:rsidRPr="003C060C" w:rsidRDefault="00B54D08">
            <w:pPr>
              <w:pStyle w:val="Normal6"/>
              <w:rPr>
                <w:szCs w:val="24"/>
              </w:rPr>
            </w:pPr>
            <w:r w:rsidRPr="003C060C">
              <w:rPr>
                <w:vertAlign w:val="superscript"/>
              </w:rPr>
              <w:t>47</w:t>
            </w:r>
            <w:r w:rsidRPr="003C060C">
              <w:t xml:space="preserve"> Směrnice Evropského parlamentu a Rady (EU) 2018/1972 ze dne 11. prosince 2018, kterou se stanoví evropský kodex pro elektronické komunikace (Úř. věst. L 17.12.2018, s. 36).</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34 – odst. 1 – pododstavec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 xml:space="preserve">Poskytovatelé platebních služeb </w:t>
            </w:r>
            <w:r w:rsidRPr="003C060C">
              <w:rPr>
                <w:b/>
                <w:bCs/>
                <w:i/>
                <w:iCs/>
              </w:rPr>
              <w:t>plní úkol ve veřejném zájmu, pokud</w:t>
            </w:r>
            <w:r w:rsidRPr="003C060C">
              <w:t xml:space="preserve"> zpracovávají osobní údaje pro tyto účely:</w:t>
            </w:r>
          </w:p>
        </w:tc>
        <w:tc>
          <w:tcPr>
            <w:tcW w:w="4876" w:type="dxa"/>
            <w:hideMark/>
          </w:tcPr>
          <w:p w:rsidR="00B67536" w:rsidRPr="003C060C" w:rsidRDefault="00B54D08">
            <w:pPr>
              <w:pStyle w:val="Normal6"/>
              <w:rPr>
                <w:szCs w:val="24"/>
              </w:rPr>
            </w:pPr>
            <w:r w:rsidRPr="003C060C">
              <w:t xml:space="preserve">Poskytovatelé platebních služeb zpracovávají osobní údaje </w:t>
            </w:r>
            <w:r w:rsidRPr="003C060C">
              <w:rPr>
                <w:b/>
                <w:bCs/>
                <w:i/>
                <w:iCs/>
              </w:rPr>
              <w:t>pouze</w:t>
            </w:r>
            <w:r w:rsidRPr="003C060C">
              <w:t xml:space="preserve"> pro tyto účely:</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69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34 – odst. 1 – pododstavec 1 – písm. a</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a)</w:t>
            </w:r>
            <w:r w:rsidRPr="003C060C">
              <w:tab/>
              <w:t xml:space="preserve">prosazování omezení, </w:t>
            </w:r>
            <w:r w:rsidRPr="003C060C">
              <w:rPr>
                <w:b/>
                <w:bCs/>
                <w:i/>
                <w:iCs/>
              </w:rPr>
              <w:t>včetně</w:t>
            </w:r>
            <w:r w:rsidRPr="003C060C">
              <w:t xml:space="preserve"> </w:t>
            </w:r>
            <w:r w:rsidRPr="003C060C">
              <w:rPr>
                <w:b/>
                <w:bCs/>
                <w:i/>
                <w:iCs/>
              </w:rPr>
              <w:t>ověřování</w:t>
            </w:r>
            <w:r w:rsidRPr="003C060C">
              <w:t>, zda budoucí nebo stávající uživatelé digitálního eura nemají účty v digitálních eurech u jiného poskytovatele platebních služeb, jak je uvedeno v článku 16;</w:t>
            </w:r>
          </w:p>
        </w:tc>
        <w:tc>
          <w:tcPr>
            <w:tcW w:w="4876" w:type="dxa"/>
            <w:hideMark/>
          </w:tcPr>
          <w:p w:rsidR="00B67536" w:rsidRPr="003C060C" w:rsidRDefault="00B54D08">
            <w:pPr>
              <w:pStyle w:val="Normal6"/>
              <w:rPr>
                <w:szCs w:val="24"/>
              </w:rPr>
            </w:pPr>
            <w:r w:rsidRPr="003C060C">
              <w:t>a)</w:t>
            </w:r>
            <w:r w:rsidRPr="003C060C">
              <w:tab/>
              <w:t xml:space="preserve">prosazování omezení, </w:t>
            </w:r>
            <w:r w:rsidRPr="003C060C">
              <w:rPr>
                <w:b/>
                <w:bCs/>
                <w:i/>
                <w:iCs/>
              </w:rPr>
              <w:t>pokud budou zavedena v souladu s článkem 15 tohoto nařízení, společně s ověřováním</w:t>
            </w:r>
            <w:r w:rsidRPr="003C060C">
              <w:t>, zda budoucí nebo stávající uživatelé digitálního eura nemají účty v digitálních eurech u jiného poskytovatele platebních služeb, jak je uvedeno v článku 16;</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34 – odst. 1 – pododstavec 1 – písm. c</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c)</w:t>
            </w:r>
            <w:r w:rsidRPr="003C060C">
              <w:tab/>
              <w:t xml:space="preserve">poskytování digitálního eura offline, </w:t>
            </w:r>
            <w:r w:rsidRPr="003C060C">
              <w:rPr>
                <w:b/>
                <w:bCs/>
                <w:i/>
                <w:iCs/>
              </w:rPr>
              <w:t>včetně registrace</w:t>
            </w:r>
            <w:r w:rsidRPr="003C060C">
              <w:t xml:space="preserve"> a </w:t>
            </w:r>
            <w:r w:rsidRPr="003C060C">
              <w:rPr>
                <w:b/>
                <w:bCs/>
                <w:i/>
                <w:iCs/>
              </w:rPr>
              <w:t>zrušení</w:t>
            </w:r>
            <w:r w:rsidRPr="003C060C">
              <w:t xml:space="preserve"> registrace místních úložných zařízení podle přílohy I písm. b);</w:t>
            </w:r>
          </w:p>
        </w:tc>
        <w:tc>
          <w:tcPr>
            <w:tcW w:w="4876" w:type="dxa"/>
            <w:hideMark/>
          </w:tcPr>
          <w:p w:rsidR="00B67536" w:rsidRPr="003C060C" w:rsidRDefault="00B54D08">
            <w:pPr>
              <w:pStyle w:val="Normal6"/>
              <w:rPr>
                <w:szCs w:val="24"/>
              </w:rPr>
            </w:pPr>
            <w:r w:rsidRPr="003C060C">
              <w:t>c)</w:t>
            </w:r>
            <w:r w:rsidRPr="003C060C">
              <w:tab/>
              <w:t xml:space="preserve">poskytování digitálního eura offline </w:t>
            </w:r>
            <w:r w:rsidRPr="003C060C">
              <w:rPr>
                <w:b/>
                <w:bCs/>
                <w:i/>
                <w:iCs/>
              </w:rPr>
              <w:t>společně s registrací</w:t>
            </w:r>
            <w:r w:rsidRPr="003C060C">
              <w:t xml:space="preserve"> a </w:t>
            </w:r>
            <w:r w:rsidRPr="003C060C">
              <w:rPr>
                <w:b/>
                <w:bCs/>
                <w:i/>
                <w:iCs/>
              </w:rPr>
              <w:t>zrušením</w:t>
            </w:r>
            <w:r w:rsidRPr="003C060C">
              <w:t xml:space="preserve"> registrace místních úložných zařízení podle přílohy I písm. b);</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34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Pro účely uvedené v odst. 1 písm. a) až c) tohoto článku stanoví příloha III typy osobních údajů.</w:t>
            </w:r>
          </w:p>
        </w:tc>
        <w:tc>
          <w:tcPr>
            <w:tcW w:w="4876" w:type="dxa"/>
            <w:hideMark/>
          </w:tcPr>
          <w:p w:rsidR="00B67536" w:rsidRPr="003C060C" w:rsidRDefault="00B54D08">
            <w:pPr>
              <w:pStyle w:val="Normal6"/>
              <w:rPr>
                <w:szCs w:val="24"/>
              </w:rPr>
            </w:pPr>
            <w:r w:rsidRPr="003C060C">
              <w:t>2.</w:t>
            </w:r>
            <w:r w:rsidRPr="003C060C">
              <w:tab/>
              <w:t>Pro účely uvedené v odst. 1 písm. a) až c) tohoto článku stanoví příloha III typy osobních údajů</w:t>
            </w:r>
            <w:r w:rsidRPr="003C060C">
              <w:rPr>
                <w:b/>
                <w:bCs/>
                <w:i/>
                <w:iCs/>
              </w:rPr>
              <w:t>, které je možné zpracovávat</w:t>
            </w:r>
            <w:r w:rsidRPr="003C060C">
              <w:rPr>
                <w:b/>
                <w:bCs/>
              </w:rPr>
              <w:t>.</w:t>
            </w:r>
            <w:r w:rsidRPr="003C060C">
              <w:t xml:space="preserve"> </w:t>
            </w:r>
            <w:r w:rsidRPr="003C060C">
              <w:rPr>
                <w:b/>
                <w:i/>
              </w:rPr>
              <w:t>Pro účely uvedené v odst. 1 písm. d) a e) je Komise zmocněna definovat typy osobních údajů, které mohou být zpracovávány, prostřednictvím aktů v přenesené pravomoci v souladu s odstavcem 3.</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34 – odst. 3 – pododstavec 1</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Komise je zmocněna přijímat akty v přenesené pravomoci v souladu s článkem 38 za účelem aktualizace typů osobních údajů uvedených v příloze III.</w:t>
            </w:r>
          </w:p>
        </w:tc>
        <w:tc>
          <w:tcPr>
            <w:tcW w:w="4876" w:type="dxa"/>
            <w:hideMark/>
          </w:tcPr>
          <w:p w:rsidR="00B67536" w:rsidRPr="003C060C" w:rsidRDefault="00B54D08">
            <w:pPr>
              <w:pStyle w:val="Normal6"/>
              <w:rPr>
                <w:szCs w:val="24"/>
              </w:rPr>
            </w:pPr>
            <w:r w:rsidRPr="003C060C">
              <w:t xml:space="preserve">Komise je zmocněna přijímat akty v přenesené pravomoci v souladu s článkem 38 za účelem aktualizace </w:t>
            </w:r>
            <w:r w:rsidRPr="003C060C">
              <w:rPr>
                <w:b/>
                <w:bCs/>
                <w:i/>
                <w:iCs/>
              </w:rPr>
              <w:t>a vyjasnění</w:t>
            </w:r>
            <w:r w:rsidRPr="003C060C">
              <w:t xml:space="preserve"> typů osobních údajů uvedených v příloze III, </w:t>
            </w:r>
            <w:r w:rsidRPr="003C060C">
              <w:rPr>
                <w:b/>
                <w:bCs/>
                <w:i/>
                <w:iCs/>
              </w:rPr>
              <w:t>přičemž vede úplný a uzavřený seznam osobních údajů, které mají být zpracovány pro uvedený účel</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34 – odst. 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Poskytovatelé platebních služeb zavedou vhodná technická a organizační opatření, včetně nejmodernějších bezpečnostních opatření a opatření na ochranu soukromí, aby zajistili, že veškeré údaje sdělované Evropské centrální bance a národním centrálním bankám nebo poskytovatelům podpůrných služeb neumožňují přímou identifikaci jednotlivých uživatelů digitálního eura.</w:t>
            </w:r>
          </w:p>
        </w:tc>
        <w:tc>
          <w:tcPr>
            <w:tcW w:w="4876" w:type="dxa"/>
            <w:hideMark/>
          </w:tcPr>
          <w:p w:rsidR="00B67536" w:rsidRPr="003C060C" w:rsidRDefault="00B54D08">
            <w:pPr>
              <w:pStyle w:val="Normal6"/>
              <w:rPr>
                <w:szCs w:val="24"/>
              </w:rPr>
            </w:pPr>
            <w:r w:rsidRPr="003C060C">
              <w:t>4.</w:t>
            </w:r>
            <w:r w:rsidRPr="003C060C">
              <w:tab/>
              <w:t xml:space="preserve">Poskytovatelé platebních služeb zavedou vhodná technická a organizační opatření, včetně nejmodernějších bezpečnostních opatření a opatření na ochranu soukromí, aby zajistili, že veškeré údaje sdělované Evropské centrální bance a národním centrálním bankám nebo poskytovatelům podpůrných služeb neumožňují přímou identifikaci jednotlivých uživatelů digitálního eura. </w:t>
            </w:r>
            <w:r w:rsidRPr="003C060C">
              <w:rPr>
                <w:b/>
                <w:i/>
              </w:rPr>
              <w:t>Tato opatření zejména zajistí, aby osobní údaje byly pseudonymizovány tak, aby Evropská centrální banka nebo národní centrální banky již nemohly tyto údaje přiřadit k jednotlivým uživatelům digitálního eura bez použití dodatečných informací. Při provádění těchto technických a organizačních opatření uplatňují poskytovatelé platebních služeb zásady záměrné a standardní ochrany údajů, jak jsou definovány v nařízení (EU) 2016/679.</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34 – odst. 4 a (nový)</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4a.</w:t>
            </w:r>
            <w:r w:rsidRPr="003C060C">
              <w:rPr>
                <w:b/>
                <w:i/>
              </w:rPr>
              <w:tab/>
              <w:t>Tímto článkem nejsou dotčeny doplňkové služby, které poskytovatelé platebních služeb vyvíjejí a poskytují nad rámec základních platebních služeb v digitálních eurech, na které se vztahuje směrnice (EU) 2015/2366, pro něž se osobní údaje zpracovávají podle čl. 6 odst. 1 písm. a) nebo b) nařízení (EU) 2016/679.</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Evropská centrální banka a národní centrální banky plní úkol ve veřejném zájmu nebo vykonávají veřejnou moc, pokud zpracovávají osobní údaje pro následující účely:</w:t>
            </w:r>
          </w:p>
        </w:tc>
        <w:tc>
          <w:tcPr>
            <w:tcW w:w="4876" w:type="dxa"/>
            <w:hideMark/>
          </w:tcPr>
          <w:p w:rsidR="00B67536" w:rsidRPr="003C060C" w:rsidRDefault="00B54D08">
            <w:pPr>
              <w:pStyle w:val="Normal6"/>
              <w:rPr>
                <w:szCs w:val="24"/>
              </w:rPr>
            </w:pPr>
            <w:r w:rsidRPr="003C060C">
              <w:t>1.</w:t>
            </w:r>
            <w:r w:rsidRPr="003C060C">
              <w:tab/>
              <w:t xml:space="preserve">Evropská centrální banka a národní centrální banky plní úkol ve veřejném zájmu nebo vykonávají veřejnou moc </w:t>
            </w:r>
            <w:r w:rsidRPr="003C060C">
              <w:rPr>
                <w:b/>
                <w:bCs/>
                <w:i/>
                <w:iCs/>
              </w:rPr>
              <w:t>v souladu s čl. 6 odst. 1 písm. e) nařízení 2016/679 nebo čl. 5 odst. 1 písm. a) 2018/1725,</w:t>
            </w:r>
            <w:r w:rsidRPr="003C060C">
              <w:t xml:space="preserve"> pokud zpracovávají osobní údaje pro tyto účely:</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1 – písm. c</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c)</w:t>
            </w:r>
            <w:r w:rsidRPr="003C060C">
              <w:tab/>
              <w:t>zajištění bezpečnosti a integrity infrastruktury pro vypořádání digitálního eura a místních úložných zařízeních;</w:t>
            </w:r>
          </w:p>
        </w:tc>
        <w:tc>
          <w:tcPr>
            <w:tcW w:w="4876" w:type="dxa"/>
            <w:hideMark/>
          </w:tcPr>
          <w:p w:rsidR="00B67536" w:rsidRPr="003C060C" w:rsidRDefault="00B54D08">
            <w:pPr>
              <w:pStyle w:val="Normal6"/>
              <w:rPr>
                <w:szCs w:val="24"/>
              </w:rPr>
            </w:pPr>
            <w:r w:rsidRPr="003C060C">
              <w:t>c)</w:t>
            </w:r>
            <w:r w:rsidRPr="003C060C">
              <w:tab/>
              <w:t>zajištění bezpečnosti a integrity infrastruktury pro vypořádání digitálního eura a</w:t>
            </w:r>
            <w:r w:rsidRPr="003C060C">
              <w:rPr>
                <w:b/>
                <w:bCs/>
                <w:i/>
                <w:iCs/>
              </w:rPr>
              <w:t> provádění analýzy falešných transakcí v</w:t>
            </w:r>
            <w:r w:rsidRPr="003C060C">
              <w:t xml:space="preserve"> místních úložných zařízeních;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Pro účely uvedené v odstavci 1 stanoví příloha IV typy osobních údajů.</w:t>
            </w:r>
          </w:p>
        </w:tc>
        <w:tc>
          <w:tcPr>
            <w:tcW w:w="4876" w:type="dxa"/>
            <w:hideMark/>
          </w:tcPr>
          <w:p w:rsidR="00B67536" w:rsidRPr="003C060C" w:rsidRDefault="00B54D08">
            <w:pPr>
              <w:pStyle w:val="Normal6"/>
              <w:rPr>
                <w:szCs w:val="24"/>
              </w:rPr>
            </w:pPr>
            <w:r w:rsidRPr="003C060C">
              <w:t>2.</w:t>
            </w:r>
            <w:r w:rsidRPr="003C060C">
              <w:tab/>
              <w:t>Pro účely uvedené v odstavci 1 stanoví příloha IV typy osobních údajů</w:t>
            </w:r>
            <w:r w:rsidRPr="003C060C">
              <w:rPr>
                <w:b/>
                <w:bCs/>
                <w:i/>
                <w:iCs/>
              </w:rPr>
              <w:t>, které je možné zpracovávat</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Komise je zmocněna přijímat akty v přenesené pravomoci v souladu s článkem 38 za účelem aktualizace typů osobních údajů uvedených v příloze IV.</w:t>
            </w:r>
          </w:p>
        </w:tc>
        <w:tc>
          <w:tcPr>
            <w:tcW w:w="4876" w:type="dxa"/>
            <w:hideMark/>
          </w:tcPr>
          <w:p w:rsidR="00B67536" w:rsidRPr="003C060C" w:rsidRDefault="00B54D08">
            <w:pPr>
              <w:pStyle w:val="Normal6"/>
              <w:rPr>
                <w:szCs w:val="24"/>
              </w:rPr>
            </w:pPr>
            <w:r w:rsidRPr="003C060C">
              <w:t>3.</w:t>
            </w:r>
            <w:r w:rsidRPr="003C060C">
              <w:tab/>
              <w:t xml:space="preserve">Komise je zmocněna přijímat akty v přenesené pravomoci v souladu s článkem 38 za účelem aktualizace </w:t>
            </w:r>
            <w:r w:rsidRPr="003C060C">
              <w:rPr>
                <w:b/>
                <w:bCs/>
                <w:i/>
                <w:iCs/>
              </w:rPr>
              <w:t>a vyjasnění</w:t>
            </w:r>
            <w:r w:rsidRPr="003C060C">
              <w:t xml:space="preserve"> typů osobních údajů uvedených v příloze IV, </w:t>
            </w:r>
            <w:r w:rsidRPr="003C060C">
              <w:rPr>
                <w:b/>
                <w:bCs/>
                <w:i/>
                <w:iCs/>
              </w:rPr>
              <w:t>přičemž vede úplný a uzavřený seznam osobních údajů, které mají být zpracovány pro uvedený účel</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79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Osobní údaje zpracovávané pro účely úkolů uvedených v odstavci 1 jsou podporovány vhodnými technickými a organizačními opatřeními, včetně nejmodernějších bezpečnostních opatření a opatření na ochranu soukromí. Patří mezi ně jasné oddělení osobních údajů, aby Evropská centrální banka a národní centrální banky nemohly přímo identifikovat jednotlivé uživatele digitálního eura.</w:t>
            </w:r>
          </w:p>
        </w:tc>
        <w:tc>
          <w:tcPr>
            <w:tcW w:w="4876" w:type="dxa"/>
            <w:hideMark/>
          </w:tcPr>
          <w:p w:rsidR="00B67536" w:rsidRPr="003C060C" w:rsidRDefault="00B54D08">
            <w:pPr>
              <w:pStyle w:val="Normal6"/>
              <w:rPr>
                <w:szCs w:val="24"/>
              </w:rPr>
            </w:pPr>
            <w:r w:rsidRPr="003C060C">
              <w:t>4.</w:t>
            </w:r>
            <w:r w:rsidRPr="003C060C">
              <w:tab/>
              <w:t xml:space="preserve">Osobní údaje zpracovávané pro účely úkolů uvedených v odstavci 1 jsou podporovány vhodnými technickými a organizačními opatřeními, včetně nejmodernějších bezpečnostních opatření a opatření na ochranu soukromí. Patří mezi ně jasné oddělení osobních údajů, aby Evropská centrální banka a národní centrální banky nemohly přímo identifikovat jednotlivé uživatele digitálního eura. </w:t>
            </w:r>
            <w:r w:rsidRPr="003C060C">
              <w:rPr>
                <w:b/>
                <w:i/>
              </w:rPr>
              <w:t>Tato opatření zejména zajistí, aby osobní údaje byly pseudonymizovány tak, aby Evropská centrální banka nebo národní centrální banky již nemohly tyto údaje přiřadit k jednotlivým uživatelům digitálního eura bez použití dodatečných informací. Při provádění těchto technických a organizačních opatření uplatňují ECB a národní centrální banky zásady záměrné a standardní ochrany údajů, jak jsou definovány v nařízení (EU) 2016/679.</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5</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5.</w:t>
            </w:r>
            <w:r w:rsidRPr="003C060C">
              <w:tab/>
              <w:t>Evropská centrální banka se považuje za správce osobních údajů pro účely uvedené v odstavcích 1 a 8 tohoto článku. Vykonává-li Evropská centrální banka úkol uvedený v odstavcích 1 a 8 společně s národními centrálními bankami, jsou pro tento úkol společnými správci.</w:t>
            </w:r>
          </w:p>
        </w:tc>
        <w:tc>
          <w:tcPr>
            <w:tcW w:w="4876" w:type="dxa"/>
            <w:hideMark/>
          </w:tcPr>
          <w:p w:rsidR="00B67536" w:rsidRPr="003C060C" w:rsidRDefault="00B54D08">
            <w:pPr>
              <w:pStyle w:val="Normal6"/>
              <w:rPr>
                <w:szCs w:val="24"/>
              </w:rPr>
            </w:pPr>
            <w:r w:rsidRPr="003C060C">
              <w:t>5.</w:t>
            </w:r>
            <w:r w:rsidRPr="003C060C">
              <w:tab/>
            </w:r>
            <w:r w:rsidRPr="003C060C">
              <w:rPr>
                <w:i/>
                <w:iCs/>
              </w:rPr>
              <w:t>(Netýká se českého znění.)</w:t>
            </w:r>
            <w:r w:rsidRPr="003C060C">
              <w:t xml:space="preserve"> </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7</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7.</w:t>
            </w:r>
            <w:r w:rsidRPr="003C060C">
              <w:tab/>
              <w:t xml:space="preserve">Pokud Evropská centrální banka rozhodne, že úkoly uvedenými v článcích 27 a 32 nepověří poskytovatele podpůrných služeb, může Evropská centrální banka zpracovávat typy osobních údajů uvedené v příloze </w:t>
            </w:r>
            <w:r w:rsidRPr="003C060C">
              <w:rPr>
                <w:b/>
                <w:bCs/>
                <w:i/>
                <w:iCs/>
              </w:rPr>
              <w:t>5</w:t>
            </w:r>
            <w:r w:rsidRPr="003C060C">
              <w:t xml:space="preserve"> při dodržení požadavků uvedených v odstavci 4 tohoto článku.</w:t>
            </w:r>
          </w:p>
        </w:tc>
        <w:tc>
          <w:tcPr>
            <w:tcW w:w="4876" w:type="dxa"/>
            <w:hideMark/>
          </w:tcPr>
          <w:p w:rsidR="00B67536" w:rsidRPr="003C060C" w:rsidRDefault="00B54D08">
            <w:pPr>
              <w:pStyle w:val="Normal6"/>
              <w:rPr>
                <w:szCs w:val="24"/>
              </w:rPr>
            </w:pPr>
            <w:r w:rsidRPr="003C060C">
              <w:t>7.</w:t>
            </w:r>
            <w:r w:rsidRPr="003C060C">
              <w:tab/>
              <w:t xml:space="preserve">Pokud Evropská centrální banka rozhodne, že úkoly uvedenými v článcích 27 a 32 nepověří poskytovatele podpůrných služeb, může Evropská centrální banka zpracovávat typy osobních údajů uvedené v příloze </w:t>
            </w:r>
            <w:r w:rsidRPr="003C060C">
              <w:rPr>
                <w:b/>
                <w:bCs/>
                <w:i/>
                <w:iCs/>
              </w:rPr>
              <w:t>V</w:t>
            </w:r>
            <w:r w:rsidRPr="003C060C">
              <w:t xml:space="preserve"> při dodržení požadavků uvedených v odstavci 4 tohoto článku.</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35 – odst. 8</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8.</w:t>
            </w:r>
            <w:r w:rsidRPr="003C060C">
              <w:tab/>
              <w:t>Za účelem podpory úkolů poskytovatelů platebních služeb při prosazování omezení držby podle čl. 16 odst. 1 a zajištění nouzového přechodu na žádost uživatele podle čl. 31 odst. 2 může ECB sama nebo společně s národními centrálními bankami zřídit jednotné přístupové místo pro identifikátory uživatelů digitálního eura a související omezení držby digitálních eur podle bodu 4 přílohy 4. Evropská centrální banka zavede vhodná technická a organizační opatření, včetně nejmodernějších bezpečnostních opatření a opatření na ochranu soukromí, aby zajistila, že totožnost jednotlivých uživatelů digitálního eura nelze zjistit z informací, ke kterým mají přístup v jednotném přístupovém místě jiné subjekty než poskytovatelé platebních služeb, jejichž klientem nebo potenciálním zákazníkem tento uživatel digitálního eura je.</w:t>
            </w:r>
          </w:p>
        </w:tc>
        <w:tc>
          <w:tcPr>
            <w:tcW w:w="4876" w:type="dxa"/>
            <w:hideMark/>
          </w:tcPr>
          <w:p w:rsidR="00B67536" w:rsidRPr="003C060C" w:rsidRDefault="00B54D08">
            <w:pPr>
              <w:pStyle w:val="Normal6"/>
              <w:rPr>
                <w:szCs w:val="24"/>
              </w:rPr>
            </w:pPr>
            <w:r w:rsidRPr="003C060C">
              <w:t>8.</w:t>
            </w:r>
            <w:r w:rsidRPr="003C060C">
              <w:tab/>
              <w:t xml:space="preserve">Za účelem podpory úkolů poskytovatelů platebních služeb při prosazování omezení držby podle čl. 16 odst. 1 a zajištění nouzového přechodu na žádost uživatele podle čl. 31 odst. 2 může ECB sama nebo společně s národními centrálními bankami zřídit jednotné přístupové místo pro identifikátory uživatelů digitálního eura a související omezení držby digitálních eur podle bodu 4 přílohy 4. Evropská centrální banka zavede vhodná technická a organizační opatření, včetně nejmodernějších bezpečnostních opatření a opatření na ochranu soukromí, aby zajistila, že totožnost jednotlivých uživatelů digitálního eura nelze zjistit z informací, ke kterým mají přístup v jednotném přístupovém místě jiné subjekty než poskytovatelé platebních služeb, jejichž klientem nebo potenciálním zákazníkem tento uživatel digitálního eura je. </w:t>
            </w:r>
            <w:r w:rsidRPr="003C060C">
              <w:rPr>
                <w:b/>
                <w:i/>
              </w:rPr>
              <w:t>Při provádění těchto technických a organizačních opatření Evropská centrální banka uplatňuje zásady záměrné a standardní ochrany údajů, jak jsou definovány v nařízení (EU) 2016/679.</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36 – odst.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 xml:space="preserve">Pokud se Evropská centrální banka rozhodne svěřit úkoly uvedené v článcích 27 a 32 poskytovatelům podpůrných služeb, poskytují poskytovatelé podpůrných služeb služby související s platebním stykem pro všechny poskytovatele platebních služeb. V takové situaci </w:t>
            </w:r>
            <w:r w:rsidRPr="003C060C">
              <w:rPr>
                <w:b/>
                <w:bCs/>
                <w:i/>
                <w:iCs/>
              </w:rPr>
              <w:t>plní</w:t>
            </w:r>
            <w:r w:rsidRPr="003C060C">
              <w:t xml:space="preserve"> poskytovatelé platebních služeb </w:t>
            </w:r>
            <w:r w:rsidRPr="003C060C">
              <w:rPr>
                <w:b/>
                <w:bCs/>
                <w:i/>
                <w:iCs/>
              </w:rPr>
              <w:t>úkol ve veřejném zájmu, pokud</w:t>
            </w:r>
            <w:r w:rsidRPr="003C060C">
              <w:t xml:space="preserve"> zpracovávají osobní údaje </w:t>
            </w:r>
            <w:r w:rsidRPr="003C060C">
              <w:rPr>
                <w:b/>
                <w:bCs/>
                <w:i/>
                <w:iCs/>
              </w:rPr>
              <w:t>pro</w:t>
            </w:r>
            <w:r w:rsidRPr="003C060C">
              <w:t xml:space="preserve"> tyto účely:</w:t>
            </w:r>
          </w:p>
        </w:tc>
        <w:tc>
          <w:tcPr>
            <w:tcW w:w="4876" w:type="dxa"/>
            <w:hideMark/>
          </w:tcPr>
          <w:p w:rsidR="00B67536" w:rsidRPr="003C060C" w:rsidRDefault="00B54D08">
            <w:pPr>
              <w:pStyle w:val="Normal6"/>
              <w:rPr>
                <w:szCs w:val="24"/>
              </w:rPr>
            </w:pPr>
            <w:r w:rsidRPr="003C060C">
              <w:t>1.</w:t>
            </w:r>
            <w:r w:rsidRPr="003C060C">
              <w:tab/>
              <w:t>Pokud se Evropská centrální banka rozhodne svěřit úkoly uvedené v článcích 27 a 32 poskytovatelům podpůrných služeb, poskytují poskytovatelé podpůrných služeb služby související s platebním stykem pro všechny poskytovatele platebních služeb. V takové situaci poskytovatelé platebních služeb zpracovávají osobní údaje</w:t>
            </w:r>
            <w:r w:rsidRPr="003C060C">
              <w:rPr>
                <w:b/>
                <w:bCs/>
                <w:i/>
                <w:iCs/>
              </w:rPr>
              <w:t xml:space="preserve"> pouze tehdy, pokud plní úkol ve veřejném zájmu podle čl. 6 odst. 1 písm. e) nařízení (EU) 2016/679, který je omezen</w:t>
            </w:r>
            <w:r w:rsidRPr="003C060C">
              <w:t xml:space="preserve"> </w:t>
            </w:r>
            <w:r w:rsidRPr="003C060C">
              <w:rPr>
                <w:b/>
                <w:bCs/>
                <w:i/>
                <w:iCs/>
              </w:rPr>
              <w:t>na</w:t>
            </w:r>
            <w:r w:rsidRPr="003C060C">
              <w:t xml:space="preserve"> tyto účely:</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36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Pro účely uvedené v odstavci 1 stanoví příloha V typy osobních údajů.</w:t>
            </w:r>
          </w:p>
        </w:tc>
        <w:tc>
          <w:tcPr>
            <w:tcW w:w="4876" w:type="dxa"/>
            <w:hideMark/>
          </w:tcPr>
          <w:p w:rsidR="00B67536" w:rsidRPr="003C060C" w:rsidRDefault="00B54D08">
            <w:pPr>
              <w:pStyle w:val="Normal6"/>
              <w:rPr>
                <w:szCs w:val="24"/>
              </w:rPr>
            </w:pPr>
            <w:r w:rsidRPr="003C060C">
              <w:t>2.</w:t>
            </w:r>
            <w:r w:rsidRPr="003C060C">
              <w:tab/>
              <w:t>Pro účely uvedené v odstavci 1 stanoví příloha V typy osobních údajů</w:t>
            </w:r>
            <w:r w:rsidRPr="003C060C">
              <w:rPr>
                <w:b/>
                <w:bCs/>
                <w:i/>
                <w:iCs/>
              </w:rPr>
              <w:t>, které je možné zpracovávat</w:t>
            </w:r>
            <w:r w:rsidRPr="003C060C">
              <w:t xml:space="preserve">. </w:t>
            </w:r>
            <w:r w:rsidRPr="003C060C">
              <w:rPr>
                <w:b/>
                <w:i/>
              </w:rPr>
              <w:t>Pro účely uvedené v odst. 1 písm. b) je Komise zmocněna definovat typy osobních údajů, které mohou zpracovávat poskytovatelé podpůrných služeb, prostřednictvím aktů v přenesené pravomoci v souladu s odstavcem 3.</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36 – odst.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Komise je zmocněna přijímat akty v přenesené pravomoci v souladu s článkem 38 za účelem aktualizace typů osobních údajů uvedených v příloze V.</w:t>
            </w:r>
          </w:p>
        </w:tc>
        <w:tc>
          <w:tcPr>
            <w:tcW w:w="4876" w:type="dxa"/>
            <w:hideMark/>
          </w:tcPr>
          <w:p w:rsidR="00B67536" w:rsidRPr="003C060C" w:rsidRDefault="00B54D08">
            <w:pPr>
              <w:pStyle w:val="Normal6"/>
              <w:rPr>
                <w:szCs w:val="24"/>
              </w:rPr>
            </w:pPr>
            <w:r w:rsidRPr="003C060C">
              <w:t>3.</w:t>
            </w:r>
            <w:r w:rsidRPr="003C060C">
              <w:tab/>
              <w:t xml:space="preserve">Komise je zmocněna přijímat akty v přenesené pravomoci v souladu s článkem 38 za účelem aktualizace </w:t>
            </w:r>
            <w:r w:rsidRPr="003C060C">
              <w:rPr>
                <w:b/>
                <w:bCs/>
                <w:i/>
                <w:iCs/>
              </w:rPr>
              <w:t>a vyjasnění</w:t>
            </w:r>
            <w:r w:rsidRPr="003C060C">
              <w:t xml:space="preserve"> typů osobních údajů uvedených v příloze V, </w:t>
            </w:r>
            <w:r w:rsidRPr="003C060C">
              <w:rPr>
                <w:b/>
                <w:bCs/>
                <w:i/>
                <w:iCs/>
              </w:rPr>
              <w:t>přičemž vede úplný a uzavřený seznam osobních údajů, které mají být zpracovány pro uvedený účel</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36 – odst. 4</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Zpracování osobních údajů pro účely uvedené v odstavci 1 se provádí pouze tehdy, jsou-li zavedena vhodná technická a organizační opatření, včetně nejmodernějších bezpečnostních opatření a opatření na ochranu soukromí, která zajišťují, že poskytovatelé podpůrných služeb nemohou přímo identifikovat jednotlivé uživatele digitálního eura.</w:t>
            </w:r>
          </w:p>
        </w:tc>
        <w:tc>
          <w:tcPr>
            <w:tcW w:w="4876" w:type="dxa"/>
            <w:hideMark/>
          </w:tcPr>
          <w:p w:rsidR="00B67536" w:rsidRPr="003C060C" w:rsidRDefault="00B54D08">
            <w:pPr>
              <w:pStyle w:val="Normal6"/>
              <w:rPr>
                <w:szCs w:val="24"/>
              </w:rPr>
            </w:pPr>
            <w:r w:rsidRPr="003C060C">
              <w:t>4.</w:t>
            </w:r>
            <w:r w:rsidRPr="003C060C">
              <w:tab/>
              <w:t xml:space="preserve">Zpracování osobních údajů pro účely uvedené v odstavci 1 se provádí pouze tehdy, jsou-li zavedena vhodná technická a organizační opatření, včetně nejmodernějších bezpečnostních opatření a opatření na ochranu soukromí, která zajišťují, že poskytovatelé podpůrných služeb nemohou přímo identifikovat jednotlivé uživatele digitálního eura. </w:t>
            </w:r>
            <w:r w:rsidRPr="003C060C">
              <w:rPr>
                <w:b/>
                <w:i/>
              </w:rPr>
              <w:t>Tato opatření zejména zajistí, aby osobní údaje byly pseudonymizovány tak, aby Evropská centrální banka nebo národní centrální banky již nemohly tyto údaje přiřadit k jednotlivým uživatelům digitálního eura bez použití dodatečných informací. Při provádění těchto technických a organizačních opatření uplatňují poskytovatelé platebních služeb zásady záměrné a standardní ochrany údajů, jak jsou definovány v nařízení (EU) 2016/679.</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37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 xml:space="preserve">Poskytovatelé platebních služeb ani </w:t>
            </w:r>
            <w:r w:rsidRPr="003C060C">
              <w:rPr>
                <w:b/>
                <w:bCs/>
                <w:i/>
                <w:iCs/>
              </w:rPr>
              <w:t>evropské</w:t>
            </w:r>
            <w:r w:rsidRPr="003C060C">
              <w:t xml:space="preserve"> centrální </w:t>
            </w:r>
            <w:r w:rsidRPr="003C060C">
              <w:rPr>
                <w:b/>
                <w:bCs/>
                <w:i/>
                <w:iCs/>
              </w:rPr>
              <w:t>banky</w:t>
            </w:r>
            <w:r w:rsidRPr="003C060C">
              <w:t xml:space="preserve"> a národní centrální banky údaje o transakcích </w:t>
            </w:r>
            <w:r w:rsidRPr="003C060C">
              <w:rPr>
                <w:b/>
                <w:bCs/>
                <w:i/>
                <w:iCs/>
              </w:rPr>
              <w:t>neuchovávají</w:t>
            </w:r>
            <w:r w:rsidRPr="003C060C">
              <w:t>.</w:t>
            </w:r>
          </w:p>
        </w:tc>
        <w:tc>
          <w:tcPr>
            <w:tcW w:w="4876" w:type="dxa"/>
            <w:hideMark/>
          </w:tcPr>
          <w:p w:rsidR="00B67536" w:rsidRPr="003C060C" w:rsidRDefault="00B54D08">
            <w:pPr>
              <w:pStyle w:val="Normal6"/>
              <w:rPr>
                <w:szCs w:val="24"/>
              </w:rPr>
            </w:pPr>
            <w:r w:rsidRPr="003C060C">
              <w:t>2.</w:t>
            </w:r>
            <w:r w:rsidRPr="003C060C">
              <w:tab/>
              <w:t xml:space="preserve">Poskytovatelé platebních služeb, </w:t>
            </w:r>
            <w:r w:rsidRPr="003C060C">
              <w:rPr>
                <w:b/>
                <w:bCs/>
                <w:i/>
                <w:iCs/>
              </w:rPr>
              <w:t xml:space="preserve">poskytovatelé podpůrných služeb </w:t>
            </w:r>
            <w:r w:rsidRPr="003C060C">
              <w:t>ani</w:t>
            </w:r>
            <w:r w:rsidRPr="003C060C">
              <w:rPr>
                <w:b/>
                <w:bCs/>
                <w:i/>
                <w:iCs/>
              </w:rPr>
              <w:t xml:space="preserve"> Evropská </w:t>
            </w:r>
            <w:r w:rsidRPr="003C060C">
              <w:t xml:space="preserve">centrální </w:t>
            </w:r>
            <w:r w:rsidRPr="003C060C">
              <w:rPr>
                <w:b/>
                <w:bCs/>
                <w:i/>
                <w:iCs/>
              </w:rPr>
              <w:t xml:space="preserve">banka </w:t>
            </w:r>
            <w:r w:rsidRPr="003C060C">
              <w:t xml:space="preserve">a národní centrální banky </w:t>
            </w:r>
            <w:r w:rsidRPr="003C060C">
              <w:rPr>
                <w:b/>
                <w:bCs/>
                <w:i/>
                <w:iCs/>
              </w:rPr>
              <w:t xml:space="preserve">nezpracovávají </w:t>
            </w:r>
            <w:r w:rsidRPr="003C060C">
              <w:t xml:space="preserve">údaje o transakcích </w:t>
            </w:r>
            <w:r w:rsidRPr="003C060C">
              <w:rPr>
                <w:b/>
                <w:bCs/>
                <w:i/>
                <w:iCs/>
              </w:rPr>
              <w:t>generované platební transakcí v rámci zpracovatelských limitů stanovených v přílohách III, IV a V</w:t>
            </w:r>
            <w:r w:rsidRPr="003C060C">
              <w:rPr>
                <w:b/>
                <w:bCs/>
              </w:rPr>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37 – odst. 5</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5.</w:t>
            </w:r>
            <w:r w:rsidRPr="003C060C">
              <w:tab/>
              <w:t>Komise je zmocněna k přijímání</w:t>
            </w:r>
            <w:r w:rsidRPr="003C060C">
              <w:rPr>
                <w:b/>
                <w:bCs/>
                <w:i/>
                <w:iCs/>
              </w:rPr>
              <w:t xml:space="preserve"> prováděcích</w:t>
            </w:r>
            <w:r w:rsidRPr="003C060C">
              <w:t xml:space="preserve"> aktů, kterými stanoví omezení pro transakce plateb v digitálních eurech v režimu offline a omezení pro držbu. Tyto </w:t>
            </w:r>
            <w:r w:rsidRPr="003C060C">
              <w:rPr>
                <w:b/>
                <w:bCs/>
                <w:i/>
                <w:iCs/>
              </w:rPr>
              <w:t>prováděcí</w:t>
            </w:r>
            <w:r w:rsidRPr="003C060C">
              <w:t xml:space="preserve"> akty se přijímají </w:t>
            </w:r>
            <w:r w:rsidRPr="003C060C">
              <w:rPr>
                <w:b/>
                <w:bCs/>
                <w:i/>
                <w:iCs/>
              </w:rPr>
              <w:t>přezkumným</w:t>
            </w:r>
            <w:r w:rsidRPr="003C060C">
              <w:t xml:space="preserve"> postupem podle článku </w:t>
            </w:r>
            <w:r w:rsidRPr="003C060C">
              <w:rPr>
                <w:b/>
                <w:bCs/>
                <w:i/>
                <w:iCs/>
              </w:rPr>
              <w:t>39</w:t>
            </w:r>
            <w:r w:rsidRPr="003C060C">
              <w:t>.</w:t>
            </w:r>
          </w:p>
        </w:tc>
        <w:tc>
          <w:tcPr>
            <w:tcW w:w="4876" w:type="dxa"/>
            <w:hideMark/>
          </w:tcPr>
          <w:p w:rsidR="00B67536" w:rsidRPr="003C060C" w:rsidRDefault="00B54D08">
            <w:pPr>
              <w:pStyle w:val="Normal6"/>
              <w:rPr>
                <w:szCs w:val="24"/>
              </w:rPr>
            </w:pPr>
            <w:r w:rsidRPr="003C060C">
              <w:t>5.</w:t>
            </w:r>
            <w:r w:rsidRPr="003C060C">
              <w:tab/>
              <w:t xml:space="preserve">Komise je zmocněna k přijímání aktů </w:t>
            </w:r>
            <w:r w:rsidRPr="003C060C">
              <w:rPr>
                <w:b/>
                <w:bCs/>
                <w:i/>
                <w:iCs/>
              </w:rPr>
              <w:t>v přenesené pravomoci</w:t>
            </w:r>
            <w:r w:rsidRPr="003C060C">
              <w:t xml:space="preserve">, kterými stanoví omezení pro transakce plateb v digitálních eurech v režimu offline a omezení pro držbu. Tyto akty </w:t>
            </w:r>
            <w:r w:rsidRPr="003C060C">
              <w:rPr>
                <w:b/>
                <w:bCs/>
                <w:i/>
                <w:iCs/>
              </w:rPr>
              <w:t>v přenesené pravomoci</w:t>
            </w:r>
            <w:r w:rsidRPr="003C060C">
              <w:t xml:space="preserve"> se přijímají postupem podle článku </w:t>
            </w:r>
            <w:r w:rsidRPr="003C060C">
              <w:rPr>
                <w:b/>
                <w:bCs/>
                <w:i/>
                <w:iCs/>
              </w:rPr>
              <w:t>38</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89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37 – odst. 6 – pododstavec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Omezení pro transakce a držbu zohledňují potřebu zabránit praní peněz a financování terorismu a zároveň nepřiměřeně neomezují používání digitálního eura jako offline platebního prostředku. Komise při vypracovávání</w:t>
            </w:r>
            <w:r w:rsidRPr="003C060C">
              <w:rPr>
                <w:b/>
                <w:bCs/>
                <w:i/>
                <w:iCs/>
              </w:rPr>
              <w:t xml:space="preserve"> prováděcích</w:t>
            </w:r>
            <w:r w:rsidRPr="003C060C">
              <w:t xml:space="preserve"> aktů uvedených v odstavci 5 zohlední zejména tyto skutečnosti:</w:t>
            </w:r>
          </w:p>
        </w:tc>
        <w:tc>
          <w:tcPr>
            <w:tcW w:w="4876" w:type="dxa"/>
            <w:hideMark/>
          </w:tcPr>
          <w:p w:rsidR="00B67536" w:rsidRPr="003C060C" w:rsidRDefault="00B54D08">
            <w:pPr>
              <w:pStyle w:val="Normal6"/>
              <w:rPr>
                <w:szCs w:val="24"/>
              </w:rPr>
            </w:pPr>
            <w:r w:rsidRPr="003C060C">
              <w:t xml:space="preserve">Omezení pro transakce a držbu zohledňují potřebu zabránit praní peněz a financování terorismu a zároveň nepřiměřeně neomezují používání digitálního eura jako offline platebního prostředku. Komise při vypracovávání aktů </w:t>
            </w:r>
            <w:r w:rsidRPr="003C060C">
              <w:rPr>
                <w:b/>
                <w:bCs/>
                <w:i/>
                <w:iCs/>
              </w:rPr>
              <w:t>v přenesené pravomoci</w:t>
            </w:r>
            <w:r w:rsidRPr="003C060C">
              <w:rPr>
                <w:b/>
                <w:bCs/>
              </w:rPr>
              <w:t xml:space="preserve"> </w:t>
            </w:r>
            <w:r w:rsidRPr="003C060C">
              <w:t>uvedených v odstavci 5 zohlední zejména tyto skutečnosti:</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37 – odst. 6 – pododstavec 1 – písm. c a (nové)</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tcPr>
          <w:p w:rsidR="00B67536" w:rsidRPr="003C060C" w:rsidRDefault="00B67536">
            <w:pPr>
              <w:pStyle w:val="Normal6"/>
            </w:pPr>
          </w:p>
        </w:tc>
        <w:tc>
          <w:tcPr>
            <w:tcW w:w="4876" w:type="dxa"/>
            <w:hideMark/>
          </w:tcPr>
          <w:p w:rsidR="00B67536" w:rsidRPr="003C060C" w:rsidRDefault="00B54D08">
            <w:pPr>
              <w:pStyle w:val="Normal6"/>
              <w:rPr>
                <w:szCs w:val="24"/>
              </w:rPr>
            </w:pPr>
            <w:r w:rsidRPr="003C060C">
              <w:rPr>
                <w:b/>
                <w:i/>
              </w:rPr>
              <w:t>ca)</w:t>
            </w:r>
            <w:r w:rsidRPr="003C060C">
              <w:rPr>
                <w:b/>
                <w:i/>
              </w:rPr>
              <w:tab/>
              <w:t>cíl zavedení platebního nástroje podobného hotovosti a v souvislosti s tím zachování práva na ochranu osobních údajů a soukromí.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37 – odst. 6 – pododstavec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 xml:space="preserve">Pro účely písmene a) </w:t>
            </w:r>
            <w:r w:rsidRPr="003C060C">
              <w:rPr>
                <w:b/>
                <w:bCs/>
                <w:i/>
                <w:iCs/>
              </w:rPr>
              <w:t>může</w:t>
            </w:r>
            <w:r w:rsidRPr="003C060C">
              <w:t xml:space="preserve"> Komise </w:t>
            </w:r>
            <w:r w:rsidRPr="003C060C">
              <w:rPr>
                <w:b/>
                <w:bCs/>
                <w:i/>
                <w:iCs/>
              </w:rPr>
              <w:t>požádat</w:t>
            </w:r>
            <w:r w:rsidRPr="003C060C">
              <w:t xml:space="preserve"> orgán AMLA </w:t>
            </w:r>
            <w:r w:rsidRPr="003C060C">
              <w:rPr>
                <w:b/>
                <w:bCs/>
                <w:i/>
                <w:iCs/>
              </w:rPr>
              <w:t>o přijetí stanoviska, v němž</w:t>
            </w:r>
            <w:r w:rsidRPr="003C060C">
              <w:t xml:space="preserve"> posoudí úroveň hrozeb praní peněz a financování terorismu spojených s offline digitálním eurem a jeho zranitelnost. Komise může konzultovat Evropský sbor pro ochranu osobních údajů.</w:t>
            </w:r>
          </w:p>
        </w:tc>
        <w:tc>
          <w:tcPr>
            <w:tcW w:w="4876" w:type="dxa"/>
            <w:hideMark/>
          </w:tcPr>
          <w:p w:rsidR="00B67536" w:rsidRPr="003C060C" w:rsidRDefault="00B54D08">
            <w:pPr>
              <w:pStyle w:val="Normal6"/>
              <w:rPr>
                <w:szCs w:val="24"/>
              </w:rPr>
            </w:pPr>
            <w:r w:rsidRPr="003C060C">
              <w:t xml:space="preserve">Pro účely písmene a) Komise </w:t>
            </w:r>
            <w:r w:rsidRPr="003C060C">
              <w:rPr>
                <w:b/>
                <w:bCs/>
                <w:i/>
                <w:iCs/>
              </w:rPr>
              <w:t>konzultuje</w:t>
            </w:r>
            <w:r w:rsidRPr="003C060C">
              <w:t xml:space="preserve"> orgán AMLA</w:t>
            </w:r>
            <w:r w:rsidRPr="003C060C">
              <w:rPr>
                <w:b/>
                <w:bCs/>
                <w:i/>
                <w:iCs/>
              </w:rPr>
              <w:t>, který</w:t>
            </w:r>
            <w:r w:rsidRPr="003C060C">
              <w:t xml:space="preserve"> posoudí úroveň hrozeb praní peněz a financování terorismu spojených s offline digitálním eurem a jeho zranitelnost. Komise může rovněž konzultovat Evropský sbor pro ochranu osobních údajů. </w:t>
            </w:r>
            <w:r w:rsidRPr="003C060C">
              <w:rPr>
                <w:b/>
                <w:i/>
              </w:rPr>
              <w:t>Pro účely písmene d) Komise konzultuje evropského inspektora ochrany údajů v souladu s článkem 42 nařízení (EU) 2018/1725.</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38 – odst. 2</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 xml:space="preserve">Pravomoc přijímat akty v přenesené pravomoci uvedená v článcích 11, </w:t>
            </w:r>
            <w:r w:rsidRPr="003C060C">
              <w:rPr>
                <w:b/>
                <w:bCs/>
                <w:i/>
                <w:iCs/>
              </w:rPr>
              <w:t>33, 34 a 35</w:t>
            </w:r>
            <w:r w:rsidRPr="003C060C">
              <w:t xml:space="preserve"> je svěřena Komisi na dobu neurčitou od [datum vstupu tohoto nařízení v platnost].</w:t>
            </w:r>
          </w:p>
        </w:tc>
        <w:tc>
          <w:tcPr>
            <w:tcW w:w="4876" w:type="dxa"/>
            <w:hideMark/>
          </w:tcPr>
          <w:p w:rsidR="00B67536" w:rsidRPr="003C060C" w:rsidRDefault="00B54D08">
            <w:pPr>
              <w:pStyle w:val="Normal6"/>
              <w:rPr>
                <w:szCs w:val="24"/>
              </w:rPr>
            </w:pPr>
            <w:r w:rsidRPr="003C060C">
              <w:t>2.</w:t>
            </w:r>
            <w:r w:rsidRPr="003C060C">
              <w:tab/>
              <w:t xml:space="preserve">Pravomoc přijímat akty v přenesené pravomoci uvedená v článcích 11, </w:t>
            </w:r>
            <w:r w:rsidRPr="003C060C">
              <w:rPr>
                <w:b/>
                <w:bCs/>
                <w:i/>
                <w:iCs/>
              </w:rPr>
              <w:t>34, 35 a 36</w:t>
            </w:r>
            <w:r w:rsidRPr="003C060C">
              <w:t xml:space="preserve"> je svěřena Komisi na dobu neurčitou od [datum vstupu tohoto nařízení v platnost].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38 – odst.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 xml:space="preserve">Evropský parlament nebo Rada mohou pravomoc přijímat akty v přenesené pravomoci uvedené v článku 11, </w:t>
            </w:r>
            <w:r w:rsidRPr="003C060C">
              <w:rPr>
                <w:b/>
                <w:bCs/>
                <w:i/>
                <w:iCs/>
              </w:rPr>
              <w:t>33, 34 a 35</w:t>
            </w:r>
            <w:r w:rsidRPr="003C060C">
              <w:t xml:space="preserve"> kdykoli zrušit. Rozhodnutím o zrušení se ukončuje přenesení pravomoci v něm upřesněné. Rozhodnutí nabývá účinku prvním dnem po zveřejnění v Úředním věstníku Evropské unie nebo k pozdějšímu dni, který je v něm upřesněn. Nedotýká se platnosti žádných již platných aktů v přenesené pravomoci.</w:t>
            </w:r>
          </w:p>
        </w:tc>
        <w:tc>
          <w:tcPr>
            <w:tcW w:w="4876" w:type="dxa"/>
            <w:hideMark/>
          </w:tcPr>
          <w:p w:rsidR="00B67536" w:rsidRPr="003C060C" w:rsidRDefault="00B54D08">
            <w:pPr>
              <w:pStyle w:val="Normal6"/>
              <w:rPr>
                <w:szCs w:val="24"/>
              </w:rPr>
            </w:pPr>
            <w:r w:rsidRPr="003C060C">
              <w:t>3.</w:t>
            </w:r>
            <w:r w:rsidRPr="003C060C">
              <w:tab/>
              <w:t xml:space="preserve">Evropský parlament nebo Rada mohou pravomoc přijímat akty v přenesené pravomoci uvedené v článku 11, </w:t>
            </w:r>
            <w:r w:rsidRPr="003C060C">
              <w:rPr>
                <w:b/>
                <w:bCs/>
                <w:i/>
                <w:iCs/>
              </w:rPr>
              <w:t>34, 35 a 36</w:t>
            </w:r>
            <w:r w:rsidRPr="003C060C">
              <w:t xml:space="preserve"> kdykoli zrušit. Rozhodnutím o zrušení se ukončuje přenesení pravomoci v něm upřesněné. Rozhodnutí nabývá účinku prvním dnem po zveřejnění v Úředním věstníku Evropské unie nebo k pozdějšímu dni, který je v něm upřesněn. Nedotýká se platnosti žádných již platných aktů v přenesené pravomoci.</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Čl. 38 – odst. 6</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6.</w:t>
            </w:r>
            <w:r w:rsidRPr="003C060C">
              <w:tab/>
              <w:t xml:space="preserve">Akt v přenesené pravomoci přijatý podle článků 11, </w:t>
            </w:r>
            <w:r w:rsidRPr="003C060C">
              <w:rPr>
                <w:b/>
                <w:bCs/>
                <w:i/>
                <w:iCs/>
              </w:rPr>
              <w:t>33, 34 a 35</w:t>
            </w:r>
            <w:r w:rsidRPr="003C060C">
              <w:t xml:space="preserve"> vstoupí v platnost, pouze pokud proti němu Evropský parlament nebo Rada nevysloví námitky ve lhůtě jednoho měsíce ode dne, kdy jim byl tento akt oznámen, nebo pokud Evropský parlament i Rada před uplynutím této lhůty informují Komisi o tom, že námitky nevysloví. Z podnětu Evropského parlamentu nebo Rady se tato lhůta prodlouží o dva měsíce.</w:t>
            </w:r>
          </w:p>
        </w:tc>
        <w:tc>
          <w:tcPr>
            <w:tcW w:w="4876" w:type="dxa"/>
            <w:hideMark/>
          </w:tcPr>
          <w:p w:rsidR="00B67536" w:rsidRPr="003C060C" w:rsidRDefault="00B54D08">
            <w:pPr>
              <w:pStyle w:val="Normal6"/>
              <w:rPr>
                <w:szCs w:val="24"/>
              </w:rPr>
            </w:pPr>
            <w:r w:rsidRPr="003C060C">
              <w:t>6.</w:t>
            </w:r>
            <w:r w:rsidRPr="003C060C">
              <w:tab/>
              <w:t>Akt v přenesené pravomoci přijatý podle článků 11,</w:t>
            </w:r>
            <w:r w:rsidRPr="003C060C">
              <w:rPr>
                <w:b/>
                <w:bCs/>
                <w:i/>
                <w:iCs/>
              </w:rPr>
              <w:t xml:space="preserve"> 34, 35 a 36</w:t>
            </w:r>
            <w:r w:rsidRPr="003C060C">
              <w:t xml:space="preserve"> vstoupí v platnost, pouze pokud proti němu Evropský parlament nebo Rada nevysloví námitky ve lhůtě jednoho měsíce ode dne, kdy jim byl tento akt oznámen, nebo pokud Evropský parlament i Rada před uplynutím této lhůty informují Komisi o tom, že námitky nevysloví. Z podnětu Evropského parlamentu nebo Rady se tato lhůta prodlouží o dva měsíce.</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 – bod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Základní platební služby v digitálních eurech pro fyzické osoby zahrnují:</w:t>
            </w:r>
          </w:p>
        </w:tc>
        <w:tc>
          <w:tcPr>
            <w:tcW w:w="4876" w:type="dxa"/>
            <w:hideMark/>
          </w:tcPr>
          <w:p w:rsidR="00B67536" w:rsidRPr="003C060C" w:rsidRDefault="00B54D08">
            <w:pPr>
              <w:pStyle w:val="Normal6"/>
              <w:rPr>
                <w:szCs w:val="24"/>
              </w:rPr>
            </w:pPr>
            <w:r w:rsidRPr="003C060C">
              <w:t>Základní platební služby v digitálních eurech</w:t>
            </w:r>
            <w:r w:rsidRPr="003C060C">
              <w:rPr>
                <w:b/>
                <w:bCs/>
                <w:i/>
                <w:iCs/>
              </w:rPr>
              <w:t>, jak pro online, tak offline digitální euro,</w:t>
            </w:r>
            <w:r w:rsidRPr="003C060C">
              <w:t xml:space="preserve"> pro fyzické osoby zahrnují: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 – bod 1 – písm. a</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a)</w:t>
            </w:r>
            <w:r w:rsidRPr="003C060C">
              <w:tab/>
              <w:t xml:space="preserve">zřízení, vedení </w:t>
            </w:r>
            <w:r w:rsidRPr="003C060C">
              <w:rPr>
                <w:b/>
                <w:bCs/>
                <w:i/>
                <w:iCs/>
              </w:rPr>
              <w:t>a</w:t>
            </w:r>
            <w:r w:rsidRPr="003C060C">
              <w:t xml:space="preserve"> zrušení platebního účtu v digitálních eurech;</w:t>
            </w:r>
          </w:p>
        </w:tc>
        <w:tc>
          <w:tcPr>
            <w:tcW w:w="4876" w:type="dxa"/>
            <w:hideMark/>
          </w:tcPr>
          <w:p w:rsidR="00B67536" w:rsidRPr="003C060C" w:rsidRDefault="00B54D08">
            <w:pPr>
              <w:pStyle w:val="Normal6"/>
              <w:rPr>
                <w:szCs w:val="24"/>
              </w:rPr>
            </w:pPr>
            <w:r w:rsidRPr="003C060C">
              <w:t>a)</w:t>
            </w:r>
            <w:r w:rsidRPr="003C060C">
              <w:tab/>
              <w:t xml:space="preserve">zřízení, vedení, zrušení </w:t>
            </w:r>
            <w:r w:rsidRPr="003C060C">
              <w:rPr>
                <w:b/>
                <w:bCs/>
                <w:i/>
                <w:iCs/>
              </w:rPr>
              <w:t>a přechod</w:t>
            </w:r>
            <w:r w:rsidRPr="003C060C">
              <w:t xml:space="preserve"> platebního účtu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 – bod 1 – písm. c</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c)</w:t>
            </w:r>
            <w:r w:rsidRPr="003C060C">
              <w:tab/>
            </w:r>
            <w:r w:rsidRPr="003C060C">
              <w:rPr>
                <w:b/>
                <w:bCs/>
                <w:i/>
                <w:iCs/>
              </w:rPr>
              <w:t>neautomatizované</w:t>
            </w:r>
            <w:r w:rsidRPr="003C060C">
              <w:t xml:space="preserve"> financování a definancování z platebního účtu v nedigitálních eurech;</w:t>
            </w:r>
          </w:p>
        </w:tc>
        <w:tc>
          <w:tcPr>
            <w:tcW w:w="4876" w:type="dxa"/>
            <w:hideMark/>
          </w:tcPr>
          <w:p w:rsidR="00B67536" w:rsidRPr="003C060C" w:rsidRDefault="00B54D08">
            <w:pPr>
              <w:pStyle w:val="Normal6"/>
              <w:rPr>
                <w:szCs w:val="24"/>
              </w:rPr>
            </w:pPr>
            <w:r w:rsidRPr="003C060C">
              <w:t>c)</w:t>
            </w:r>
            <w:r w:rsidRPr="003C060C">
              <w:tab/>
              <w:t xml:space="preserve">financování a definancování z platebního účtu v nedigitálních eurech </w:t>
            </w:r>
            <w:r w:rsidRPr="003C060C">
              <w:rPr>
                <w:b/>
                <w:bCs/>
                <w:i/>
                <w:iCs/>
              </w:rPr>
              <w:t>na účet v digitálních eurech</w:t>
            </w:r>
            <w:r w:rsidRPr="003C060C">
              <w:t>;</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 – bod 1 – písm. e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e)</w:t>
            </w:r>
            <w:r w:rsidRPr="003C060C">
              <w:tab/>
              <w:t>iniciování a přijímání platebních transakcí v digitálních eurech prostřednictvím elektronického platebního nástroje, s výjimkou jiných podmíněných platebních transakcí v digitálních eurech než trvalých příkazů, a to v následujících případech použití:</w:t>
            </w:r>
          </w:p>
        </w:tc>
        <w:tc>
          <w:tcPr>
            <w:tcW w:w="4876" w:type="dxa"/>
            <w:hideMark/>
          </w:tcPr>
          <w:p w:rsidR="00B67536" w:rsidRPr="003C060C" w:rsidRDefault="00B54D08">
            <w:pPr>
              <w:pStyle w:val="Normal6"/>
              <w:rPr>
                <w:szCs w:val="24"/>
              </w:rPr>
            </w:pPr>
            <w:r w:rsidRPr="003C060C">
              <w:t>e)</w:t>
            </w:r>
            <w:r w:rsidRPr="003C060C">
              <w:tab/>
              <w:t xml:space="preserve">iniciování a přijímání platebních transakcí v digitálních eurech prostřednictvím elektronického platebního nástroje, s výjimkou jiných podmíněných platebních transakcí v digitálních eurech než trvalých příkazů </w:t>
            </w:r>
            <w:r w:rsidRPr="003C060C">
              <w:rPr>
                <w:b/>
                <w:bCs/>
                <w:i/>
                <w:iCs/>
              </w:rPr>
              <w:t>a inkasních plateb</w:t>
            </w:r>
            <w:r w:rsidRPr="003C060C">
              <w:t>, a to v následujících případech použití: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99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Pro účely čl. 34 odst. 1 písm. a) se zpracování omezuje na:</w:t>
            </w:r>
          </w:p>
        </w:tc>
        <w:tc>
          <w:tcPr>
            <w:tcW w:w="4876" w:type="dxa"/>
            <w:hideMark/>
          </w:tcPr>
          <w:p w:rsidR="00B67536" w:rsidRPr="003C060C" w:rsidRDefault="00B54D08">
            <w:pPr>
              <w:pStyle w:val="Normal6"/>
              <w:rPr>
                <w:szCs w:val="24"/>
              </w:rPr>
            </w:pPr>
            <w:r w:rsidRPr="003C060C">
              <w:t>1.</w:t>
            </w:r>
            <w:r w:rsidRPr="003C060C">
              <w:tab/>
              <w:t xml:space="preserve">Pro účely čl. 34 odst. 1 písm. a) se zpracování </w:t>
            </w:r>
            <w:r w:rsidRPr="003C060C">
              <w:rPr>
                <w:b/>
                <w:bCs/>
                <w:i/>
                <w:iCs/>
              </w:rPr>
              <w:t>osobních údajů přísně</w:t>
            </w:r>
            <w:r w:rsidRPr="003C060C">
              <w:t xml:space="preserve"> omezuje na: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1 – písm. i i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iii)</w:t>
            </w:r>
            <w:r w:rsidRPr="003C060C">
              <w:tab/>
              <w:t xml:space="preserve">informace o platebních účtech v digitálních eurech, </w:t>
            </w:r>
            <w:r w:rsidRPr="003C060C">
              <w:rPr>
                <w:b/>
                <w:bCs/>
                <w:i/>
                <w:iCs/>
              </w:rPr>
              <w:t>včetně informací</w:t>
            </w:r>
            <w:r w:rsidRPr="003C060C">
              <w:t xml:space="preserve"> o držbě digitálních eur uživatelem digitálního eura a jedinečného čísla platebního účtu v digitálních eurech a</w:t>
            </w:r>
          </w:p>
        </w:tc>
        <w:tc>
          <w:tcPr>
            <w:tcW w:w="4876" w:type="dxa"/>
            <w:hideMark/>
          </w:tcPr>
          <w:p w:rsidR="00B67536" w:rsidRPr="003C060C" w:rsidRDefault="00B54D08">
            <w:pPr>
              <w:pStyle w:val="Normal6"/>
              <w:rPr>
                <w:szCs w:val="24"/>
              </w:rPr>
            </w:pPr>
            <w:r w:rsidRPr="003C060C">
              <w:t>iii)</w:t>
            </w:r>
            <w:r w:rsidRPr="003C060C">
              <w:tab/>
              <w:t xml:space="preserve">informace o platebních účtech v digitálních eurech, </w:t>
            </w:r>
            <w:r w:rsidRPr="003C060C">
              <w:rPr>
                <w:b/>
                <w:bCs/>
                <w:i/>
                <w:iCs/>
              </w:rPr>
              <w:t xml:space="preserve">tj. </w:t>
            </w:r>
            <w:r w:rsidRPr="003C060C">
              <w:t>informace o držbě digitálních eur uživatelem digitálního eura a o jedinečném čísle platebního účtu v digitálních eurech 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1 – písm. i v</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iv)</w:t>
            </w:r>
            <w:r w:rsidRPr="003C060C">
              <w:tab/>
              <w:t xml:space="preserve">informace o online platebních transakcích v digitálních eurech, </w:t>
            </w:r>
            <w:r w:rsidRPr="003C060C">
              <w:rPr>
                <w:b/>
                <w:bCs/>
                <w:i/>
                <w:iCs/>
              </w:rPr>
              <w:t>včetně</w:t>
            </w:r>
            <w:r w:rsidRPr="003C060C">
              <w:t xml:space="preserve"> </w:t>
            </w:r>
            <w:r w:rsidRPr="003C060C">
              <w:rPr>
                <w:b/>
                <w:bCs/>
                <w:i/>
                <w:iCs/>
              </w:rPr>
              <w:t>identifikátoru</w:t>
            </w:r>
            <w:r w:rsidRPr="003C060C">
              <w:t xml:space="preserve"> transakce a</w:t>
            </w:r>
            <w:r w:rsidRPr="003C060C">
              <w:rPr>
                <w:b/>
                <w:bCs/>
                <w:i/>
                <w:iCs/>
              </w:rPr>
              <w:t xml:space="preserve"> částky</w:t>
            </w:r>
            <w:r w:rsidRPr="003C060C">
              <w:t xml:space="preserve"> transakce.</w:t>
            </w:r>
          </w:p>
        </w:tc>
        <w:tc>
          <w:tcPr>
            <w:tcW w:w="4876" w:type="dxa"/>
            <w:hideMark/>
          </w:tcPr>
          <w:p w:rsidR="00B67536" w:rsidRPr="003C060C" w:rsidRDefault="00B54D08">
            <w:pPr>
              <w:pStyle w:val="Normal6"/>
              <w:rPr>
                <w:szCs w:val="24"/>
              </w:rPr>
            </w:pPr>
            <w:r w:rsidRPr="003C060C">
              <w:t>iv)</w:t>
            </w:r>
            <w:r w:rsidRPr="003C060C">
              <w:tab/>
              <w:t xml:space="preserve">informace o online platebních transakcích v digitálních eurech, </w:t>
            </w:r>
            <w:r w:rsidRPr="003C060C">
              <w:rPr>
                <w:b/>
                <w:bCs/>
                <w:i/>
                <w:iCs/>
              </w:rPr>
              <w:t>tj.</w:t>
            </w:r>
            <w:r w:rsidRPr="003C060C">
              <w:t xml:space="preserve"> </w:t>
            </w:r>
            <w:r w:rsidRPr="003C060C">
              <w:rPr>
                <w:b/>
                <w:bCs/>
                <w:i/>
                <w:iCs/>
              </w:rPr>
              <w:t>identifikátor</w:t>
            </w:r>
            <w:r w:rsidRPr="003C060C">
              <w:t xml:space="preserve"> transakce a </w:t>
            </w:r>
            <w:r w:rsidRPr="003C060C">
              <w:rPr>
                <w:b/>
                <w:bCs/>
                <w:i/>
                <w:iCs/>
              </w:rPr>
              <w:t>částka</w:t>
            </w:r>
            <w:r w:rsidRPr="003C060C">
              <w:t xml:space="preserve"> transakce.</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2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Pro účely čl. 34 odst. 1 písm. b) se zpracování omezuje na:</w:t>
            </w:r>
          </w:p>
        </w:tc>
        <w:tc>
          <w:tcPr>
            <w:tcW w:w="4876" w:type="dxa"/>
            <w:hideMark/>
          </w:tcPr>
          <w:p w:rsidR="00B67536" w:rsidRPr="003C060C" w:rsidRDefault="00B54D08">
            <w:pPr>
              <w:pStyle w:val="Normal6"/>
              <w:rPr>
                <w:szCs w:val="24"/>
              </w:rPr>
            </w:pPr>
            <w:r w:rsidRPr="003C060C">
              <w:t>2.</w:t>
            </w:r>
            <w:r w:rsidRPr="003C060C">
              <w:tab/>
              <w:t xml:space="preserve">Pro účely čl. 34 odst. 1 písm. b) se zpracování </w:t>
            </w:r>
            <w:r w:rsidRPr="003C060C">
              <w:rPr>
                <w:b/>
                <w:bCs/>
                <w:i/>
                <w:iCs/>
              </w:rPr>
              <w:t>osobních údajů přísně</w:t>
            </w:r>
            <w:r w:rsidRPr="003C060C">
              <w:t xml:space="preserve"> omezuje na: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2 – písm. i i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iii)</w:t>
            </w:r>
            <w:r w:rsidRPr="003C060C">
              <w:tab/>
              <w:t xml:space="preserve">informace o platebních účtech v digitálních eurech, </w:t>
            </w:r>
            <w:r w:rsidRPr="003C060C">
              <w:rPr>
                <w:b/>
                <w:bCs/>
                <w:i/>
                <w:iCs/>
              </w:rPr>
              <w:t>včetně</w:t>
            </w:r>
            <w:r w:rsidRPr="003C060C">
              <w:t xml:space="preserve"> </w:t>
            </w:r>
            <w:r w:rsidRPr="003C060C">
              <w:rPr>
                <w:b/>
                <w:bCs/>
                <w:i/>
                <w:iCs/>
              </w:rPr>
              <w:t>jedinečného čísla</w:t>
            </w:r>
            <w:r w:rsidRPr="003C060C">
              <w:t xml:space="preserve"> platebního účtu v digitálních eurech, a</w:t>
            </w:r>
          </w:p>
        </w:tc>
        <w:tc>
          <w:tcPr>
            <w:tcW w:w="4876" w:type="dxa"/>
            <w:hideMark/>
          </w:tcPr>
          <w:p w:rsidR="00B67536" w:rsidRPr="003C060C" w:rsidRDefault="00B54D08">
            <w:pPr>
              <w:pStyle w:val="Normal6"/>
              <w:rPr>
                <w:szCs w:val="24"/>
              </w:rPr>
            </w:pPr>
            <w:r w:rsidRPr="003C060C">
              <w:t>iii)</w:t>
            </w:r>
            <w:r w:rsidRPr="003C060C">
              <w:tab/>
              <w:t>informace o platebních účtech v digitálních eurech,</w:t>
            </w:r>
            <w:r w:rsidRPr="003C060C">
              <w:rPr>
                <w:b/>
                <w:bCs/>
                <w:i/>
                <w:iCs/>
              </w:rPr>
              <w:t xml:space="preserve"> tj. jedinečné</w:t>
            </w:r>
            <w:r w:rsidRPr="003C060C">
              <w:t xml:space="preserve"> </w:t>
            </w:r>
            <w:r w:rsidRPr="003C060C">
              <w:rPr>
                <w:b/>
                <w:bCs/>
                <w:i/>
                <w:iCs/>
              </w:rPr>
              <w:t>číslo</w:t>
            </w:r>
            <w:r w:rsidRPr="003C060C">
              <w:t xml:space="preserve"> platebního účtu v digitálních eurech, 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2 – písm. i v</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iv)</w:t>
            </w:r>
            <w:r w:rsidRPr="003C060C">
              <w:tab/>
              <w:t xml:space="preserve">informace o platebních účtech v nedigitálních eurech, </w:t>
            </w:r>
            <w:r w:rsidRPr="003C060C">
              <w:rPr>
                <w:b/>
                <w:bCs/>
                <w:i/>
                <w:iCs/>
              </w:rPr>
              <w:t>včetně čísla</w:t>
            </w:r>
            <w:r w:rsidRPr="003C060C">
              <w:t xml:space="preserve"> propojeného platebního účtu v nedigitálních eurech.</w:t>
            </w:r>
          </w:p>
        </w:tc>
        <w:tc>
          <w:tcPr>
            <w:tcW w:w="4876" w:type="dxa"/>
            <w:hideMark/>
          </w:tcPr>
          <w:p w:rsidR="00B67536" w:rsidRPr="003C060C" w:rsidRDefault="00B54D08">
            <w:pPr>
              <w:pStyle w:val="Normal6"/>
              <w:rPr>
                <w:szCs w:val="24"/>
              </w:rPr>
            </w:pPr>
            <w:r w:rsidRPr="003C060C">
              <w:t>iv)</w:t>
            </w:r>
            <w:r w:rsidRPr="003C060C">
              <w:tab/>
              <w:t xml:space="preserve">informace o platebních účtech v nedigitálních eurech, </w:t>
            </w:r>
            <w:r w:rsidRPr="003C060C">
              <w:rPr>
                <w:b/>
                <w:bCs/>
                <w:i/>
                <w:iCs/>
              </w:rPr>
              <w:t>tj. číslo</w:t>
            </w:r>
            <w:r w:rsidRPr="003C060C">
              <w:t xml:space="preserve"> propojeného platebního účtu v nedigitálních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3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Pro účely čl. 34 odst. 1 písm. c) se zpracování omezuje na:</w:t>
            </w:r>
          </w:p>
        </w:tc>
        <w:tc>
          <w:tcPr>
            <w:tcW w:w="4876" w:type="dxa"/>
            <w:hideMark/>
          </w:tcPr>
          <w:p w:rsidR="00B67536" w:rsidRPr="003C060C" w:rsidRDefault="00B54D08">
            <w:pPr>
              <w:pStyle w:val="Normal6"/>
              <w:rPr>
                <w:szCs w:val="24"/>
              </w:rPr>
            </w:pPr>
            <w:r w:rsidRPr="003C060C">
              <w:t>3.</w:t>
            </w:r>
            <w:r w:rsidRPr="003C060C">
              <w:tab/>
              <w:t xml:space="preserve">Pro účely čl. 34 odst. 1 písm. c) se zpracování </w:t>
            </w:r>
            <w:r w:rsidRPr="003C060C">
              <w:rPr>
                <w:b/>
                <w:bCs/>
                <w:i/>
                <w:iCs/>
              </w:rPr>
              <w:t>osobních údajů přísně</w:t>
            </w:r>
            <w:r w:rsidRPr="003C060C">
              <w:t xml:space="preserve"> omezuje na: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106</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3 – písm.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w:t>
            </w:r>
            <w:r w:rsidRPr="003C060C">
              <w:tab/>
              <w:t xml:space="preserve">identifikátor uživatele, </w:t>
            </w:r>
            <w:r w:rsidRPr="003C060C">
              <w:rPr>
                <w:b/>
                <w:bCs/>
                <w:i/>
                <w:iCs/>
              </w:rPr>
              <w:t>včetně názvu</w:t>
            </w:r>
            <w:r w:rsidRPr="003C060C">
              <w:rPr>
                <w:b/>
                <w:bCs/>
              </w:rPr>
              <w:t xml:space="preserve"> </w:t>
            </w:r>
            <w:r w:rsidRPr="003C060C">
              <w:t>majitelů místního úložného zařízení, a</w:t>
            </w:r>
          </w:p>
        </w:tc>
        <w:tc>
          <w:tcPr>
            <w:tcW w:w="4876" w:type="dxa"/>
            <w:hideMark/>
          </w:tcPr>
          <w:p w:rsidR="00B67536" w:rsidRPr="003C060C" w:rsidRDefault="00B54D08">
            <w:pPr>
              <w:pStyle w:val="Normal6"/>
              <w:rPr>
                <w:szCs w:val="24"/>
              </w:rPr>
            </w:pPr>
            <w:r w:rsidRPr="003C060C">
              <w:t>i)</w:t>
            </w:r>
            <w:r w:rsidRPr="003C060C">
              <w:tab/>
              <w:t xml:space="preserve">identifikátor uživatele, </w:t>
            </w:r>
            <w:r w:rsidRPr="003C060C">
              <w:rPr>
                <w:b/>
                <w:bCs/>
                <w:i/>
                <w:iCs/>
              </w:rPr>
              <w:t>tj. název</w:t>
            </w:r>
            <w:r w:rsidRPr="003C060C">
              <w:t xml:space="preserve"> majitelů místního úložného zařízení, 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III – bod 3 – písm. i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ii)</w:t>
            </w:r>
            <w:r w:rsidRPr="003C060C">
              <w:tab/>
              <w:t xml:space="preserve">informace o místním úložném zařízení, </w:t>
            </w:r>
            <w:r w:rsidRPr="003C060C">
              <w:rPr>
                <w:b/>
                <w:bCs/>
                <w:i/>
                <w:iCs/>
              </w:rPr>
              <w:t>včetně identifikátoru</w:t>
            </w:r>
            <w:r w:rsidRPr="003C060C">
              <w:t xml:space="preserve"> místního úložného zařízení.</w:t>
            </w:r>
          </w:p>
        </w:tc>
        <w:tc>
          <w:tcPr>
            <w:tcW w:w="4876" w:type="dxa"/>
            <w:hideMark/>
          </w:tcPr>
          <w:p w:rsidR="00B67536" w:rsidRPr="003C060C" w:rsidRDefault="00B54D08">
            <w:pPr>
              <w:pStyle w:val="Normal6"/>
              <w:rPr>
                <w:szCs w:val="24"/>
              </w:rPr>
            </w:pPr>
            <w:r w:rsidRPr="003C060C">
              <w:t>ii)</w:t>
            </w:r>
            <w:r w:rsidRPr="003C060C">
              <w:tab/>
              <w:t xml:space="preserve">informace o místním úložném zařízení, </w:t>
            </w:r>
            <w:r w:rsidRPr="003C060C">
              <w:rPr>
                <w:b/>
                <w:bCs/>
                <w:i/>
                <w:iCs/>
              </w:rPr>
              <w:t>tj. identifikátor</w:t>
            </w:r>
            <w:r w:rsidRPr="003C060C">
              <w:t xml:space="preserve"> místního úložného zařízení.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IV – bod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1.</w:t>
            </w:r>
            <w:r w:rsidRPr="003C060C">
              <w:tab/>
              <w:t>Pro účely čl. 35 odst. 1 písm. a) se zpracování omezuje na:</w:t>
            </w:r>
          </w:p>
        </w:tc>
        <w:tc>
          <w:tcPr>
            <w:tcW w:w="4876" w:type="dxa"/>
            <w:hideMark/>
          </w:tcPr>
          <w:p w:rsidR="00B67536" w:rsidRPr="003C060C" w:rsidRDefault="00B54D08">
            <w:pPr>
              <w:pStyle w:val="Normal6"/>
              <w:rPr>
                <w:szCs w:val="24"/>
              </w:rPr>
            </w:pPr>
            <w:r w:rsidRPr="003C060C">
              <w:t>1.</w:t>
            </w:r>
            <w:r w:rsidRPr="003C060C">
              <w:tab/>
              <w:t xml:space="preserve">Pro účely čl. 35 odst. 1 písm. a) se zpracování </w:t>
            </w:r>
            <w:r w:rsidRPr="003C060C">
              <w:rPr>
                <w:b/>
                <w:bCs/>
                <w:i/>
                <w:iCs/>
              </w:rPr>
              <w:t>osobních údajů přísně</w:t>
            </w:r>
            <w:r w:rsidRPr="003C060C">
              <w:t xml:space="preserve"> omezuje na: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109</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IV – bod 1 – písm.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w:t>
            </w:r>
            <w:r w:rsidRPr="003C060C">
              <w:tab/>
              <w:t xml:space="preserve">informace o platebních účtech v digitálních eurech, </w:t>
            </w:r>
            <w:r w:rsidRPr="003C060C">
              <w:rPr>
                <w:b/>
                <w:bCs/>
                <w:i/>
                <w:iCs/>
              </w:rPr>
              <w:t>včetně</w:t>
            </w:r>
            <w:r w:rsidRPr="003C060C">
              <w:t xml:space="preserve"> </w:t>
            </w:r>
            <w:r w:rsidRPr="003C060C">
              <w:rPr>
                <w:b/>
                <w:bCs/>
                <w:i/>
                <w:iCs/>
              </w:rPr>
              <w:t>jedinečného čísla</w:t>
            </w:r>
            <w:r w:rsidRPr="003C060C">
              <w:t xml:space="preserve"> platebního účtu v digitálních eurech, a</w:t>
            </w:r>
          </w:p>
        </w:tc>
        <w:tc>
          <w:tcPr>
            <w:tcW w:w="4876" w:type="dxa"/>
            <w:hideMark/>
          </w:tcPr>
          <w:p w:rsidR="00B67536" w:rsidRPr="003C060C" w:rsidRDefault="00B54D08">
            <w:pPr>
              <w:pStyle w:val="Normal6"/>
              <w:rPr>
                <w:szCs w:val="24"/>
              </w:rPr>
            </w:pPr>
            <w:r w:rsidRPr="003C060C">
              <w:t>i)</w:t>
            </w:r>
            <w:r w:rsidRPr="003C060C">
              <w:tab/>
              <w:t>informace o platebních účtech v digitálních eurech,</w:t>
            </w:r>
            <w:r w:rsidRPr="003C060C">
              <w:rPr>
                <w:b/>
                <w:bCs/>
                <w:i/>
                <w:iCs/>
              </w:rPr>
              <w:t xml:space="preserve"> tj. jedinečné</w:t>
            </w:r>
            <w:r w:rsidRPr="003C060C">
              <w:t xml:space="preserve"> </w:t>
            </w:r>
            <w:r w:rsidRPr="003C060C">
              <w:rPr>
                <w:b/>
                <w:bCs/>
                <w:i/>
                <w:iCs/>
              </w:rPr>
              <w:t>číslo</w:t>
            </w:r>
            <w:r w:rsidRPr="003C060C">
              <w:t xml:space="preserve"> platebního účtu v digitálních eurech, 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110</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IV – bod 1 – písm. i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ii)</w:t>
            </w:r>
            <w:r w:rsidRPr="003C060C">
              <w:tab/>
              <w:t xml:space="preserve">informace o online platebních transakcích v digitálních eurech, informace spojené s jedinečným číslem platebního účtu v digitálních eurech, </w:t>
            </w:r>
            <w:r w:rsidRPr="003C060C">
              <w:rPr>
                <w:b/>
                <w:bCs/>
                <w:i/>
                <w:iCs/>
              </w:rPr>
              <w:t>včetně částky</w:t>
            </w:r>
            <w:r w:rsidRPr="003C060C">
              <w:t xml:space="preserve"> transakce.</w:t>
            </w:r>
          </w:p>
        </w:tc>
        <w:tc>
          <w:tcPr>
            <w:tcW w:w="4876" w:type="dxa"/>
            <w:hideMark/>
          </w:tcPr>
          <w:p w:rsidR="00B67536" w:rsidRPr="003C060C" w:rsidRDefault="00B54D08">
            <w:pPr>
              <w:pStyle w:val="Normal6"/>
              <w:rPr>
                <w:szCs w:val="24"/>
              </w:rPr>
            </w:pPr>
            <w:r w:rsidRPr="003C060C">
              <w:t>ii)</w:t>
            </w:r>
            <w:r w:rsidRPr="003C060C">
              <w:tab/>
              <w:t>vypořádání online platebních transakcí v digitálních eurech, informace spojené s jedinečným číslem platebního účtu v digitálních eurech</w:t>
            </w:r>
            <w:r w:rsidRPr="003C060C">
              <w:rPr>
                <w:b/>
                <w:bCs/>
                <w:i/>
                <w:iCs/>
              </w:rPr>
              <w:t>, tj. částka</w:t>
            </w:r>
            <w:r w:rsidRPr="003C060C">
              <w:t xml:space="preserve"> transakce.</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111</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IV – bod 2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2.</w:t>
            </w:r>
            <w:r w:rsidRPr="003C060C">
              <w:tab/>
              <w:t>Pro účely čl. 35 odst. 1 písm. b) se zpracování omezuje na:</w:t>
            </w:r>
          </w:p>
        </w:tc>
        <w:tc>
          <w:tcPr>
            <w:tcW w:w="4876" w:type="dxa"/>
            <w:hideMark/>
          </w:tcPr>
          <w:p w:rsidR="00B67536" w:rsidRPr="003C060C" w:rsidRDefault="00B54D08">
            <w:pPr>
              <w:pStyle w:val="Normal6"/>
              <w:rPr>
                <w:szCs w:val="24"/>
              </w:rPr>
            </w:pPr>
            <w:r w:rsidRPr="003C060C">
              <w:t>2.</w:t>
            </w:r>
            <w:r w:rsidRPr="003C060C">
              <w:tab/>
              <w:t xml:space="preserve">Pro účely čl. 35 odst. 1 písm. b) se zpracování </w:t>
            </w:r>
            <w:r w:rsidRPr="003C060C">
              <w:rPr>
                <w:b/>
                <w:bCs/>
                <w:i/>
                <w:iCs/>
              </w:rPr>
              <w:t>osobních údajů přísně</w:t>
            </w:r>
            <w:r w:rsidRPr="003C060C">
              <w:t xml:space="preserve"> omezuje na: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112</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IV – bod 3</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3.</w:t>
            </w:r>
            <w:r w:rsidRPr="003C060C">
              <w:tab/>
              <w:t xml:space="preserve">Pro účely čl. 35 odst. 1 písm. c) je zpracování omezeno na údaje potřebné pro analýzu falešných offline platebních transakcí v digitálních eurech: informace o místním úložném zařízení, </w:t>
            </w:r>
            <w:r w:rsidRPr="003C060C">
              <w:rPr>
                <w:b/>
                <w:bCs/>
                <w:i/>
                <w:iCs/>
              </w:rPr>
              <w:t>včetně čísla</w:t>
            </w:r>
            <w:r w:rsidRPr="003C060C">
              <w:t xml:space="preserve"> místního úložného zařízení.</w:t>
            </w:r>
          </w:p>
        </w:tc>
        <w:tc>
          <w:tcPr>
            <w:tcW w:w="4876" w:type="dxa"/>
            <w:hideMark/>
          </w:tcPr>
          <w:p w:rsidR="00B67536" w:rsidRPr="003C060C" w:rsidRDefault="00B54D08">
            <w:pPr>
              <w:pStyle w:val="Normal6"/>
              <w:rPr>
                <w:szCs w:val="24"/>
              </w:rPr>
            </w:pPr>
            <w:r w:rsidRPr="003C060C">
              <w:t>3.</w:t>
            </w:r>
            <w:r w:rsidRPr="003C060C">
              <w:tab/>
              <w:t xml:space="preserve">Pro účely čl. 35 odst. 1 písm. c) je zpracování </w:t>
            </w:r>
            <w:r w:rsidRPr="003C060C">
              <w:rPr>
                <w:b/>
                <w:bCs/>
                <w:i/>
                <w:iCs/>
              </w:rPr>
              <w:t>osobních údajů přísně</w:t>
            </w:r>
            <w:r w:rsidRPr="003C060C">
              <w:rPr>
                <w:b/>
                <w:bCs/>
              </w:rPr>
              <w:t xml:space="preserve"> </w:t>
            </w:r>
            <w:r w:rsidRPr="003C060C">
              <w:t xml:space="preserve">omezeno na údaje potřebné pro analýzu falešných offline platebních transakcí v digitálních eurech: informace o místním úložném zařízení, </w:t>
            </w:r>
            <w:r w:rsidRPr="003C060C">
              <w:rPr>
                <w:b/>
                <w:bCs/>
                <w:i/>
                <w:iCs/>
              </w:rPr>
              <w:t>tj. číslo</w:t>
            </w:r>
            <w:r w:rsidRPr="003C060C">
              <w:t xml:space="preserve"> místního úložného zařízení.</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113</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IV – bod 4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4.</w:t>
            </w:r>
            <w:r w:rsidRPr="003C060C">
              <w:tab/>
              <w:t xml:space="preserve">Pro účely čl. 35 odst. 1 písm. d) a e) a jednotného přístupového místa uvedeného v čl. </w:t>
            </w:r>
            <w:r w:rsidRPr="003C060C">
              <w:rPr>
                <w:b/>
                <w:bCs/>
                <w:i/>
                <w:iCs/>
              </w:rPr>
              <w:t>34</w:t>
            </w:r>
            <w:r w:rsidRPr="003C060C">
              <w:t xml:space="preserve"> odst. 8 se zpracování omezuje na:</w:t>
            </w:r>
          </w:p>
        </w:tc>
        <w:tc>
          <w:tcPr>
            <w:tcW w:w="4876" w:type="dxa"/>
            <w:hideMark/>
          </w:tcPr>
          <w:p w:rsidR="00B67536" w:rsidRPr="003C060C" w:rsidRDefault="00B54D08">
            <w:pPr>
              <w:pStyle w:val="Normal6"/>
              <w:rPr>
                <w:szCs w:val="24"/>
              </w:rPr>
            </w:pPr>
            <w:r w:rsidRPr="003C060C">
              <w:t>4.</w:t>
            </w:r>
            <w:r w:rsidRPr="003C060C">
              <w:tab/>
              <w:t>Pro účely čl. 35 odst. 1 písm. d) a e) a jednotného přístupového místa uvedeného v čl. </w:t>
            </w:r>
            <w:r w:rsidRPr="003C060C">
              <w:rPr>
                <w:b/>
                <w:bCs/>
                <w:i/>
                <w:iCs/>
              </w:rPr>
              <w:t>35</w:t>
            </w:r>
            <w:r w:rsidRPr="003C060C">
              <w:t xml:space="preserve"> odst. 8 se zpracování </w:t>
            </w:r>
            <w:r w:rsidRPr="003C060C">
              <w:rPr>
                <w:b/>
                <w:bCs/>
                <w:i/>
                <w:iCs/>
              </w:rPr>
              <w:t>osobních údajů přísně</w:t>
            </w:r>
            <w:r w:rsidRPr="003C060C">
              <w:t xml:space="preserve"> omezuje na: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114</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IV – bod 4 – písm. i i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iii)</w:t>
            </w:r>
            <w:r w:rsidRPr="003C060C">
              <w:tab/>
              <w:t xml:space="preserve">informace o platebních účtech v digitálních eurech, </w:t>
            </w:r>
            <w:r w:rsidRPr="003C060C">
              <w:rPr>
                <w:b/>
                <w:bCs/>
                <w:i/>
                <w:iCs/>
              </w:rPr>
              <w:t>včetně jedinečného čísla</w:t>
            </w:r>
            <w:r w:rsidRPr="003C060C">
              <w:t xml:space="preserve"> platebního účtu v digitálních eurech, </w:t>
            </w:r>
            <w:r w:rsidRPr="003C060C">
              <w:rPr>
                <w:b/>
                <w:bCs/>
                <w:i/>
                <w:iCs/>
              </w:rPr>
              <w:t>držby</w:t>
            </w:r>
            <w:r w:rsidRPr="003C060C">
              <w:t xml:space="preserve"> digitálního eura uživatele, omezení držby </w:t>
            </w:r>
            <w:r w:rsidRPr="003C060C">
              <w:rPr>
                <w:b/>
                <w:bCs/>
                <w:i/>
                <w:iCs/>
              </w:rPr>
              <w:t>zvoleného</w:t>
            </w:r>
            <w:r w:rsidRPr="003C060C">
              <w:t xml:space="preserve"> uživatelem a </w:t>
            </w:r>
            <w:r w:rsidRPr="003C060C">
              <w:rPr>
                <w:b/>
                <w:bCs/>
                <w:i/>
                <w:iCs/>
              </w:rPr>
              <w:t>typu</w:t>
            </w:r>
            <w:r w:rsidRPr="003C060C">
              <w:t xml:space="preserve"> účtu v digitálních eurech.</w:t>
            </w:r>
          </w:p>
        </w:tc>
        <w:tc>
          <w:tcPr>
            <w:tcW w:w="4876" w:type="dxa"/>
            <w:hideMark/>
          </w:tcPr>
          <w:p w:rsidR="00B67536" w:rsidRPr="003C060C" w:rsidRDefault="00B54D08">
            <w:pPr>
              <w:pStyle w:val="Normal6"/>
              <w:rPr>
                <w:szCs w:val="24"/>
              </w:rPr>
            </w:pPr>
            <w:r w:rsidRPr="003C060C">
              <w:t>iii)</w:t>
            </w:r>
            <w:r w:rsidRPr="003C060C">
              <w:tab/>
              <w:t xml:space="preserve">informace o digitálních platebních účtech v eurech, </w:t>
            </w:r>
            <w:r w:rsidRPr="003C060C">
              <w:rPr>
                <w:b/>
                <w:bCs/>
                <w:i/>
                <w:iCs/>
              </w:rPr>
              <w:t>tj. jedinečné číslo</w:t>
            </w:r>
            <w:r w:rsidRPr="003C060C">
              <w:t xml:space="preserve"> platebního účtu v digitálních eurech, </w:t>
            </w:r>
            <w:r w:rsidRPr="003C060C">
              <w:rPr>
                <w:b/>
                <w:bCs/>
                <w:i/>
                <w:iCs/>
              </w:rPr>
              <w:t>držba</w:t>
            </w:r>
            <w:r w:rsidRPr="003C060C">
              <w:t xml:space="preserve"> digitálního eura uživatele, omezení držby </w:t>
            </w:r>
            <w:r w:rsidRPr="003C060C">
              <w:rPr>
                <w:b/>
                <w:bCs/>
                <w:i/>
                <w:iCs/>
              </w:rPr>
              <w:t>zvolené</w:t>
            </w:r>
            <w:r w:rsidRPr="003C060C">
              <w:t xml:space="preserve"> uživatelem a </w:t>
            </w:r>
            <w:r w:rsidRPr="003C060C">
              <w:rPr>
                <w:b/>
                <w:bCs/>
                <w:i/>
                <w:iCs/>
              </w:rPr>
              <w:t>typ</w:t>
            </w:r>
            <w:r w:rsidRPr="003C060C">
              <w:t xml:space="preserve"> účtu v digitálních eurech.</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115</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V – bod 1 – návětí</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Pro účely čl. 36 odst. 1 písm. a) je zpracování omezeno na údaje potřebné pro předcházení podvodům a jejich odhalování u poskytovatelů platebních služeb:</w:t>
            </w:r>
          </w:p>
        </w:tc>
        <w:tc>
          <w:tcPr>
            <w:tcW w:w="4876" w:type="dxa"/>
            <w:hideMark/>
          </w:tcPr>
          <w:p w:rsidR="00B67536" w:rsidRPr="003C060C" w:rsidRDefault="00B54D08">
            <w:pPr>
              <w:pStyle w:val="Normal6"/>
              <w:rPr>
                <w:szCs w:val="24"/>
              </w:rPr>
            </w:pPr>
            <w:r w:rsidRPr="003C060C">
              <w:t xml:space="preserve">Pro účely čl. 36 odst. 1 písm. a) je zpracování </w:t>
            </w:r>
            <w:r w:rsidRPr="003C060C">
              <w:rPr>
                <w:b/>
                <w:bCs/>
                <w:i/>
                <w:iCs/>
              </w:rPr>
              <w:t xml:space="preserve">osobních údajů přísně </w:t>
            </w:r>
            <w:r w:rsidRPr="003C060C">
              <w:t>omezeno na údaje potřebné pro předcházení podvodům a jejich odhalování u poskytovatelů platebních služeb:</w:t>
            </w:r>
          </w:p>
        </w:tc>
      </w:tr>
    </w:tbl>
    <w:p w:rsidR="00B67536" w:rsidRPr="003C060C" w:rsidRDefault="00B54D08" w:rsidP="00B67536">
      <w:pPr>
        <w:rPr>
          <w:rStyle w:val="HideTWBExt"/>
        </w:rPr>
      </w:pPr>
      <w:r w:rsidRPr="003C060C">
        <w:rPr>
          <w:rStyle w:val="HideTWBExt"/>
        </w:rPr>
        <w:t>&lt;/Amend&gt;</w:t>
      </w:r>
    </w:p>
    <w:p w:rsidR="00701EA7" w:rsidRPr="003C060C" w:rsidRDefault="00B54D08" w:rsidP="00701EA7">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116</w:t>
      </w:r>
      <w:r w:rsidRPr="003C060C">
        <w:rPr>
          <w:rStyle w:val="HideTWBExt"/>
          <w:b w:val="0"/>
        </w:rPr>
        <w:t>&lt;/NumAm&gt;</w:t>
      </w:r>
    </w:p>
    <w:p w:rsidR="00701EA7" w:rsidRPr="003C060C" w:rsidRDefault="00701EA7" w:rsidP="00701EA7"/>
    <w:p w:rsidR="00701EA7" w:rsidRPr="003C060C" w:rsidRDefault="00B54D08" w:rsidP="00701EA7">
      <w:pPr>
        <w:pStyle w:val="NormalBold"/>
        <w:keepNext/>
      </w:pPr>
      <w:r w:rsidRPr="003C060C">
        <w:rPr>
          <w:rStyle w:val="HideTWBExt"/>
          <w:b w:val="0"/>
        </w:rPr>
        <w:t>&lt;DocAmend&gt;</w:t>
      </w:r>
      <w:r w:rsidRPr="003C060C">
        <w:t>Návrh nařízení</w:t>
      </w:r>
      <w:r w:rsidRPr="003C060C">
        <w:rPr>
          <w:rStyle w:val="HideTWBExt"/>
          <w:b w:val="0"/>
        </w:rPr>
        <w:t>&lt;/DocAmend&gt;</w:t>
      </w:r>
    </w:p>
    <w:p w:rsidR="00701EA7" w:rsidRPr="003C060C" w:rsidRDefault="00B54D08" w:rsidP="00701EA7">
      <w:pPr>
        <w:pStyle w:val="NormalBold"/>
      </w:pPr>
      <w:r w:rsidRPr="003C060C">
        <w:rPr>
          <w:rStyle w:val="HideTWBExt"/>
          <w:b w:val="0"/>
        </w:rPr>
        <w:t>&lt;Article&gt;</w:t>
      </w:r>
      <w:r w:rsidRPr="003C060C">
        <w:t>Příloha V – bod 1 – písm.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701EA7">
        <w:trPr>
          <w:jc w:val="center"/>
        </w:trPr>
        <w:tc>
          <w:tcPr>
            <w:tcW w:w="9752" w:type="dxa"/>
            <w:gridSpan w:val="2"/>
          </w:tcPr>
          <w:p w:rsidR="00701EA7" w:rsidRPr="003C060C" w:rsidRDefault="00701EA7">
            <w:pPr>
              <w:keepNext/>
            </w:pPr>
          </w:p>
        </w:tc>
      </w:tr>
      <w:tr w:rsidR="004911FF" w:rsidRPr="003C060C" w:rsidTr="00701EA7">
        <w:trPr>
          <w:jc w:val="center"/>
        </w:trPr>
        <w:tc>
          <w:tcPr>
            <w:tcW w:w="4876" w:type="dxa"/>
            <w:hideMark/>
          </w:tcPr>
          <w:p w:rsidR="00701EA7" w:rsidRPr="003C060C" w:rsidRDefault="00B54D08">
            <w:pPr>
              <w:pStyle w:val="ColumnHeading"/>
              <w:keepNext/>
            </w:pPr>
            <w:r w:rsidRPr="003C060C">
              <w:t>Znění navržené Komisí</w:t>
            </w:r>
          </w:p>
        </w:tc>
        <w:tc>
          <w:tcPr>
            <w:tcW w:w="4876" w:type="dxa"/>
            <w:hideMark/>
          </w:tcPr>
          <w:p w:rsidR="00701EA7" w:rsidRPr="003C060C" w:rsidRDefault="00B54D08">
            <w:pPr>
              <w:pStyle w:val="ColumnHeading"/>
              <w:keepNext/>
            </w:pPr>
            <w:r w:rsidRPr="003C060C">
              <w:t>Pozměňovací návrh</w:t>
            </w:r>
          </w:p>
        </w:tc>
      </w:tr>
      <w:tr w:rsidR="004911FF" w:rsidRPr="003C060C" w:rsidTr="00701EA7">
        <w:trPr>
          <w:jc w:val="center"/>
        </w:trPr>
        <w:tc>
          <w:tcPr>
            <w:tcW w:w="4876" w:type="dxa"/>
            <w:hideMark/>
          </w:tcPr>
          <w:p w:rsidR="00701EA7" w:rsidRPr="003C060C" w:rsidRDefault="00B54D08">
            <w:pPr>
              <w:pStyle w:val="Normal6"/>
            </w:pPr>
            <w:r w:rsidRPr="003C060C">
              <w:t>i)</w:t>
            </w:r>
            <w:r w:rsidRPr="003C060C">
              <w:tab/>
              <w:t xml:space="preserve">informace o platebních účtech v digitálních eurech, </w:t>
            </w:r>
            <w:r w:rsidRPr="003C060C">
              <w:rPr>
                <w:b/>
                <w:bCs/>
                <w:i/>
                <w:iCs/>
              </w:rPr>
              <w:t>včetně jedinečného identifikátoru</w:t>
            </w:r>
            <w:r w:rsidRPr="003C060C">
              <w:t xml:space="preserve"> účtu v digitálních eurech;</w:t>
            </w:r>
          </w:p>
        </w:tc>
        <w:tc>
          <w:tcPr>
            <w:tcW w:w="4876" w:type="dxa"/>
            <w:hideMark/>
          </w:tcPr>
          <w:p w:rsidR="00701EA7" w:rsidRPr="003C060C" w:rsidRDefault="00B54D08">
            <w:pPr>
              <w:pStyle w:val="Normal6"/>
              <w:rPr>
                <w:szCs w:val="24"/>
              </w:rPr>
            </w:pPr>
            <w:r w:rsidRPr="003C060C">
              <w:t>i)</w:t>
            </w:r>
            <w:r w:rsidRPr="003C060C">
              <w:tab/>
              <w:t>informace o platebních účtech v digitálních eurech,</w:t>
            </w:r>
            <w:r w:rsidRPr="003C060C">
              <w:rPr>
                <w:b/>
                <w:bCs/>
                <w:i/>
                <w:iCs/>
              </w:rPr>
              <w:t xml:space="preserve"> tj. jedinečný identifikátor</w:t>
            </w:r>
            <w:r w:rsidRPr="003C060C">
              <w:t xml:space="preserve"> účtu v digitálních eurech;</w:t>
            </w:r>
          </w:p>
        </w:tc>
      </w:tr>
    </w:tbl>
    <w:p w:rsidR="00701EA7" w:rsidRPr="003C060C" w:rsidRDefault="00B54D08" w:rsidP="00701EA7">
      <w:r w:rsidRPr="003C060C">
        <w:rPr>
          <w:rStyle w:val="HideTWBExt"/>
        </w:rPr>
        <w:t>&lt;/Amend&gt;</w:t>
      </w:r>
    </w:p>
    <w:p w:rsidR="00701EA7" w:rsidRPr="003C060C" w:rsidRDefault="00701EA7" w:rsidP="00B67536"/>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117</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V – bod 1 – písm. i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ii)</w:t>
            </w:r>
            <w:r w:rsidRPr="003C060C">
              <w:tab/>
              <w:t xml:space="preserve">informace o online digitálních platebních transakcích v eurech, </w:t>
            </w:r>
            <w:r w:rsidRPr="003C060C">
              <w:rPr>
                <w:b/>
                <w:bCs/>
                <w:i/>
                <w:iCs/>
              </w:rPr>
              <w:t>včetně částky</w:t>
            </w:r>
            <w:r w:rsidRPr="003C060C">
              <w:t xml:space="preserve"> transakce, a</w:t>
            </w:r>
          </w:p>
        </w:tc>
        <w:tc>
          <w:tcPr>
            <w:tcW w:w="4876" w:type="dxa"/>
            <w:hideMark/>
          </w:tcPr>
          <w:p w:rsidR="00B67536" w:rsidRPr="003C060C" w:rsidRDefault="00B54D08">
            <w:pPr>
              <w:pStyle w:val="Normal6"/>
              <w:rPr>
                <w:szCs w:val="24"/>
              </w:rPr>
            </w:pPr>
            <w:r w:rsidRPr="003C060C">
              <w:t>ii)</w:t>
            </w:r>
            <w:r w:rsidRPr="003C060C">
              <w:tab/>
              <w:t xml:space="preserve">informace o online digitálních platebních transakcích v eurech, </w:t>
            </w:r>
            <w:r w:rsidRPr="003C060C">
              <w:rPr>
                <w:b/>
                <w:bCs/>
                <w:i/>
                <w:iCs/>
              </w:rPr>
              <w:t>tj. částka</w:t>
            </w:r>
            <w:r w:rsidRPr="003C060C">
              <w:t xml:space="preserve"> transakce, a</w:t>
            </w:r>
          </w:p>
        </w:tc>
      </w:tr>
    </w:tbl>
    <w:p w:rsidR="00B67536" w:rsidRPr="003C060C" w:rsidRDefault="00B54D08" w:rsidP="00B67536">
      <w:r w:rsidRPr="003C060C">
        <w:rPr>
          <w:rStyle w:val="HideTWBExt"/>
        </w:rPr>
        <w:t>&lt;/Amend&gt;</w:t>
      </w:r>
    </w:p>
    <w:p w:rsidR="00B67536" w:rsidRPr="003C060C" w:rsidRDefault="00B54D08" w:rsidP="00B67536">
      <w:pPr>
        <w:pStyle w:val="AMNumberTabs0"/>
        <w:keepNext/>
      </w:pPr>
      <w:r w:rsidRPr="003C060C">
        <w:rPr>
          <w:rStyle w:val="HideTWBExt"/>
          <w:b w:val="0"/>
        </w:rPr>
        <w:t>&lt;Amend&gt;</w:t>
      </w:r>
      <w:r w:rsidRPr="003C060C">
        <w:t>Pozměňovací návrh</w:t>
      </w:r>
      <w:r w:rsidRPr="003C060C">
        <w:tab/>
      </w:r>
      <w:r w:rsidRPr="003C060C">
        <w:tab/>
      </w:r>
      <w:r w:rsidRPr="003C060C">
        <w:rPr>
          <w:rStyle w:val="HideTWBExt"/>
          <w:b w:val="0"/>
        </w:rPr>
        <w:t>&lt;NumAm&gt;</w:t>
      </w:r>
      <w:r w:rsidRPr="003C060C">
        <w:t>118</w:t>
      </w:r>
      <w:r w:rsidRPr="003C060C">
        <w:rPr>
          <w:rStyle w:val="HideTWBExt"/>
          <w:b w:val="0"/>
        </w:rPr>
        <w:t>&lt;/NumAm&gt;</w:t>
      </w:r>
    </w:p>
    <w:p w:rsidR="00B67536" w:rsidRPr="003C060C" w:rsidRDefault="00B67536" w:rsidP="00B67536"/>
    <w:p w:rsidR="00B67536" w:rsidRPr="003C060C" w:rsidRDefault="00B54D08" w:rsidP="00B67536">
      <w:pPr>
        <w:pStyle w:val="NormalBold"/>
        <w:keepNext/>
      </w:pPr>
      <w:r w:rsidRPr="003C060C">
        <w:rPr>
          <w:rStyle w:val="HideTWBExt"/>
          <w:b w:val="0"/>
        </w:rPr>
        <w:t>&lt;DocAmend&gt;</w:t>
      </w:r>
      <w:r w:rsidRPr="003C060C">
        <w:t>Návrh nařízení</w:t>
      </w:r>
      <w:r w:rsidRPr="003C060C">
        <w:rPr>
          <w:rStyle w:val="HideTWBExt"/>
          <w:b w:val="0"/>
        </w:rPr>
        <w:t>&lt;/DocAmend&gt;</w:t>
      </w:r>
    </w:p>
    <w:p w:rsidR="00B67536" w:rsidRPr="003C060C" w:rsidRDefault="00B54D08" w:rsidP="00B67536">
      <w:pPr>
        <w:pStyle w:val="NormalBold"/>
      </w:pPr>
      <w:r w:rsidRPr="003C060C">
        <w:rPr>
          <w:rStyle w:val="HideTWBExt"/>
          <w:b w:val="0"/>
        </w:rPr>
        <w:t>&lt;Article&gt;</w:t>
      </w:r>
      <w:r w:rsidRPr="003C060C">
        <w:t>Příloha V – bod 1 – písm. i i i</w:t>
      </w:r>
      <w:r w:rsidRPr="003C06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1FF" w:rsidRPr="003C060C" w:rsidTr="00B67536">
        <w:trPr>
          <w:jc w:val="center"/>
        </w:trPr>
        <w:tc>
          <w:tcPr>
            <w:tcW w:w="9752" w:type="dxa"/>
            <w:gridSpan w:val="2"/>
          </w:tcPr>
          <w:p w:rsidR="00B67536" w:rsidRPr="003C060C" w:rsidRDefault="00B67536">
            <w:pPr>
              <w:keepNext/>
            </w:pPr>
          </w:p>
        </w:tc>
      </w:tr>
      <w:tr w:rsidR="004911FF" w:rsidRPr="003C060C" w:rsidTr="00B67536">
        <w:trPr>
          <w:jc w:val="center"/>
        </w:trPr>
        <w:tc>
          <w:tcPr>
            <w:tcW w:w="4876" w:type="dxa"/>
            <w:hideMark/>
          </w:tcPr>
          <w:p w:rsidR="00B67536" w:rsidRPr="003C060C" w:rsidRDefault="00B54D08">
            <w:pPr>
              <w:pStyle w:val="ColumnHeading"/>
              <w:keepNext/>
            </w:pPr>
            <w:r w:rsidRPr="003C060C">
              <w:t>Znění navržené Komisí</w:t>
            </w:r>
          </w:p>
        </w:tc>
        <w:tc>
          <w:tcPr>
            <w:tcW w:w="4876" w:type="dxa"/>
            <w:hideMark/>
          </w:tcPr>
          <w:p w:rsidR="00B67536" w:rsidRPr="003C060C" w:rsidRDefault="00B54D08">
            <w:pPr>
              <w:pStyle w:val="ColumnHeading"/>
              <w:keepNext/>
            </w:pPr>
            <w:r w:rsidRPr="003C060C">
              <w:t>Pozměňovací návrh</w:t>
            </w:r>
          </w:p>
        </w:tc>
      </w:tr>
      <w:tr w:rsidR="004911FF" w:rsidRPr="003C060C" w:rsidTr="00B67536">
        <w:trPr>
          <w:jc w:val="center"/>
        </w:trPr>
        <w:tc>
          <w:tcPr>
            <w:tcW w:w="4876" w:type="dxa"/>
            <w:hideMark/>
          </w:tcPr>
          <w:p w:rsidR="00B67536" w:rsidRPr="003C060C" w:rsidRDefault="00B54D08">
            <w:pPr>
              <w:pStyle w:val="Normal6"/>
            </w:pPr>
            <w:r w:rsidRPr="003C060C">
              <w:t>iii)</w:t>
            </w:r>
            <w:r w:rsidRPr="003C060C">
              <w:tab/>
              <w:t xml:space="preserve">informace o transakční relaci uživatele digitálního eura, </w:t>
            </w:r>
            <w:r w:rsidRPr="003C060C">
              <w:rPr>
                <w:b/>
                <w:bCs/>
                <w:i/>
                <w:iCs/>
              </w:rPr>
              <w:t>včetně rozsahu</w:t>
            </w:r>
            <w:r w:rsidRPr="003C060C">
              <w:t xml:space="preserve"> adres internetového protokolu zařízení.</w:t>
            </w:r>
          </w:p>
        </w:tc>
        <w:tc>
          <w:tcPr>
            <w:tcW w:w="4876" w:type="dxa"/>
            <w:hideMark/>
          </w:tcPr>
          <w:p w:rsidR="00B67536" w:rsidRPr="003C060C" w:rsidRDefault="00B54D08">
            <w:pPr>
              <w:pStyle w:val="Normal6"/>
              <w:rPr>
                <w:szCs w:val="24"/>
              </w:rPr>
            </w:pPr>
            <w:r w:rsidRPr="003C060C">
              <w:t>iii)</w:t>
            </w:r>
            <w:r w:rsidRPr="003C060C">
              <w:tab/>
              <w:t>informace o transakční relaci uživatele digitálního eura</w:t>
            </w:r>
            <w:r w:rsidRPr="003C060C">
              <w:rPr>
                <w:b/>
                <w:bCs/>
                <w:i/>
                <w:iCs/>
              </w:rPr>
              <w:t>, tj. rozsah</w:t>
            </w:r>
            <w:r w:rsidRPr="003C060C">
              <w:t xml:space="preserve"> adres internetového protokolu zařízení.</w:t>
            </w:r>
          </w:p>
        </w:tc>
      </w:tr>
    </w:tbl>
    <w:p w:rsidR="00B67536" w:rsidRPr="003C060C" w:rsidRDefault="00B54D08" w:rsidP="00B67536">
      <w:r w:rsidRPr="003C060C">
        <w:rPr>
          <w:rStyle w:val="HideTWBExt"/>
        </w:rPr>
        <w:t>&lt;/Amend&gt;&lt;/RepeatBlock-Amend&gt;</w:t>
      </w:r>
    </w:p>
    <w:p w:rsidR="00B67536" w:rsidRPr="003C060C" w:rsidRDefault="00B67536" w:rsidP="00B67536"/>
    <w:p w:rsidR="008F2DF8" w:rsidRPr="003C060C" w:rsidRDefault="008F2DF8" w:rsidP="00BD09C7"/>
    <w:p w:rsidR="008F2DF8" w:rsidRPr="003C060C" w:rsidRDefault="008F2DF8" w:rsidP="00BD09C7"/>
    <w:p w:rsidR="00BD09C7" w:rsidRPr="003C060C" w:rsidRDefault="00BD09C7">
      <w:pPr>
        <w:widowControl/>
        <w:sectPr w:rsidR="00BD09C7" w:rsidRPr="003C060C" w:rsidSect="003C060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D09C7" w:rsidRPr="003C060C" w:rsidRDefault="00BD09C7">
      <w:pPr>
        <w:widowControl/>
        <w:rPr>
          <w:b/>
          <w:szCs w:val="20"/>
        </w:rPr>
      </w:pPr>
    </w:p>
    <w:p w:rsidR="00BD09C7" w:rsidRPr="003C060C" w:rsidRDefault="00B54D08" w:rsidP="00335E75">
      <w:pPr>
        <w:pStyle w:val="PageHeadingNotTOC"/>
        <w:rPr>
          <w:noProof/>
        </w:rPr>
      </w:pPr>
      <w:bookmarkStart w:id="2" w:name="FootprintPageAD"/>
      <w:r w:rsidRPr="003C060C">
        <w:t>PŘÍLOHA: SEZNAM SUBJEKTŮ NEBO OSOB, OD NICHŽ ZPRAVODAJ OBDRŽEL INFORMACE</w:t>
      </w:r>
    </w:p>
    <w:p w:rsidR="00BD09C7" w:rsidRPr="003C060C" w:rsidRDefault="00B54D08" w:rsidP="00335E75">
      <w:pPr>
        <w:pStyle w:val="Normal24a"/>
      </w:pPr>
      <w:r w:rsidRPr="003C060C">
        <w:rPr>
          <w:rStyle w:val="HideTWBExt"/>
        </w:rPr>
        <w:t>&lt;FootprintIntro&gt;</w:t>
      </w:r>
      <w:r w:rsidRPr="003C060C">
        <w:t>V souladu s článkem 8 přílohy I jednacího řádu zpravodaj prohlašuje, že při přípravě návrhu zprávy, a to až do jejího přijetí ve výboru, obdržel podněty od těchto subjektů nebo osob:</w:t>
      </w:r>
      <w:r w:rsidRPr="003C060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911FF" w:rsidRPr="003C060C" w:rsidTr="00335E75">
        <w:tc>
          <w:tcPr>
            <w:tcW w:w="9286" w:type="dxa"/>
            <w:shd w:val="clear" w:color="auto" w:fill="auto"/>
          </w:tcPr>
          <w:p w:rsidR="00BD09C7" w:rsidRPr="003C060C" w:rsidRDefault="00B54D08" w:rsidP="00335E75">
            <w:pPr>
              <w:pStyle w:val="NormalBoldCenter"/>
            </w:pPr>
            <w:r w:rsidRPr="003C060C">
              <w:t>Subjekt nebo osoba</w:t>
            </w:r>
          </w:p>
        </w:tc>
      </w:tr>
      <w:tr w:rsidR="004911FF" w:rsidRPr="003C060C" w:rsidTr="00335E75">
        <w:tc>
          <w:tcPr>
            <w:tcW w:w="9286" w:type="dxa"/>
            <w:shd w:val="clear" w:color="auto" w:fill="auto"/>
          </w:tcPr>
          <w:p w:rsidR="00BD09C7" w:rsidRPr="003C060C" w:rsidRDefault="00B54D08" w:rsidP="00BD09C7">
            <w:r w:rsidRPr="003C060C">
              <w:t>European Commission</w:t>
            </w:r>
          </w:p>
          <w:p w:rsidR="00BD09C7" w:rsidRPr="003C060C" w:rsidRDefault="00B54D08" w:rsidP="00BD09C7">
            <w:r w:rsidRPr="003C060C">
              <w:t>European Central Bank</w:t>
            </w:r>
          </w:p>
          <w:p w:rsidR="00BD09C7" w:rsidRPr="003C060C" w:rsidRDefault="00B54D08" w:rsidP="00BD09C7">
            <w:r w:rsidRPr="003C060C">
              <w:t>European Data Protection Supervisor</w:t>
            </w:r>
          </w:p>
          <w:p w:rsidR="00BD09C7" w:rsidRPr="003C060C" w:rsidRDefault="00B54D08" w:rsidP="00BD09C7">
            <w:r w:rsidRPr="003C060C">
              <w:t>European Data Protection Board</w:t>
            </w:r>
          </w:p>
          <w:p w:rsidR="00BD09C7" w:rsidRPr="003C060C" w:rsidRDefault="00B54D08" w:rsidP="00BD09C7">
            <w:r w:rsidRPr="003C060C">
              <w:t>Bulgarian Permanent Representation</w:t>
            </w:r>
          </w:p>
          <w:p w:rsidR="00BD09C7" w:rsidRPr="003C060C" w:rsidRDefault="00B54D08" w:rsidP="00BD09C7">
            <w:r w:rsidRPr="003C060C">
              <w:t>Czech Permanent Representation</w:t>
            </w:r>
          </w:p>
          <w:p w:rsidR="00BD09C7" w:rsidRPr="003C060C" w:rsidRDefault="00B54D08" w:rsidP="00BD09C7">
            <w:r w:rsidRPr="003C060C">
              <w:t>FTI Consulting</w:t>
            </w:r>
          </w:p>
        </w:tc>
      </w:tr>
    </w:tbl>
    <w:p w:rsidR="00BD09C7" w:rsidRPr="003C060C" w:rsidRDefault="00BD09C7" w:rsidP="00335E75"/>
    <w:p w:rsidR="00BD09C7" w:rsidRPr="003C060C" w:rsidRDefault="00B54D08" w:rsidP="00BD09C7">
      <w:r w:rsidRPr="003C060C">
        <w:t>Výše uvedený seznam je sestaven na výhradní odpovědnost zpravodaje.</w:t>
      </w:r>
    </w:p>
    <w:bookmarkEnd w:id="2"/>
    <w:p w:rsidR="00252D4E" w:rsidRPr="003C060C" w:rsidRDefault="00B54D08" w:rsidP="00252D4E">
      <w:r w:rsidRPr="003C060C">
        <w:br w:type="page"/>
      </w:r>
    </w:p>
    <w:p w:rsidR="00DC1D6D" w:rsidRPr="003C060C" w:rsidRDefault="00B54D08" w:rsidP="00DC1D6D">
      <w:pPr>
        <w:pStyle w:val="PageHeadingNotTOC"/>
      </w:pPr>
      <w:bookmarkStart w:id="3" w:name="ProcPageAD"/>
      <w:r w:rsidRPr="003C060C">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911FF" w:rsidRPr="003C060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Zavedení digitálního eura</w:t>
            </w:r>
          </w:p>
        </w:tc>
      </w:tr>
      <w:tr w:rsidR="004911FF" w:rsidRPr="003C060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COM(2023)0369 – C9-0219/2023 – 2023/0212(COD)</w:t>
            </w:r>
          </w:p>
        </w:tc>
      </w:tr>
      <w:tr w:rsidR="004911FF" w:rsidRPr="003C060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Příslušný výbor</w:t>
            </w:r>
          </w:p>
          <w:p w:rsidR="00DC1D6D" w:rsidRPr="003C060C" w:rsidRDefault="00B54D08">
            <w:pPr>
              <w:autoSpaceDE w:val="0"/>
              <w:autoSpaceDN w:val="0"/>
              <w:adjustRightInd w:val="0"/>
              <w:rPr>
                <w:color w:val="000000"/>
                <w:sz w:val="20"/>
                <w:szCs w:val="20"/>
              </w:rPr>
            </w:pPr>
            <w:r w:rsidRPr="003C060C">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Hospodářský a měnový výbor (ECON)</w:t>
            </w:r>
          </w:p>
          <w:p w:rsidR="00DC1D6D" w:rsidRPr="003C060C" w:rsidRDefault="00B54D08">
            <w:pPr>
              <w:autoSpaceDE w:val="0"/>
              <w:autoSpaceDN w:val="0"/>
              <w:adjustRightInd w:val="0"/>
              <w:rPr>
                <w:color w:val="000000"/>
                <w:sz w:val="20"/>
                <w:szCs w:val="20"/>
              </w:rPr>
            </w:pPr>
            <w:r w:rsidRPr="003C060C">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r>
      <w:tr w:rsidR="004911FF" w:rsidRPr="003C060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Výbor, který vypracoval stanovisko</w:t>
            </w:r>
          </w:p>
          <w:p w:rsidR="00DC1D6D" w:rsidRPr="003C060C" w:rsidRDefault="00B54D08">
            <w:pPr>
              <w:autoSpaceDE w:val="0"/>
              <w:autoSpaceDN w:val="0"/>
              <w:adjustRightInd w:val="0"/>
              <w:rPr>
                <w:color w:val="000000"/>
                <w:sz w:val="20"/>
                <w:szCs w:val="20"/>
              </w:rPr>
            </w:pPr>
            <w:r w:rsidRPr="003C060C">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Výbor LIBE</w:t>
            </w:r>
          </w:p>
          <w:p w:rsidR="00DC1D6D" w:rsidRPr="003C060C" w:rsidRDefault="00B54D08">
            <w:pPr>
              <w:autoSpaceDE w:val="0"/>
              <w:autoSpaceDN w:val="0"/>
              <w:adjustRightInd w:val="0"/>
              <w:rPr>
                <w:color w:val="000000"/>
                <w:sz w:val="20"/>
                <w:szCs w:val="20"/>
              </w:rPr>
            </w:pPr>
            <w:r w:rsidRPr="003C060C">
              <w:rPr>
                <w:color w:val="000000"/>
                <w:sz w:val="20"/>
              </w:rPr>
              <w:t>19.10.2023</w:t>
            </w:r>
          </w:p>
        </w:tc>
      </w:tr>
      <w:tr w:rsidR="004911FF" w:rsidRPr="003C060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Přidružené výbory – datum oznámení na zasedání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19.10.2023</w:t>
            </w:r>
          </w:p>
        </w:tc>
      </w:tr>
      <w:tr w:rsidR="004911FF" w:rsidRPr="003C060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Zpravodaj</w:t>
            </w:r>
          </w:p>
          <w:p w:rsidR="00DC1D6D" w:rsidRPr="003C060C" w:rsidRDefault="00B54D08">
            <w:pPr>
              <w:autoSpaceDE w:val="0"/>
              <w:autoSpaceDN w:val="0"/>
              <w:adjustRightInd w:val="0"/>
              <w:rPr>
                <w:color w:val="000000"/>
                <w:sz w:val="20"/>
                <w:szCs w:val="20"/>
              </w:rPr>
            </w:pPr>
            <w:r w:rsidRPr="003C060C">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Emil Radev</w:t>
            </w:r>
          </w:p>
          <w:p w:rsidR="00DC1D6D" w:rsidRPr="003C060C" w:rsidRDefault="00B54D08">
            <w:pPr>
              <w:autoSpaceDE w:val="0"/>
              <w:autoSpaceDN w:val="0"/>
              <w:adjustRightInd w:val="0"/>
              <w:rPr>
                <w:color w:val="000000"/>
                <w:sz w:val="20"/>
                <w:szCs w:val="20"/>
              </w:rPr>
            </w:pPr>
            <w:r w:rsidRPr="003C060C">
              <w:rPr>
                <w:color w:val="000000"/>
                <w:sz w:val="20"/>
              </w:rPr>
              <w:t>25.10.2023</w:t>
            </w:r>
          </w:p>
        </w:tc>
      </w:tr>
      <w:tr w:rsidR="004911FF" w:rsidRPr="003C060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4.12.2023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r>
      <w:tr w:rsidR="004911FF" w:rsidRPr="003C060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15.2.2024</w:t>
            </w:r>
          </w:p>
        </w:tc>
        <w:tc>
          <w:tcPr>
            <w:tcW w:w="1474" w:type="dxa"/>
            <w:tcBorders>
              <w:top w:val="nil"/>
              <w:left w:val="nil"/>
              <w:bottom w:val="single" w:sz="8" w:space="0" w:color="000000"/>
              <w:right w:val="nil"/>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C1D6D" w:rsidRPr="003C060C" w:rsidRDefault="00DC1D6D">
            <w:pPr>
              <w:autoSpaceDE w:val="0"/>
              <w:autoSpaceDN w:val="0"/>
              <w:adjustRightInd w:val="0"/>
              <w:rPr>
                <w:rFonts w:ascii="sans-serif" w:hAnsi="sans-serif" w:cs="sans-serif"/>
                <w:color w:val="000000"/>
              </w:rPr>
            </w:pPr>
          </w:p>
        </w:tc>
      </w:tr>
      <w:tr w:rsidR="004911FF" w:rsidRPr="003C060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w:t>
            </w:r>
          </w:p>
          <w:p w:rsidR="00DC1D6D" w:rsidRPr="003C060C" w:rsidRDefault="00B54D08">
            <w:pPr>
              <w:autoSpaceDE w:val="0"/>
              <w:autoSpaceDN w:val="0"/>
              <w:adjustRightInd w:val="0"/>
              <w:rPr>
                <w:color w:val="000000"/>
                <w:sz w:val="20"/>
                <w:szCs w:val="20"/>
              </w:rPr>
            </w:pPr>
            <w:r w:rsidRPr="003C060C">
              <w:rPr>
                <w:color w:val="000000"/>
                <w:sz w:val="20"/>
              </w:rPr>
              <w:t>–:</w:t>
            </w:r>
          </w:p>
          <w:p w:rsidR="00DC1D6D" w:rsidRPr="003C060C" w:rsidRDefault="00B54D08">
            <w:pPr>
              <w:autoSpaceDE w:val="0"/>
              <w:autoSpaceDN w:val="0"/>
              <w:adjustRightInd w:val="0"/>
              <w:rPr>
                <w:color w:val="000000"/>
                <w:sz w:val="20"/>
                <w:szCs w:val="20"/>
              </w:rPr>
            </w:pPr>
            <w:r w:rsidRPr="003C060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48</w:t>
            </w:r>
          </w:p>
          <w:p w:rsidR="00DC1D6D" w:rsidRPr="003C060C" w:rsidRDefault="00B54D08">
            <w:pPr>
              <w:autoSpaceDE w:val="0"/>
              <w:autoSpaceDN w:val="0"/>
              <w:adjustRightInd w:val="0"/>
              <w:rPr>
                <w:color w:val="000000"/>
                <w:sz w:val="20"/>
                <w:szCs w:val="20"/>
              </w:rPr>
            </w:pPr>
            <w:r w:rsidRPr="003C060C">
              <w:rPr>
                <w:color w:val="000000"/>
                <w:sz w:val="20"/>
              </w:rPr>
              <w:t>6</w:t>
            </w:r>
          </w:p>
          <w:p w:rsidR="00DC1D6D" w:rsidRPr="003C060C" w:rsidRDefault="00B54D08">
            <w:pPr>
              <w:autoSpaceDE w:val="0"/>
              <w:autoSpaceDN w:val="0"/>
              <w:adjustRightInd w:val="0"/>
              <w:rPr>
                <w:color w:val="000000"/>
                <w:sz w:val="20"/>
                <w:szCs w:val="20"/>
              </w:rPr>
            </w:pPr>
            <w:r w:rsidRPr="003C060C">
              <w:rPr>
                <w:color w:val="000000"/>
                <w:sz w:val="20"/>
              </w:rPr>
              <w:t>7</w:t>
            </w:r>
          </w:p>
        </w:tc>
      </w:tr>
      <w:tr w:rsidR="004911FF" w:rsidRPr="003C060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Magdalena Adamowicz, Abir Al-Sahlani, Katarina Barley, Pietro Bartolo, Malin Björk, Karolin Braunsberger-Reinhold, Patrick Breyer, Saskia Bricmont, Patricia Chagnon, Clare Daly, Lena Düpont, Cornelia Ernst, Maria Grapini, Evin Incir, Sophia in ‘t Veld, Assita Kanko, Alice Kuhnke, Jeroen Lenaers, Juan Fernando López Aguilar, Lukas Mandl, Erik Marquardt, Javier Moreno Sánchez, Maite Pagazaurtundúa, Emil Radev, Diana Riba i Giner, Tineke Strik, Ramona Strugariu, Jana Toom, Milan Uhrík, Tom Vandendriessche</w:t>
            </w:r>
          </w:p>
        </w:tc>
      </w:tr>
      <w:tr w:rsidR="004911FF" w:rsidRPr="003C060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Beata Kempa, Dietmar Köster, Sergey Lagodinsky, Anne-Sophie Pelletier, Peter Pollák, Cristian Terheş, Róża Thun und Hohenstein, Axel Voss</w:t>
            </w:r>
          </w:p>
        </w:tc>
      </w:tr>
      <w:tr w:rsidR="004911FF" w:rsidRPr="003C060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b/>
                <w:bCs/>
                <w:color w:val="000000"/>
                <w:sz w:val="20"/>
                <w:szCs w:val="20"/>
              </w:rPr>
            </w:pPr>
            <w:r w:rsidRPr="003C060C">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3C060C" w:rsidRDefault="00B54D08">
            <w:pPr>
              <w:autoSpaceDE w:val="0"/>
              <w:autoSpaceDN w:val="0"/>
              <w:adjustRightInd w:val="0"/>
              <w:rPr>
                <w:color w:val="000000"/>
                <w:sz w:val="20"/>
                <w:szCs w:val="20"/>
              </w:rPr>
            </w:pPr>
            <w:r w:rsidRPr="003C060C">
              <w:rPr>
                <w:color w:val="000000"/>
                <w:sz w:val="20"/>
              </w:rPr>
              <w:t>Alexander Alexandrov Yordanov, Catherine Amalric, Pablo Arias Echeverría, François-Xavier Bellamy, Milan Brglez, Katalin Cseh, Frances Fitzgerald, Ibán García Del Blanco, Isabel García Muñoz, Eider Gardiazabal Rubial, Catherine Griset, Jan Huitema, Stelios Kympouropoulos, Marian-Jean Marinescu, Radka Maxová, Jozef Mihál, Sven Mikser, Andrey Novakov, Witold Pahl, Evelyn Regner, Maria Veronica Rossi, Eleni Stavrou, Rainer Wieland</w:t>
            </w:r>
          </w:p>
        </w:tc>
      </w:tr>
    </w:tbl>
    <w:p w:rsidR="00DC1D6D" w:rsidRPr="003C060C" w:rsidRDefault="00DC1D6D"/>
    <w:bookmarkEnd w:id="3"/>
    <w:p w:rsidR="004D5797" w:rsidRPr="003C060C" w:rsidRDefault="004D5797" w:rsidP="004D5797">
      <w:pPr>
        <w:sectPr w:rsidR="004D5797" w:rsidRPr="003C060C" w:rsidSect="004D579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5797" w:rsidRPr="003C060C" w:rsidRDefault="00B54D08" w:rsidP="00335E75">
      <w:pPr>
        <w:pStyle w:val="PageHeadingNotTOC"/>
      </w:pPr>
      <w:bookmarkStart w:id="4" w:name="RollCallPageAD"/>
      <w:r w:rsidRPr="003C060C">
        <w:t>JMENOVITÉ KONEČNÉ HLASOVÁNÍ 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11FF" w:rsidRPr="003C060C" w:rsidTr="00335E75">
        <w:trPr>
          <w:cantSplit/>
        </w:trPr>
        <w:tc>
          <w:tcPr>
            <w:tcW w:w="1701" w:type="dxa"/>
            <w:shd w:val="pct10" w:color="000000" w:fill="FFFFFF"/>
            <w:vAlign w:val="center"/>
          </w:tcPr>
          <w:p w:rsidR="004D5797" w:rsidRPr="003C060C" w:rsidRDefault="00B54D08" w:rsidP="00335E75">
            <w:pPr>
              <w:pStyle w:val="RollCallVotes"/>
            </w:pPr>
            <w:r w:rsidRPr="003C060C">
              <w:t>48</w:t>
            </w:r>
          </w:p>
        </w:tc>
        <w:tc>
          <w:tcPr>
            <w:tcW w:w="7371" w:type="dxa"/>
            <w:shd w:val="pct10" w:color="000000" w:fill="FFFFFF"/>
          </w:tcPr>
          <w:p w:rsidR="004D5797" w:rsidRPr="003C060C" w:rsidRDefault="00B54D08" w:rsidP="00335E75">
            <w:pPr>
              <w:pStyle w:val="RollCallSymbols14pt"/>
            </w:pPr>
            <w:r w:rsidRPr="003C060C">
              <w:t>+</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PPE</w:t>
            </w:r>
          </w:p>
        </w:tc>
        <w:tc>
          <w:tcPr>
            <w:tcW w:w="7371" w:type="dxa"/>
            <w:shd w:val="clear" w:color="auto" w:fill="FFFFFF"/>
          </w:tcPr>
          <w:p w:rsidR="004D5797" w:rsidRPr="003C060C" w:rsidRDefault="00B54D08" w:rsidP="00335E75">
            <w:pPr>
              <w:pStyle w:val="RollCallTable"/>
            </w:pPr>
            <w:r w:rsidRPr="003C060C">
              <w:t>Magdalena Adamowicz, Alexander Alexandrov Yordanov, Pablo Arias Echeverría, Karolin Braunsberger-Reinhold, Lena Düpont, Frances Fitzgerald, Stelios Kympouropoulos, Jeroen Lenaers, Lukas Mandl, Marian-Jean Marinescu, Andrey Novakov, Witold Pahl, Peter Pollák, Emil Radev, Eleni Stavrou, Axel Voss, Rainer Wieland</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Renew</w:t>
            </w:r>
          </w:p>
        </w:tc>
        <w:tc>
          <w:tcPr>
            <w:tcW w:w="7371" w:type="dxa"/>
            <w:shd w:val="clear" w:color="auto" w:fill="FFFFFF"/>
          </w:tcPr>
          <w:p w:rsidR="004D5797" w:rsidRPr="003C060C" w:rsidRDefault="00B54D08" w:rsidP="00335E75">
            <w:pPr>
              <w:pStyle w:val="RollCallTable"/>
            </w:pPr>
            <w:r w:rsidRPr="003C060C">
              <w:t>Abir Al-Sahlani, Catherine Amalric, Katalin Cseh, Jan Huitema, Sophia in 't Veld, Jozef Mihál, Maite Pagazaurtundúa, Ramona Strugariu, Róża Thun und Hohenstein, Jana Toom</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S&amp;D</w:t>
            </w:r>
          </w:p>
        </w:tc>
        <w:tc>
          <w:tcPr>
            <w:tcW w:w="7371" w:type="dxa"/>
            <w:shd w:val="clear" w:color="auto" w:fill="FFFFFF"/>
          </w:tcPr>
          <w:p w:rsidR="004D5797" w:rsidRPr="003C060C" w:rsidRDefault="00B54D08" w:rsidP="00335E75">
            <w:pPr>
              <w:pStyle w:val="RollCallTable"/>
            </w:pPr>
            <w:r w:rsidRPr="003C060C">
              <w:t>Katarina Barley, Pietro Bartolo, Milan Brglez, Ibán García Del Blanco, Isabel García Muñoz, Eider Gardiazabal Rubial, Maria Grapini, Evin Incir, Dietmar Köster, Juan Fernando López Aguilar, Radka Maxová, Sven Mikser, Javier Moreno Sánchez, Evelyn Regner</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The Left</w:t>
            </w:r>
          </w:p>
        </w:tc>
        <w:tc>
          <w:tcPr>
            <w:tcW w:w="7371" w:type="dxa"/>
            <w:shd w:val="clear" w:color="auto" w:fill="FFFFFF"/>
          </w:tcPr>
          <w:p w:rsidR="004D5797" w:rsidRPr="003C060C" w:rsidRDefault="00B54D08" w:rsidP="00335E75">
            <w:pPr>
              <w:pStyle w:val="RollCallTable"/>
            </w:pPr>
            <w:r w:rsidRPr="003C060C">
              <w:t>Malin Björk</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Verts/ALE</w:t>
            </w:r>
          </w:p>
        </w:tc>
        <w:tc>
          <w:tcPr>
            <w:tcW w:w="7371" w:type="dxa"/>
            <w:shd w:val="clear" w:color="auto" w:fill="FFFFFF"/>
          </w:tcPr>
          <w:p w:rsidR="004D5797" w:rsidRPr="003C060C" w:rsidRDefault="00B54D08" w:rsidP="00335E75">
            <w:pPr>
              <w:pStyle w:val="RollCallTable"/>
            </w:pPr>
            <w:r w:rsidRPr="003C060C">
              <w:t>Saskia Bricmont, Alice Kuhnke, Sergey Lagodinsky, Erik Marquardt, Diana Riba i Giner, Tineke Strik</w:t>
            </w:r>
          </w:p>
        </w:tc>
      </w:tr>
    </w:tbl>
    <w:p w:rsidR="004D5797" w:rsidRPr="003C060C" w:rsidRDefault="004D5797" w:rsidP="00335E7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11FF" w:rsidRPr="003C060C" w:rsidTr="00335E75">
        <w:trPr>
          <w:cantSplit/>
        </w:trPr>
        <w:tc>
          <w:tcPr>
            <w:tcW w:w="1701" w:type="dxa"/>
            <w:shd w:val="pct10" w:color="000000" w:fill="FFFFFF"/>
            <w:vAlign w:val="center"/>
          </w:tcPr>
          <w:p w:rsidR="004D5797" w:rsidRPr="003C060C" w:rsidRDefault="00B54D08" w:rsidP="00335E75">
            <w:pPr>
              <w:pStyle w:val="RollCallVotes"/>
            </w:pPr>
            <w:r w:rsidRPr="003C060C">
              <w:t>6</w:t>
            </w:r>
          </w:p>
        </w:tc>
        <w:tc>
          <w:tcPr>
            <w:tcW w:w="7371" w:type="dxa"/>
            <w:shd w:val="pct10" w:color="000000" w:fill="FFFFFF"/>
          </w:tcPr>
          <w:p w:rsidR="004D5797" w:rsidRPr="003C060C" w:rsidRDefault="00B54D08" w:rsidP="00335E75">
            <w:pPr>
              <w:pStyle w:val="RollCallSymbols14pt"/>
            </w:pPr>
            <w:r w:rsidRPr="003C060C">
              <w:t>-</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ECR</w:t>
            </w:r>
          </w:p>
        </w:tc>
        <w:tc>
          <w:tcPr>
            <w:tcW w:w="7371" w:type="dxa"/>
            <w:shd w:val="clear" w:color="auto" w:fill="FFFFFF"/>
          </w:tcPr>
          <w:p w:rsidR="004D5797" w:rsidRPr="003C060C" w:rsidRDefault="00B54D08" w:rsidP="00335E75">
            <w:pPr>
              <w:pStyle w:val="RollCallTable"/>
            </w:pPr>
            <w:r w:rsidRPr="003C060C">
              <w:t>Assita Kanko, Beata Kempa, Cristian Terheş</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ID</w:t>
            </w:r>
          </w:p>
        </w:tc>
        <w:tc>
          <w:tcPr>
            <w:tcW w:w="7371" w:type="dxa"/>
            <w:shd w:val="clear" w:color="auto" w:fill="FFFFFF"/>
          </w:tcPr>
          <w:p w:rsidR="004D5797" w:rsidRPr="003C060C" w:rsidRDefault="00B54D08" w:rsidP="00335E75">
            <w:pPr>
              <w:pStyle w:val="RollCallTable"/>
            </w:pPr>
            <w:r w:rsidRPr="003C060C">
              <w:t>Tom Vandendriessche</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NI</w:t>
            </w:r>
          </w:p>
        </w:tc>
        <w:tc>
          <w:tcPr>
            <w:tcW w:w="7371" w:type="dxa"/>
            <w:shd w:val="clear" w:color="auto" w:fill="FFFFFF"/>
          </w:tcPr>
          <w:p w:rsidR="004D5797" w:rsidRPr="003C060C" w:rsidRDefault="00B54D08" w:rsidP="00335E75">
            <w:pPr>
              <w:pStyle w:val="RollCallTable"/>
            </w:pPr>
            <w:r w:rsidRPr="003C060C">
              <w:t>Milan Uhrík</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Verts/ALE</w:t>
            </w:r>
          </w:p>
        </w:tc>
        <w:tc>
          <w:tcPr>
            <w:tcW w:w="7371" w:type="dxa"/>
            <w:shd w:val="clear" w:color="auto" w:fill="FFFFFF"/>
          </w:tcPr>
          <w:p w:rsidR="004D5797" w:rsidRPr="003C060C" w:rsidRDefault="00B54D08" w:rsidP="00335E75">
            <w:pPr>
              <w:pStyle w:val="RollCallTable"/>
            </w:pPr>
            <w:r w:rsidRPr="003C060C">
              <w:t>Patrick Breyer</w:t>
            </w:r>
          </w:p>
        </w:tc>
      </w:tr>
    </w:tbl>
    <w:p w:rsidR="004D5797" w:rsidRPr="003C060C" w:rsidRDefault="004D5797" w:rsidP="00335E7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11FF" w:rsidRPr="003C060C" w:rsidTr="00335E75">
        <w:trPr>
          <w:cantSplit/>
        </w:trPr>
        <w:tc>
          <w:tcPr>
            <w:tcW w:w="1701" w:type="dxa"/>
            <w:shd w:val="pct10" w:color="000000" w:fill="FFFFFF"/>
            <w:vAlign w:val="center"/>
          </w:tcPr>
          <w:p w:rsidR="004D5797" w:rsidRPr="003C060C" w:rsidRDefault="00B54D08" w:rsidP="00335E75">
            <w:pPr>
              <w:pStyle w:val="RollCallVotes"/>
            </w:pPr>
            <w:r w:rsidRPr="003C060C">
              <w:t>7</w:t>
            </w:r>
          </w:p>
        </w:tc>
        <w:tc>
          <w:tcPr>
            <w:tcW w:w="7371" w:type="dxa"/>
            <w:shd w:val="pct10" w:color="000000" w:fill="FFFFFF"/>
          </w:tcPr>
          <w:p w:rsidR="004D5797" w:rsidRPr="003C060C" w:rsidRDefault="00B54D08" w:rsidP="00335E75">
            <w:pPr>
              <w:pStyle w:val="RollCallSymbols14pt"/>
            </w:pPr>
            <w:r w:rsidRPr="003C060C">
              <w:t>0</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ID</w:t>
            </w:r>
          </w:p>
        </w:tc>
        <w:tc>
          <w:tcPr>
            <w:tcW w:w="7371" w:type="dxa"/>
            <w:shd w:val="clear" w:color="auto" w:fill="FFFFFF"/>
          </w:tcPr>
          <w:p w:rsidR="004D5797" w:rsidRPr="003C060C" w:rsidRDefault="00B54D08" w:rsidP="00335E75">
            <w:pPr>
              <w:pStyle w:val="RollCallTable"/>
            </w:pPr>
            <w:r w:rsidRPr="003C060C">
              <w:t>Patricia Chagnon, Catherine Griset, Maria Veronica Rossi</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PPE</w:t>
            </w:r>
          </w:p>
        </w:tc>
        <w:tc>
          <w:tcPr>
            <w:tcW w:w="7371" w:type="dxa"/>
            <w:shd w:val="clear" w:color="auto" w:fill="FFFFFF"/>
          </w:tcPr>
          <w:p w:rsidR="004D5797" w:rsidRPr="003C060C" w:rsidRDefault="00B54D08" w:rsidP="00335E75">
            <w:pPr>
              <w:pStyle w:val="RollCallTable"/>
            </w:pPr>
            <w:r w:rsidRPr="003C060C">
              <w:t>François-Xavier Bellamy</w:t>
            </w:r>
          </w:p>
        </w:tc>
      </w:tr>
      <w:tr w:rsidR="004911FF" w:rsidRPr="003C060C" w:rsidTr="00335E75">
        <w:trPr>
          <w:cantSplit/>
        </w:trPr>
        <w:tc>
          <w:tcPr>
            <w:tcW w:w="1701" w:type="dxa"/>
            <w:shd w:val="clear" w:color="auto" w:fill="FFFFFF"/>
          </w:tcPr>
          <w:p w:rsidR="004D5797" w:rsidRPr="003C060C" w:rsidRDefault="00B54D08" w:rsidP="00335E75">
            <w:pPr>
              <w:pStyle w:val="RollCallTable"/>
            </w:pPr>
            <w:r w:rsidRPr="003C060C">
              <w:t>The Left</w:t>
            </w:r>
          </w:p>
        </w:tc>
        <w:tc>
          <w:tcPr>
            <w:tcW w:w="7371" w:type="dxa"/>
            <w:shd w:val="clear" w:color="auto" w:fill="FFFFFF"/>
          </w:tcPr>
          <w:p w:rsidR="004D5797" w:rsidRPr="003C060C" w:rsidRDefault="00B54D08" w:rsidP="00335E75">
            <w:pPr>
              <w:pStyle w:val="RollCallTable"/>
            </w:pPr>
            <w:r w:rsidRPr="003C060C">
              <w:t>Clare Daly, Cornelia Ernst, Anne-Sophie Pelletier</w:t>
            </w:r>
          </w:p>
        </w:tc>
      </w:tr>
    </w:tbl>
    <w:p w:rsidR="004D5797" w:rsidRPr="003C060C" w:rsidRDefault="004D5797" w:rsidP="00335E75">
      <w:pPr>
        <w:pStyle w:val="Normal12a"/>
      </w:pPr>
    </w:p>
    <w:p w:rsidR="004D5797" w:rsidRPr="003C060C" w:rsidRDefault="00B54D08" w:rsidP="00335E75">
      <w:r w:rsidRPr="003C060C">
        <w:t>Význam zkratek:</w:t>
      </w:r>
    </w:p>
    <w:p w:rsidR="004D5797" w:rsidRPr="003C060C" w:rsidRDefault="00B54D08" w:rsidP="00335E75">
      <w:pPr>
        <w:pStyle w:val="RollCallTabs"/>
      </w:pPr>
      <w:r w:rsidRPr="003C060C">
        <w:t>+</w:t>
      </w:r>
      <w:r w:rsidRPr="003C060C">
        <w:tab/>
        <w:t>:</w:t>
      </w:r>
      <w:r w:rsidRPr="003C060C">
        <w:tab/>
        <w:t>pro</w:t>
      </w:r>
    </w:p>
    <w:p w:rsidR="004D5797" w:rsidRPr="003C060C" w:rsidRDefault="00B54D08" w:rsidP="00335E75">
      <w:pPr>
        <w:pStyle w:val="RollCallTabs"/>
      </w:pPr>
      <w:r w:rsidRPr="003C060C">
        <w:t>-</w:t>
      </w:r>
      <w:r w:rsidRPr="003C060C">
        <w:tab/>
        <w:t>:</w:t>
      </w:r>
      <w:r w:rsidRPr="003C060C">
        <w:tab/>
        <w:t>proti</w:t>
      </w:r>
    </w:p>
    <w:p w:rsidR="004D5797" w:rsidRPr="003C060C" w:rsidRDefault="00B54D08" w:rsidP="00335E75">
      <w:pPr>
        <w:pStyle w:val="RollCallTabs"/>
      </w:pPr>
      <w:r w:rsidRPr="003C060C">
        <w:t>0</w:t>
      </w:r>
      <w:r w:rsidRPr="003C060C">
        <w:tab/>
        <w:t>:</w:t>
      </w:r>
      <w:r w:rsidRPr="003C060C">
        <w:tab/>
        <w:t>zdrželi se</w:t>
      </w:r>
    </w:p>
    <w:p w:rsidR="004D5797" w:rsidRPr="003C060C" w:rsidRDefault="004D5797" w:rsidP="00335E75"/>
    <w:bookmarkEnd w:id="4"/>
    <w:p w:rsidR="00DB56E4" w:rsidRPr="003C060C" w:rsidRDefault="00DB56E4" w:rsidP="004D5797"/>
    <w:sectPr w:rsidR="00DB56E4" w:rsidRPr="003C060C" w:rsidSect="004D57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752" w:rsidRPr="003C060C" w:rsidRDefault="00B54D08">
      <w:r w:rsidRPr="003C060C">
        <w:separator/>
      </w:r>
    </w:p>
  </w:endnote>
  <w:endnote w:type="continuationSeparator" w:id="0">
    <w:p w:rsidR="00645752" w:rsidRPr="003C060C" w:rsidRDefault="00B54D08">
      <w:r w:rsidRPr="003C06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60C" w:rsidRPr="003C060C" w:rsidRDefault="003C060C" w:rsidP="003C060C">
    <w:pPr>
      <w:pStyle w:val="EPFooter"/>
    </w:pPr>
    <w:r w:rsidRPr="003C060C">
      <w:t>PE</w:t>
    </w:r>
    <w:r w:rsidRPr="003C060C">
      <w:rPr>
        <w:rStyle w:val="HideTWBExt"/>
      </w:rPr>
      <w:t>&lt;NoPE&gt;</w:t>
    </w:r>
    <w:r w:rsidRPr="003C060C">
      <w:t>754.988</w:t>
    </w:r>
    <w:r w:rsidRPr="003C060C">
      <w:rPr>
        <w:rStyle w:val="HideTWBExt"/>
      </w:rPr>
      <w:t>&lt;/NoPE&gt;&lt;Version&gt;</w:t>
    </w:r>
    <w:r w:rsidRPr="003C060C">
      <w:t>v02-00</w:t>
    </w:r>
    <w:r w:rsidRPr="003C060C">
      <w:rPr>
        <w:rStyle w:val="HideTWBExt"/>
      </w:rPr>
      <w:t>&lt;/Version&gt;</w:t>
    </w:r>
    <w:r w:rsidRPr="003C060C">
      <w:tab/>
    </w:r>
    <w:r w:rsidRPr="003C060C">
      <w:fldChar w:fldCharType="begin"/>
    </w:r>
    <w:r w:rsidRPr="003C060C">
      <w:instrText xml:space="preserve"> PAGE  \* MERGEFORMAT </w:instrText>
    </w:r>
    <w:r w:rsidRPr="003C060C">
      <w:fldChar w:fldCharType="separate"/>
    </w:r>
    <w:r w:rsidR="00423AAC">
      <w:rPr>
        <w:noProof/>
      </w:rPr>
      <w:t>62</w:t>
    </w:r>
    <w:r w:rsidRPr="003C060C">
      <w:fldChar w:fldCharType="end"/>
    </w:r>
    <w:r w:rsidRPr="003C060C">
      <w:t>/</w:t>
    </w:r>
    <w:r w:rsidR="00423AAC">
      <w:fldChar w:fldCharType="begin"/>
    </w:r>
    <w:r w:rsidR="00423AAC">
      <w:instrText xml:space="preserve"> NUMPAGES  \* MERGEFORMAT </w:instrText>
    </w:r>
    <w:r w:rsidR="00423AAC">
      <w:fldChar w:fldCharType="separate"/>
    </w:r>
    <w:r w:rsidR="00423AAC">
      <w:rPr>
        <w:noProof/>
      </w:rPr>
      <w:t>64</w:t>
    </w:r>
    <w:r w:rsidR="00423AAC">
      <w:rPr>
        <w:noProof/>
      </w:rPr>
      <w:fldChar w:fldCharType="end"/>
    </w:r>
    <w:r w:rsidRPr="003C060C">
      <w:tab/>
    </w:r>
    <w:r w:rsidRPr="003C060C">
      <w:rPr>
        <w:rStyle w:val="HideTWBExt"/>
      </w:rPr>
      <w:t>&lt;PathFdR&gt;</w:t>
    </w:r>
    <w:r w:rsidRPr="003C060C">
      <w:t>AD\1297162CS.docx</w:t>
    </w:r>
    <w:r w:rsidRPr="003C060C">
      <w:rPr>
        <w:rStyle w:val="HideTWBExt"/>
      </w:rPr>
      <w:t>&lt;/PathFdR&gt;</w:t>
    </w:r>
  </w:p>
  <w:p w:rsidR="00335E75" w:rsidRPr="003C060C" w:rsidRDefault="003C060C" w:rsidP="003C060C">
    <w:pPr>
      <w:pStyle w:val="EPFooter2"/>
    </w:pPr>
    <w:r w:rsidRPr="003C060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60C" w:rsidRPr="003C060C" w:rsidRDefault="003C060C" w:rsidP="003C060C">
    <w:pPr>
      <w:pStyle w:val="EPFooter"/>
    </w:pPr>
    <w:r w:rsidRPr="003C060C">
      <w:rPr>
        <w:rStyle w:val="HideTWBExt"/>
      </w:rPr>
      <w:t>&lt;PathFdR&gt;</w:t>
    </w:r>
    <w:r w:rsidRPr="003C060C">
      <w:t>AD\1297162CS.docx</w:t>
    </w:r>
    <w:r w:rsidRPr="003C060C">
      <w:rPr>
        <w:rStyle w:val="HideTWBExt"/>
      </w:rPr>
      <w:t>&lt;/PathFdR&gt;</w:t>
    </w:r>
    <w:r w:rsidRPr="003C060C">
      <w:tab/>
    </w:r>
    <w:r w:rsidRPr="003C060C">
      <w:fldChar w:fldCharType="begin"/>
    </w:r>
    <w:r w:rsidRPr="003C060C">
      <w:instrText xml:space="preserve"> PAGE  \* MERGEFORMAT </w:instrText>
    </w:r>
    <w:r w:rsidRPr="003C060C">
      <w:fldChar w:fldCharType="separate"/>
    </w:r>
    <w:r w:rsidR="00423AAC">
      <w:rPr>
        <w:noProof/>
      </w:rPr>
      <w:t>61</w:t>
    </w:r>
    <w:r w:rsidRPr="003C060C">
      <w:fldChar w:fldCharType="end"/>
    </w:r>
    <w:r w:rsidRPr="003C060C">
      <w:t>/</w:t>
    </w:r>
    <w:r w:rsidR="00423AAC">
      <w:fldChar w:fldCharType="begin"/>
    </w:r>
    <w:r w:rsidR="00423AAC">
      <w:instrText xml:space="preserve"> NUMPAGES  \* MERGEFORMAT </w:instrText>
    </w:r>
    <w:r w:rsidR="00423AAC">
      <w:fldChar w:fldCharType="separate"/>
    </w:r>
    <w:r w:rsidR="00423AAC">
      <w:rPr>
        <w:noProof/>
      </w:rPr>
      <w:t>64</w:t>
    </w:r>
    <w:r w:rsidR="00423AAC">
      <w:rPr>
        <w:noProof/>
      </w:rPr>
      <w:fldChar w:fldCharType="end"/>
    </w:r>
    <w:r w:rsidRPr="003C060C">
      <w:tab/>
      <w:t>PE</w:t>
    </w:r>
    <w:r w:rsidRPr="003C060C">
      <w:rPr>
        <w:rStyle w:val="HideTWBExt"/>
      </w:rPr>
      <w:t>&lt;NoPE&gt;</w:t>
    </w:r>
    <w:r w:rsidRPr="003C060C">
      <w:t>754.988</w:t>
    </w:r>
    <w:r w:rsidRPr="003C060C">
      <w:rPr>
        <w:rStyle w:val="HideTWBExt"/>
      </w:rPr>
      <w:t>&lt;/NoPE&gt;&lt;Version&gt;</w:t>
    </w:r>
    <w:r w:rsidRPr="003C060C">
      <w:t>v02-00</w:t>
    </w:r>
    <w:r w:rsidRPr="003C060C">
      <w:rPr>
        <w:rStyle w:val="HideTWBExt"/>
      </w:rPr>
      <w:t>&lt;/Version&gt;</w:t>
    </w:r>
  </w:p>
  <w:p w:rsidR="00335E75" w:rsidRPr="003C060C" w:rsidRDefault="003C060C" w:rsidP="003C060C">
    <w:pPr>
      <w:pStyle w:val="EPFooter2"/>
    </w:pPr>
    <w:r w:rsidRPr="003C060C">
      <w:tab/>
    </w:r>
    <w:r w:rsidRPr="003C060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60C" w:rsidRPr="003C060C" w:rsidRDefault="003C060C" w:rsidP="003C060C">
    <w:pPr>
      <w:pStyle w:val="EPFooter"/>
    </w:pPr>
    <w:r w:rsidRPr="003C060C">
      <w:rPr>
        <w:rStyle w:val="HideTWBExt"/>
      </w:rPr>
      <w:t>&lt;PathFdR&gt;</w:t>
    </w:r>
    <w:r w:rsidRPr="003C060C">
      <w:t>AD\1297162CS.docx</w:t>
    </w:r>
    <w:r w:rsidRPr="003C060C">
      <w:rPr>
        <w:rStyle w:val="HideTWBExt"/>
      </w:rPr>
      <w:t>&lt;/PathFdR&gt;</w:t>
    </w:r>
    <w:r w:rsidRPr="003C060C">
      <w:tab/>
    </w:r>
    <w:r w:rsidRPr="003C060C">
      <w:tab/>
      <w:t>PE</w:t>
    </w:r>
    <w:r w:rsidRPr="003C060C">
      <w:rPr>
        <w:rStyle w:val="HideTWBExt"/>
      </w:rPr>
      <w:t>&lt;NoPE&gt;</w:t>
    </w:r>
    <w:r w:rsidRPr="003C060C">
      <w:t>754.988</w:t>
    </w:r>
    <w:r w:rsidRPr="003C060C">
      <w:rPr>
        <w:rStyle w:val="HideTWBExt"/>
      </w:rPr>
      <w:t>&lt;/NoPE&gt;&lt;Version&gt;</w:t>
    </w:r>
    <w:r w:rsidRPr="003C060C">
      <w:t>v02-00</w:t>
    </w:r>
    <w:r w:rsidRPr="003C060C">
      <w:rPr>
        <w:rStyle w:val="HideTWBExt"/>
      </w:rPr>
      <w:t>&lt;/Version&gt;</w:t>
    </w:r>
  </w:p>
  <w:p w:rsidR="00335E75" w:rsidRPr="003C060C" w:rsidRDefault="003C060C" w:rsidP="003C060C">
    <w:pPr>
      <w:pStyle w:val="EPFooter2"/>
    </w:pPr>
    <w:r w:rsidRPr="003C060C">
      <w:t>CS</w:t>
    </w:r>
    <w:r w:rsidRPr="003C060C">
      <w:tab/>
    </w:r>
    <w:r w:rsidRPr="003C060C">
      <w:rPr>
        <w:b w:val="0"/>
        <w:i/>
        <w:color w:val="C0C0C0"/>
        <w:sz w:val="22"/>
      </w:rPr>
      <w:t>Jednotná v rozmanitosti</w:t>
    </w:r>
    <w:r w:rsidRPr="003C060C">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752" w:rsidRPr="003C060C" w:rsidRDefault="00B54D08">
      <w:r w:rsidRPr="003C060C">
        <w:separator/>
      </w:r>
    </w:p>
  </w:footnote>
  <w:footnote w:type="continuationSeparator" w:id="0">
    <w:p w:rsidR="00645752" w:rsidRPr="003C060C" w:rsidRDefault="00B54D08">
      <w:r w:rsidRPr="003C06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AAC" w:rsidRDefault="00423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AAC" w:rsidRDefault="00423A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AAC" w:rsidRDefault="00423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2"/>
    <w:docVar w:name="AMPLURMNU" w:val=" 2"/>
    <w:docVar w:name="CJMNU" w:val="1"/>
    <w:docVar w:name="CODEMNU" w:val=" 1"/>
    <w:docVar w:name="COM2KEY" w:val="ECON"/>
    <w:docVar w:name="COMKEY" w:val="LIBE"/>
    <w:docVar w:name="CONTRIBUTIONMNU" w:val=" 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42495 HideTWBInt;}}{\*\rsidtbl \rsid24658\rsid223860\rsid735077\rsid1718133\rsid2892074\rsid3565327_x000d__x000a_\rsid4666813\rsid4941001\rsid6641733\rsid7342495\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LECUYER Katarzyna}{\operator LECUYER Katarzyna}{\creatim\yr2023\mo10\dy26\hr12\min37}{\revtim\yr2023\mo10\dy26\hr12\min3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424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941001 \chftnsep _x000d__x000a_\par }}{\*\ftnsepc \ltrpar \pard\plain \ltrpar\ql \li0\ri0\widctlpar\wrapdefault\aspalpha\aspnum\faauto\adjustright\rin0\lin0\itap0 \rtlch\fcs1 \af0\afs20\alang1025 \ltrch\fcs0 \fs24\lang2057\langfe2057\cgrid\langnp2057\langfenp2057 {\rtlch\fcs1 \af0 _x000d__x000a_\ltrch\fcs0 \insrsid4941001 \chftnsepc _x000d__x000a_\par }}{\*\aftnsep \ltrpar \pard\plain \ltrpar\ql \li0\ri0\widctlpar\wrapdefault\aspalpha\aspnum\faauto\adjustright\rin0\lin0\itap0 \rtlch\fcs1 \af0\afs20\alang1025 \ltrch\fcs0 \fs24\lang2057\langfe2057\cgrid\langnp2057\langfenp2057 {\rtlch\fcs1 \af0 _x000d__x000a_\ltrch\fcs0 \insrsid4941001 \chftnsep _x000d__x000a_\par }}{\*\aftnsepc \ltrpar \pard\plain \ltrpar\ql \li0\ri0\widctlpar\wrapdefault\aspalpha\aspnum\faauto\adjustright\rin0\lin0\itap0 \rtlch\fcs1 \af0\afs20\alang1025 \ltrch\fcs0 \fs24\lang2057\langfe2057\cgrid\langnp2057\langfenp2057 {\rtlch\fcs1 \af0 _x000d__x000a_\ltrch\fcs0 \insrsid49410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42495\charrsid1319100 {\*\bkmkstart ReplaceBookmark}#}{\rtlch\fcs1 \af1 \ltrch\fcs0 _x000d__x000a_\cs17\v\f1\fs20\cf15\insrsid7342495\charrsid1319100 &gt;&gt;&gt;CVAR@@AmendA}{\rtlch\fcs1 \af0 \ltrch\fcs0 \insrsid7342495\charrsid131910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6_x000d__x000a_b75f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57309 HideTWBExt;}{_x000d__x000a_\s18\ql \li0\ri0\sa120\nowidctlpar\wrapdefault\aspalpha\aspnum\faauto\adjustright\rin0\lin0\itap0 \rtlch\fcs1 \af0\afs20\alang1025 \ltrch\fcs0 \fs24\lang2057\langfe2057\cgrid\langnp2057\langfenp2057 \sbasedon0 \snext18 \spriority0 \styrsid15557309 _x000d__x000a_Normal6a;}{\s19\ql \li0\ri0\nowidctlpar\wrapdefault\aspalpha\aspnum\faauto\adjustright\rin0\lin0\itap0 \rtlch\fcs1 \af0\afs20\alang1025 \ltrch\fcs0 \b\fs24\lang2057\langfe2057\cgrid\langnp2057\langfenp2057 \sbasedon0 \snext19 \spriority0 \styrsid15557309 _x000d__x000a_NormalBold;}{\*\cs20 \additive \v\f1\fs20\cf15 \spriority0 \styrsid15557309 HideTWBInt;}{\s21\qr \li0\ri0\sb240\sa240\nowidctlpar\wrapdefault\aspalpha\aspnum\faauto\adjustright\rin0\lin0\itap0 \rtlch\fcs1 \af0\afs20\alang1025 \ltrch\fcs0 _x000d__x000a_\fs24\lang2057\langfe2057\cgrid\langnp2057\langfenp2057 \sbasedon0 \snext21 \spriority0 \styrsid15557309 AmOrLang;}{\s22\qc \li0\ri0\sa240\nowidctlpar\wrapdefault\aspalpha\aspnum\faauto\adjustright\rin0\lin0\itap0 \rtlch\fcs1 \af0\afs20\alang1025 _x000d__x000a_\ltrch\fcs0 \i\fs24\lang2057\langfe2057\cgrid\langnp2057\langfenp2057 \sbasedon0 \snext22 \spriority0 \styrsid15557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557309 AmNumberTabs;}{\s24\ql \li0\ri0\sb240\nowidctlpar\wrapdefault\aspalpha\aspnum\faauto\adjustright\rin0\lin0\itap0 \rtlch\fcs1 _x000d__x000a_\af0\afs20\alang1025 \ltrch\fcs0 \b\fs24\lang2057\langfe2057\cgrid\langnp2057\langfenp2057 \sbasedon0 \snext24 \spriority0 \styrsid15557309 NormalBold12b;}}{\*\rsidtbl \rsid24658\rsid223860\rsid735077\rsid1718133\rsid1986857\rsid2892074\rsid3565327_x000d__x000a_\rsid4666813\rsid6641733\rsid7823322\rsid9636012\rsid10377208\rsid11215221\rsid11549030\rsid12154954\rsid14382809\rsid14424199\rsid15204470\rsid15285974\rsid15557309\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5730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86857 \chftnsep _x000d__x000a_\par }}{\*\ftnsepc \ltrpar \pard\plain \ltrpar\ql \li0\ri0\widctlpar\wrapdefault\aspalpha\aspnum\faauto\adjustright\rin0\lin0\itap0 \rtlch\fcs1 \af0\afs20\alang1025 \ltrch\fcs0 \fs24\lang2057\langfe2057\cgrid\langnp2057\langfenp2057 {\rtlch\fcs1 \af0 _x000d__x000a_\ltrch\fcs0 \insrsid1986857 \chftnsepc _x000d__x000a_\par }}{\*\aftnsep \ltrpar \pard\plain \ltrpar\ql \li0\ri0\widctlpar\wrapdefault\aspalpha\aspnum\faauto\adjustright\rin0\lin0\itap0 \rtlch\fcs1 \af0\afs20\alang1025 \ltrch\fcs0 \fs24\lang2057\langfe2057\cgrid\langnp2057\langfenp2057 {\rtlch\fcs1 \af0 _x000d__x000a_\ltrch\fcs0 \insrsid1986857 \chftnsep _x000d__x000a_\par }}{\*\aftnsepc \ltrpar \pard\plain \ltrpar\ql \li0\ri0\widctlpar\wrapdefault\aspalpha\aspnum\faauto\adjustright\rin0\lin0\itap0 \rtlch\fcs1 \af0\afs20\alang1025 \ltrch\fcs0 \fs24\lang2057\langfe2057\cgrid\langnp2057\langfenp2057 {\rtlch\fcs1 \af0 _x000d__x000a_\ltrch\fcs0 \insrsid19868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557309 \rtlch\fcs1 _x000d__x000a_\af0\afs20\alang1025 \ltrch\fcs0 \b\fs24\lang2057\langfe2057\cgrid\langnp2057\langfenp2057 {\rtlch\fcs1 \af0 \ltrch\fcs0 \cs17\b0\v\fs20\cf9\lang1024\langfe1024\loch\af1\hich\af1\dbch\af31501\noproof\insrsid15557309\charrsid1319100 {\*\bkmkstart restartA}_x000d__x000a_\hich\af1\dbch\af31501\loch\f1 &lt;AmendA&gt;}{\rtlch\fcs1 \af0 \ltrch\fcs0 \insrsid15557309\charrsid1319100 Amendment\tab \tab }{\rtlch\fcs1 \af0 \ltrch\fcs0 _x000d__x000a_\cs17\b0\v\fs20\cf9\lang1024\langfe1024\loch\af1\hich\af1\dbch\af31501\noproof\insrsid15557309\charrsid1319100 \hich\af1\dbch\af31501\loch\f1 &lt;NumAmA&gt;}{\rtlch\fcs1 \af0 \ltrch\fcs0 \insrsid15557309\charrsid1319100 #}{\rtlch\fcs1 \af1 \ltrch\fcs0 _x000d__x000a_\cs20\v\f1\fs20\cf15\insrsid15557309\charrsid1319100 ENMIENDA@NRAM@}{\rtlch\fcs1 \af0 \ltrch\fcs0 \insrsid15557309\charrsid1319100 #}{\rtlch\fcs1 \af0 \ltrch\fcs0 _x000d__x000a_\cs17\b0\v\fs20\cf9\lang1024\langfe1024\loch\af1\hich\af1\dbch\af31501\noproof\insrsid15557309\charrsid1319100 \hich\af1\dbch\af31501\loch\f1 &lt;/NumAmA&gt;}{\rtlch\fcs1 \af0 \ltrch\fcs0 \insrsid15557309\charrsid1319100 _x000d__x000a_\par }\pard\plain \ltrpar\s24\ql \li0\ri0\sb240\keepn\nowidctlpar\wrapdefault\aspalpha\aspnum\faauto\adjustright\rin0\lin0\itap0\pararsid15557309 \rtlch\fcs1 \af0\afs20\alang1025 \ltrch\fcs0 \b\fs24\lang2057\langfe2057\cgrid\langnp2057\langfenp2057 {_x000d__x000a_\rtlch\fcs1 \af0 \ltrch\fcs0 \cs17\b0\v\fs20\cf9\lang1024\langfe1024\loch\af1\hich\af1\dbch\af31501\noproof\insrsid15557309\charrsid1319100 \hich\af1\dbch\af31501\loch\f1 &lt;DocAmend&gt;}{\rtlch\fcs1 \af0 \ltrch\fcs0 \insrsid15557309\charrsid1319100 _x000d__x000a_Draft legislative resolution}{\rtlch\fcs1 \af0 \ltrch\fcs0 \cs17\b0\v\fs20\cf9\lang1024\langfe1024\loch\af1\hich\af1\dbch\af31501\noproof\insrsid15557309\charrsid1319100 \hich\af1\dbch\af31501\loch\f1 &lt;/DocAmend&gt;}{\rtlch\fcs1 \af0 \ltrch\fcs0 _x000d__x000a_\insrsid15557309\charrsid1319100 _x000d__x000a_\par }\pard\plain \ltrpar\s19\ql \li0\ri0\nowidctlpar\wrapdefault\aspalpha\aspnum\faauto\adjustright\rin0\lin0\itap0\pararsid15557309 \rtlch\fcs1 \af0\afs20\alang1025 \ltrch\fcs0 \b\fs24\lang2057\langfe2057\cgrid\langnp2057\langfenp2057 {\rtlch\fcs1 \af0 _x000d__x000a_\ltrch\fcs0 \cs17\b0\v\fs20\cf9\lang1024\langfe1024\loch\af1\hich\af1\dbch\af31501\noproof\insrsid15557309\charrsid1319100 \hich\af1\dbch\af31501\loch\f1 &lt;Article&gt;}{\rtlch\fcs1 \af0 \ltrch\fcs0 \cf10\insrsid15557309\charrsid1319100 \u9668\'3f}{_x000d__x000a_\rtlch\fcs1 \af0 \ltrch\fcs0 \insrsid15557309\charrsid1319100 #}{\rtlch\fcs1 \af1 \ltrch\fcs0 \cs20\v\f1\fs20\cf15\insrsid15557309\charrsid1319100 TVTRESPART@RESPART@}{\rtlch\fcs1 \af0 \ltrch\fcs0 \insrsid15557309\charrsid1319100 #}{\rtlch\fcs1 \af0 _x000d__x000a_\ltrch\fcs0 \cf10\insrsid15557309\charrsid1319100 \u9658\'3f}{\rtlch\fcs1 \af0 \ltrch\fcs0 \cs17\b0\v\fs20\cf9\lang1024\langfe1024\loch\af1\hich\af1\dbch\af31501\noproof\insrsid15557309\charrsid1319100 \hich\af1\dbch\af31501\loch\f1 &lt;/Article&gt;}{_x000d__x000a_\rtlch\fcs1 \af0 \ltrch\fcs0 \insrsid15557309\charrsid131910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557309\charrsid1319100 Draft legislative resolution\cell Amendment\cell }\pard\plain \ltrpar_x000d__x000a_\ql \li0\ri0\widctlpar\intbl\wrapdefault\aspalpha\aspnum\faauto\adjustright\rin0\lin0 \rtlch\fcs1 \af0\afs20\alang1025 \ltrch\fcs0 \fs24\lang2057\langfe2057\cgrid\langnp2057\langfenp2057 {\rtlch\fcs1 \af0 \ltrch\fcs0 \insrsid15557309\charrsid131910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557309\charrsid1319100 ##\cell ##}{\rtlch\fcs1 \af0\afs24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557309 \rtlch\fcs1 \af0\afs20\alang1025 \ltrch\fcs0 \fs24\lang2057\langfe2057\cgrid\langnp2057\langfenp2057 {\rtlch\fcs1 \af0 \ltrch\fcs0 _x000d__x000a_\insrsid15557309\charrsid1319100 Or. }{\rtlch\fcs1 \af0 \ltrch\fcs0 \cs17\v\fs20\cf9\lang1024\langfe1024\loch\af1\hich\af1\dbch\af31501\noproof\insrsid15557309\charrsid1319100 \hich\af1\dbch\af31501\loch\f1 &lt;Original&gt;}{\rtlch\fcs1 \af0 \ltrch\fcs0 _x000d__x000a_\insrsid15557309\charrsid1319100 #}{\rtlch\fcs1 \af1 \ltrch\fcs0 \cs20\v\f1\fs20\cf15\insrsid15557309\charrsid1319100 MNU[OPTORLANG][ORLANGMORE]@CHOICE@AMPLURMNU}{\rtlch\fcs1 \af0 \ltrch\fcs0 \insrsid15557309\charrsid1319100 #}{\rtlch\fcs1 \af0 _x000d__x000a_\ltrch\fcs0 \cs17\v\fs20\cf9\lang1024\langfe1024\loch\af1\hich\af1\dbch\af31501\noproof\insrsid15557309\charrsid1319100 \hich\af1\dbch\af31501\loch\f1 &lt;/Original&gt;}{\rtlch\fcs1 \af0 \ltrch\fcs0 \insrsid15557309\charrsid1319100 _x000d__x000a_\par }\pard\plain \ltrpar\ql \li0\ri0\widctlpar\wrapdefault\aspalpha\aspnum\faauto\adjustright\rin0\lin0\itap0\pararsid15557309 \rtlch\fcs1 \af0\afs20\alang1025 \ltrch\fcs0 \fs24\lang2057\langfe2057\cgrid\langnp2057\langfenp2057 {\rtlch\fcs1 \af0 \ltrch\fcs0 _x000d__x000a_\cs17\v\fs20\cf9\lang1024\langfe1024\loch\af1\hich\af1\dbch\af31501\noproof\insrsid15557309\charrsid131910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6_x000d__x000a_e2cd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793137\rsid9636012\rsid10377208_x000d__x000a_\rsid11215221\rsid11549030\rsid12154954\rsid14382809\rsid14424199\rsid15089089\rsid15204470\rsid15285974\rsid15950462\rsid16324206\rsid16662270}{\mmathPr\mmathFont34\mbrkBin0\mbrkBinSub0\msmallFrac0\mdispDef1\mlMargin0\mrMargin0\mdefJc1\mwrapIndent1440_x000d__x000a_\mintLim0\mnaryLim1}{\info{\author LECUYER Katarzyna}{\operator LECUYER Katarzyna}{\creatim\yr2024\mo2\dy20\hr11\min24}{\revtim\yr2024\mo2\dy20\hr11\min2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931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5089089 \chftnsep _x000d__x000a_\par }}{\*\ftnsepc \ltrpar \pard\plain \ltrpar\ql \li0\ri0\widctlpar\wrapdefault\aspalpha\aspnum\faauto\adjustright\rin0\lin0\itap0 \rtlch\fcs1 \af0\afs20\alang1025 \ltrch\fcs0 \fs24\lang2057\langfe2057\cgrid\langnp2057\langfenp2057 {\rtlch\fcs1 \af0 _x000d__x000a_\ltrch\fcs0 \insrsid15089089 \chftnsepc _x000d__x000a_\par }}{\*\aftnsep \ltrpar \pard\plain \ltrpar\ql \li0\ri0\widctlpar\wrapdefault\aspalpha\aspnum\faauto\adjustright\rin0\lin0\itap0 \rtlch\fcs1 \af0\afs20\alang1025 \ltrch\fcs0 \fs24\lang2057\langfe2057\cgrid\langnp2057\langfenp2057 {\rtlch\fcs1 \af0 _x000d__x000a_\ltrch\fcs0 \insrsid15089089 \chftnsep _x000d__x000a_\par }}{\*\aftnsepc \ltrpar \pard\plain \ltrpar\ql \li0\ri0\widctlpar\wrapdefault\aspalpha\aspnum\faauto\adjustright\rin0\lin0\itap0 \rtlch\fcs1 \af0\afs20\alang1025 \ltrch\fcs0 \fs24\lang2057\langfe2057\cgrid\langnp2057\langfenp2057 {\rtlch\fcs1 \af0 _x000d__x000a_\ltrch\fcs0 \insrsid150890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8793137 _x000d__x000a_\rtlch\fcs1 \af0\afs20\alang1025 \ltrch\fcs0 \fs24\lang2057\langfe2057\cgrid\langnp2057\langfenp2057 {\rtlch\fcs1 \af0 \ltrch\fcs0 \insrsid8793137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1_x000d__x000a_3e06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93751 HideTWBExt;}{_x000d__x000a_\s18\ql \li0\ri0\sa120\nowidctlpar\wrapdefault\aspalpha\aspnum\faauto\adjustright\rin0\lin0\itap0 \rtlch\fcs1 \af0\afs20\alang1025 \ltrch\fcs0 \fs24\lang2057\langfe2057\cgrid\langnp2057\langfenp2057 \sbasedon0 \snext18 \spriority0 \styrsid10093751 _x000d__x000a_Normal6a;}{\s19\ql \li0\ri0\nowidctlpar\wrapdefault\aspalpha\aspnum\faauto\adjustright\rin0\lin0\itap0 \rtlch\fcs1 \af0\afs20\alang1025 \ltrch\fcs0 \b\fs24\lang2057\langfe2057\cgrid\langnp2057\langfenp2057 \sbasedon0 \snext19 \spriority0 \styrsid10093751 _x000d__x000a_NormalBold;}{\s20\ql \li0\ri0\sa240\nowidctlpar\wrapdefault\aspalpha\aspnum\faauto\adjustright\rin0\lin0\itap0 \rtlch\fcs1 \af0\afs20\alang1025 \ltrch\fcs0 \i\fs24\lang2057\langfe2057\cgrid\langnp2057\langfenp2057 _x000d__x000a_\sbasedon0 \snext20 \spriority0 \styrsid10093751 AmJustText;}{\s21\qc \li0\ri0\sb240\sa240\nowidctlpar\wrapdefault\aspalpha\aspnum\faauto\adjustright\rin0\lin0\itap0 \rtlch\fcs1 \af0\afs20\alang1025 \ltrch\fcs0 _x000d__x000a_\i\fs24\lang2057\langfe2057\cgrid\langnp2057\langfenp2057 \sbasedon0 \snext21 \spriority0 \styrsid10093751 AmCrossRef;}{\*\cs22 \additive \v\f1\fs20\cf15 \spriority0 \styrsid10093751 HideTWBInt;}{_x000d__x000a_\s23\qc \li0\ri0\sb240\sa240\keepn\nowidctlpar\wrapdefault\aspalpha\aspnum\faauto\adjustright\rin0\lin0\itap0 \rtlch\fcs1 \af0\afs20\alang1025 \ltrch\fcs0 \i\fs24\lang2057\langfe2057\cgrid\langnp2057\langfenp2057 _x000d__x000a_\sbasedon0 \snext20 \spriority0 \styrsid10093751 AmJustTitle;}{\s24\qr \li0\ri0\sb240\sa240\nowidctlpar\wrapdefault\aspalpha\aspnum\faauto\adjustright\rin0\lin0\itap0 \rtlch\fcs1 \af0\afs20\alang1025 \ltrch\fcs0 _x000d__x000a_\fs24\lang2057\langfe2057\cgrid\langnp2057\langfenp2057 \sbasedon0 \snext24 \spriority0 \styrsid10093751 AmOrLang;}{\s25\qc \li0\ri0\sa240\nowidctlpar\wrapdefault\aspalpha\aspnum\faauto\adjustright\rin0\lin0\itap0 \rtlch\fcs1 \af0\afs20\alang1025 _x000d__x000a_\ltrch\fcs0 \i\fs24\lang2057\langfe2057\cgrid\langnp2057\langfenp2057 \sbasedon0 \snext25 \spriority0 \styrsid1009375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93751 AmNumberTabs;}{\s27\ql \li0\ri0\sb240\nowidctlpar\wrapdefault\aspalpha\aspnum\faauto\adjustright\rin0\lin0\itap0 \rtlch\fcs1 _x000d__x000a_\af0\afs20\alang1025 \ltrch\fcs0 \b\fs24\lang2057\langfe2057\cgrid\langnp2057\langfenp2057 \sbasedon0 \snext27 \spriority0 \styrsid10093751 NormalBold12b;}}{\*\rsidtbl \rsid24658\rsid223860\rsid735077\rsid1718133\rsid2892074\rsid3565327\rsid4666813_x000d__x000a_\rsid6641733\rsid7823322\rsid9513161\rsid9636012\rsid10093751\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9375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9513161 \chftnsep _x000d__x000a_\par }}{\*\ftnsepc \ltrpar \pard\plain \ltrpar\ql \li0\ri0\widctlpar\wrapdefault\aspalpha\aspnum\faauto\adjustright\rin0\lin0\itap0 \rtlch\fcs1 \af0\afs20\alang1025 \ltrch\fcs0 \fs24\lang2057\langfe2057\cgrid\langnp2057\langfenp2057 {\rtlch\fcs1 \af0 _x000d__x000a_\ltrch\fcs0 \insrsid9513161 \chftnsepc _x000d__x000a_\par }}{\*\aftnsep \ltrpar \pard\plain \ltrpar\ql \li0\ri0\widctlpar\wrapdefault\aspalpha\aspnum\faauto\adjustright\rin0\lin0\itap0 \rtlch\fcs1 \af0\afs20\alang1025 \ltrch\fcs0 \fs24\lang2057\langfe2057\cgrid\langnp2057\langfenp2057 {\rtlch\fcs1 \af0 _x000d__x000a_\ltrch\fcs0 \insrsid9513161 \chftnsep _x000d__x000a_\par }}{\*\aftnsepc \ltrpar \pard\plain \ltrpar\ql \li0\ri0\widctlpar\wrapdefault\aspalpha\aspnum\faauto\adjustright\rin0\lin0\itap0 \rtlch\fcs1 \af0\afs20\alang1025 \ltrch\fcs0 \fs24\lang2057\langfe2057\cgrid\langnp2057\langfenp2057 {\rtlch\fcs1 \af0 _x000d__x000a_\ltrch\fcs0 \insrsid95131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93751 \rtlch\fcs1 _x000d__x000a_\af0\afs20\alang1025 \ltrch\fcs0 \b\fs24\lang2057\langfe2057\cgrid\langnp2057\langfenp2057 {\rtlch\fcs1 \af0 \ltrch\fcs0 \cs17\b0\v\fs20\cf9\lang1024\langfe1024\loch\af1\hich\af1\dbch\af31501\noproof\insrsid10093751\charrsid1319100 {\*\bkmkstart restartB}_x000d__x000a_\hich\af1\dbch\af31501\loch\f1 &lt;AmendB&gt;}{\rtlch\fcs1 \af0 \ltrch\fcs0 \insrsid10093751\charrsid1319100 Amendment\tab \tab }{\rtlch\fcs1 \af0 \ltrch\fcs0 _x000d__x000a_\cs17\b0\v\fs20\cf9\lang1024\langfe1024\loch\af1\hich\af1\dbch\af31501\noproof\insrsid10093751\charrsid1319100 \hich\af1\dbch\af31501\loch\f1 &lt;NumAmB&gt;}{\rtlch\fcs1 \af0 \ltrch\fcs0 \insrsid10093751\charrsid1319100 #}{\rtlch\fcs1 \af1 \ltrch\fcs0 _x000d__x000a_\cs22\v\f1\fs20\cf15\insrsid10093751\charrsid1319100 ENMIENDA@NRAM@}{\rtlch\fcs1 \af0 \ltrch\fcs0 \insrsid10093751\charrsid1319100 #}{\rtlch\fcs1 \af0 \ltrch\fcs0 _x000d__x000a_\cs17\b0\v\fs20\cf9\lang1024\langfe1024\loch\af1\hich\af1\dbch\af31501\noproof\insrsid10093751\charrsid1319100 \hich\af1\dbch\af31501\loch\f1 &lt;/NumAmB&gt;}{\rtlch\fcs1 \af0 \ltrch\fcs0 \insrsid10093751\charrsid1319100 _x000d__x000a_\par }\pard\plain \ltrpar\s27\ql \li0\ri0\sb240\keepn\nowidctlpar\wrapdefault\aspalpha\aspnum\faauto\adjustright\rin0\lin0\itap0\pararsid10093751 \rtlch\fcs1 \af0\afs20\alang1025 \ltrch\fcs0 \b\fs24\lang2057\langfe2057\cgrid\langnp2057\langfenp2057 {_x000d__x000a_\rtlch\fcs1 \af0 \ltrch\fcs0 \cs17\b0\v\fs20\cf9\lang1024\langfe1024\loch\af1\hich\af1\dbch\af31501\noproof\insrsid10093751\charrsid1319100 \hich\af1\dbch\af31501\loch\f1 &lt;DocAmend&gt;}{\rtlch\fcs1 \af0 \ltrch\fcs0 \insrsid10093751\charrsid1319100 #}{_x000d__x000a_\rtlch\fcs1 \af1 \ltrch\fcs0 \cs22\v\f1\fs20\cf15\insrsid10093751\charrsid1319100 MNU[OPTPROPOSALCOD][OPTPROPOSALCNS][OPTPROPOSALNLE][OPTPROPOSALINL]@CHOICE@CODEMNU}{\rtlch\fcs1 \af0 \ltrch\fcs0 \insrsid10093751\charrsid1319100 ##}{\rtlch\fcs1 \af1 _x000d__x000a_\ltrch\fcs0 \cs22\v\f1\fs20\cf15\insrsid10093751\charrsid1319100 MNU[AMACTYES][NOTAPP]@CHOICE@AMACTMNU}{\rtlch\fcs1 \af0 \ltrch\fcs0 \insrsid10093751\charrsid1319100 #}{\rtlch\fcs1 \af0 \ltrch\fcs0 _x000d__x000a_\cs17\b0\v\fs20\cf9\lang1024\langfe1024\loch\af1\hich\af1\dbch\af31501\noproof\insrsid10093751\charrsid1319100 \hich\af1\dbch\af31501\loch\f1 &lt;/DocAmend&gt;}{\rtlch\fcs1 \af0 \ltrch\fcs0 \insrsid10093751\charrsid1319100 _x000d__x000a_\par }\pard\plain \ltrpar\s19\ql \li0\ri0\keepn\nowidctlpar\wrapdefault\aspalpha\aspnum\faauto\adjustright\rin0\lin0\itap0\pararsid10093751 \rtlch\fcs1 \af0\afs20\alang1025 \ltrch\fcs0 \b\fs24\lang2057\langfe2057\cgrid\langnp2057\langfenp2057 {\rtlch\fcs1 _x000d__x000a_\af0 \ltrch\fcs0 \cs17\b0\v\fs20\cf9\lang1024\langfe1024\loch\af1\hich\af1\dbch\af31501\noproof\insrsid10093751\charrsid1319100 \hich\af1\dbch\af31501\loch\f1 &lt;Article&gt;}{\rtlch\fcs1 \af0 \ltrch\fcs0 \insrsid10093751\charrsid1319100 #}{\rtlch\fcs1 \af1 _x000d__x000a_\ltrch\fcs0 \cs22\v\f1\fs20\cf15\insrsid10093751\charrsid1319100 MNU[AMACTPARTYES][AMACTPARTNO]@CHOICE@AMACTMNU}{\rtlch\fcs1 \af0 \ltrch\fcs0 \insrsid10093751\charrsid1319100 #}{\rtlch\fcs1 \af0 \ltrch\fcs0 _x000d__x000a_\cs17\b0\v\fs20\cf9\lang1024\langfe1024\loch\af1\hich\af1\dbch\af31501\noproof\insrsid10093751\charrsid1319100 \hich\af1\dbch\af31501\loch\f1 &lt;/Article&gt;}{\rtlch\fcs1 \af0 \ltrch\fcs0 \insrsid10093751\charrsid1319100 _x000d__x000a_\par }\pard\plain \ltrpar\ql \li0\ri0\keepn\widctlpar\wrapdefault\aspalpha\aspnum\faauto\adjustright\rin0\lin0\itap0\pararsid10093751 \rtlch\fcs1 \af0\afs20\alang1025 \ltrch\fcs0 \fs24\lang2057\langfe2057\cgrid\langnp2057\langfenp2057 {\rtlch\fcs1 \af0 _x000d__x000a_\ltrch\fcs0 \cs17\v\fs20\cf9\lang1024\langfe1024\loch\af1\hich\af1\dbch\af31501\noproof\insrsid10093751\charrsid1319100 \hich\af1\dbch\af31501\loch\f1 &lt;DocAmend2&gt;&lt;OptDel&gt;}{\rtlch\fcs1 \af0 \ltrch\fcs0 \insrsid10093751\charrsid1319100 #}{\rtlch\fcs1 \af1 _x000d__x000a_\ltrch\fcs0 \cs22\v\f1\fs20\cf15\insrsid10093751\charrsid1319100 MNU[OPTNRACTYES][NOTAPP]@CHOICE@AMACTMNU}{\rtlch\fcs1 \af0 \ltrch\fcs0 \insrsid10093751\charrsid1319100 #}{\rtlch\fcs1 \af0 \ltrch\fcs0 _x000d__x000a_\cs17\v\fs20\cf9\lang1024\langfe1024\loch\af1\hich\af1\dbch\af31501\noproof\insrsid10093751\charrsid1319100 \hich\af1\dbch\af31501\loch\f1 &lt;/OptDel&gt;&lt;/DocAmend2&gt;}{\rtlch\fcs1 \af0 \ltrch\fcs0 \insrsid10093751\charrsid1319100 _x000d__x000a_\par }\pard \ltrpar\ql \li0\ri0\widctlpar\wrapdefault\aspalpha\aspnum\faauto\adjustright\rin0\lin0\itap0\pararsid10093751 {\rtlch\fcs1 \af0 \ltrch\fcs0 \cs17\v\fs20\cf9\lang1024\langfe1024\loch\af1\hich\af1\dbch\af31501\noproof\insrsid10093751\charrsid1319100 _x000d__x000a_\hich\af1\dbch\af31501\loch\f1 &lt;Article2&gt;&lt;OptDel&gt;}{\rtlch\fcs1 \af0 \ltrch\fcs0 \insrsid10093751\charrsid1319100 #}{\rtlch\fcs1 \af1 \ltrch\fcs0 \cs22\v\f1\fs20\cf15\insrsid10093751\charrsid1319100 MNU[OPTACTPARTYES][NOTAPP]@CHOICE@AMACTMNU}{\rtlch\fcs1 _x000d__x000a_\af0 \ltrch\fcs0 \insrsid10093751\charrsid1319100 #}{\rtlch\fcs1 \af0 \ltrch\fcs0 \cs17\v\fs20\cf9\lang1024\langfe1024\loch\af1\hich\af1\dbch\af31501\noproof\insrsid10093751\charrsid1319100 \hich\af1\dbch\af31501\loch\f1 &lt;/OptDel&gt;&lt;/Article2&gt;}{\rtlch\fcs1 _x000d__x000a_\af0 \ltrch\fcs0 \insrsid10093751\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093751\charrsid1319100 #}{\rtlch\fcs1 \af1 \ltrch\fcs0 \cs22\v\f1\fs20\cf15\insrsid10093751\charrsid1319100 MNU[OPTLEFTAMACT][LEFTPROP]@CHOICE@AMACTMNU}{\rtlch\fcs1 \af0 \ltrch\fcs0 \insrsid10093751\charrsid1319100 #\cell Amendment\cell _x000d__x000a_}\pard\plain \ltrpar\ql \li0\ri0\widctlpar\intbl\wrapdefault\aspalpha\aspnum\faauto\adjustright\rin0\lin0 \rtlch\fcs1 \af0\afs20\alang1025 \ltrch\fcs0 \fs24\lang2057\langfe2057\cgrid\langnp2057\langfenp2057 {\rtlch\fcs1 \af0 \ltrch\fcs0 _x000d__x000a_\insrsid10093751\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093751\charrsid1319100 ##\cell ##}{\rtlch\fcs1 \af0\afs24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93751 \rtlch\fcs1 \af0\afs20\alang1025 \ltrch\fcs0 \fs24\lang2057\langfe2057\cgrid\langnp2057\langfenp2057 {\rtlch\fcs1 \af0 \ltrch\fcs0 _x000d__x000a_\insrsid10093751\charrsid1319100 Or. }{\rtlch\fcs1 \af0 \ltrch\fcs0 \cs17\v\fs20\cf9\lang1024\langfe1024\loch\af1\hich\af1\dbch\af31501\noproof\insrsid10093751\charrsid1319100 \hich\af1\dbch\af31501\loch\f1 &lt;Original&gt;}{\rtlch\fcs1 \af0 \ltrch\fcs0 _x000d__x000a_\insrsid10093751\charrsid1319100 #}{\rtlch\fcs1 \af1 \ltrch\fcs0 \cs22\v\f1\fs20\cf15\insrsid10093751\charrsid1319100 MNU[OPTORLANG][ORLANGMORE]@CHOICE@AMPLURMNU}{\rtlch\fcs1 \af0 \ltrch\fcs0 \insrsid10093751\charrsid1319100 #}{\rtlch\fcs1 \af0 _x000d__x000a_\ltrch\fcs0 \cs17\v\fs20\cf9\lang1024\langfe1024\loch\af1\hich\af1\dbch\af31501\noproof\insrsid10093751\charrsid1319100 \hich\af1\dbch\af31501\loch\f1 &lt;/Original&gt;}{\rtlch\fcs1 \af0 \ltrch\fcs0 \insrsid10093751\charrsid1319100 _x000d__x000a_\par }\pard\plain \ltrpar\s21\qc \li0\ri0\sb240\sa240\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OptDel&gt;}{\rtlch\fcs1 \af0 \ltrch\fcs0 \insrsid10093751\charrsid1319100 #}{_x000d__x000a_\rtlch\fcs1 \af1 \ltrch\fcs0 \cs22\v\f1\fs20\cf15\insrsid10093751\charrsid1319100 MNU[CROSSREFNO][CROSSREFYES]@CHOICE@}{\rtlch\fcs1 \af0 \ltrch\fcs0 \insrsid10093751\charrsid1319100 #}{\rtlch\fcs1 \af0 \ltrch\fcs0 _x000d__x000a_\cs17\i0\v\fs20\cf9\lang1024\langfe1024\loch\af1\hich\af1\dbch\af31501\noproof\insrsid10093751\charrsid1319100 \hich\af1\dbch\af31501\loch\f1 &lt;/OptDel&gt;}{\rtlch\fcs1 \af0 \ltrch\fcs0 \insrsid10093751\charrsid1319100 _x000d__x000a_\par }\pard\plain \ltrpar\s23\qc \li0\ri0\sb240\sa240\keepn\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TitreJust&gt;}{\rtlch\fcs1 \af0 \ltrch\fcs0 \insrsid10093751\charrsid1319100 _x000d__x000a_Justification}{\rtlch\fcs1 \af0 \ltrch\fcs0 \cs17\i0\v\fs20\cf9\lang1024\langfe1024\loch\af1\hich\af1\dbch\af31501\noproof\insrsid10093751\charrsid1319100 \hich\af1\dbch\af31501\loch\f1 &lt;/TitreJust&gt;}{\rtlch\fcs1 \af0 \ltrch\fcs0 _x000d__x000a_\insrsid10093751\charrsid1319100 _x000d__x000a_\par }\pard\plain \ltrpar\s20\ql \li0\ri0\sa240\nowidctlpar\wrapdefault\aspalpha\aspnum\faauto\adjustright\rin0\lin0\itap0\pararsid10093751 \rtlch\fcs1 \af0\afs20\alang1025 \ltrch\fcs0 \i\fs24\lang2057\langfe2057\cgrid\langnp2057\langfenp2057 {\rtlch\fcs1 _x000d__x000a_\af0 \ltrch\fcs0 \cs17\i0\v\fs20\cf9\lang1024\langfe1024\loch\af1\hich\af1\dbch\af31501\noproof\insrsid10093751\charrsid1319100 \hich\af1\dbch\af31501\loch\f1 &lt;OptDelPrev&gt;}{\rtlch\fcs1 \af0 \ltrch\fcs0 \insrsid10093751\charrsid1319100 #}{\rtlch\fcs1 \af1 _x000d__x000a_\ltrch\fcs0 \cs22\v\f1\fs20\cf15\insrsid10093751\charrsid1319100 MNU[TEXTJUSTYES][TEXTJUSTNO]@CHOICE@}{\rtlch\fcs1 \af0 \ltrch\fcs0 \insrsid10093751\charrsid1319100 #}{\rtlch\fcs1 \af0 \ltrch\fcs0 _x000d__x000a_\cs17\i0\v\fs20\cf9\lang1024\langfe1024\loch\af1\hich\af1\dbch\af31501\noproof\insrsid10093751\charrsid1319100 \hich\af1\dbch\af31501\loch\f1 &lt;/OptDelPrev&gt;}{\rtlch\fcs1 \af0 \ltrch\fcs0 \insrsid10093751\charrsid1319100 _x000d__x000a_\par }\pard\plain \ltrpar\ql \li0\ri0\widctlpar\wrapdefault\aspalpha\aspnum\faauto\adjustright\rin0\lin0\itap0\pararsid10093751 \rtlch\fcs1 \af0\afs20\alang1025 \ltrch\fcs0 \fs24\lang2057\langfe2057\cgrid\langnp2057\langfenp2057 {\rtlch\fcs1 \af0 \ltrch\fcs0 _x000d__x000a_\cs17\v\fs20\cf9\lang1024\langfe1024\loch\af1\hich\af1\dbch\af31501\noproof\insrsid10093751\charrsid131910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4_x000d__x000a_f5ce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90004 HideTWBExt;}{_x000d__x000a_\s18\ql \li0\ri0\sa120\nowidctlpar\wrapdefault\aspalpha\aspnum\faauto\adjustright\rin0\lin0\itap0 \rtlch\fcs1 \af0\afs20\alang1025 \ltrch\fcs0 \fs24\lang2057\langfe2057\cgrid\langnp2057\langfenp2057 \sbasedon0 \snext18 \spriority0 \styrsid10890004 _x000d__x000a_Normal6a;}{\s19\ql \li0\ri0\nowidctlpar\wrapdefault\aspalpha\aspnum\faauto\adjustright\rin0\lin0\itap0 \rtlch\fcs1 \af0\afs20\alang1025 \ltrch\fcs0 \b\fs24\lang2057\langfe2057\cgrid\langnp2057\langfenp2057 \sbasedon0 \snext19 \spriority0 \styrsid10890004 _x000d__x000a_NormalBold;}{\s20\ql \li0\ri0\sa240\nowidctlpar\wrapdefault\aspalpha\aspnum\faauto\adjustright\rin0\lin0\itap0 \rtlch\fcs1 \af0\afs20\alang1025 \ltrch\fcs0 \i\fs24\lang2057\langfe2057\cgrid\langnp2057\langfenp2057 _x000d__x000a_\sbasedon0 \snext20 \spriority0 \styrsid10890004 AmJustText;}{\s21\qc \li0\ri0\sb240\sa240\nowidctlpar\wrapdefault\aspalpha\aspnum\faauto\adjustright\rin0\lin0\itap0 \rtlch\fcs1 \af0\afs20\alang1025 \ltrch\fcs0 _x000d__x000a_\i\fs24\lang2057\langfe2057\cgrid\langnp2057\langfenp2057 \sbasedon0 \snext21 \spriority0 \styrsid10890004 AmCrossRef;}{\*\cs22 \additive \v\f1\fs20\cf15 \spriority0 \styrsid10890004 HideTWBInt;}{_x000d__x000a_\s23\qc \li0\ri0\sb240\sa240\keepn\nowidctlpar\wrapdefault\aspalpha\aspnum\faauto\adjustright\rin0\lin0\itap0 \rtlch\fcs1 \af0\afs20\alang1025 \ltrch\fcs0 \i\fs24\lang2057\langfe2057\cgrid\langnp2057\langfenp2057 _x000d__x000a_\sbasedon0 \snext20 \spriority0 \styrsid10890004 AmJustTitle;}{\s24\qr \li0\ri0\sb240\sa240\nowidctlpar\wrapdefault\aspalpha\aspnum\faauto\adjustright\rin0\lin0\itap0 \rtlch\fcs1 \af0\afs20\alang1025 \ltrch\fcs0 _x000d__x000a_\fs24\lang2057\langfe2057\cgrid\langnp2057\langfenp2057 \sbasedon0 \snext24 \spriority0 \styrsid10890004 AmOrLang;}{\s25\qc \li0\ri0\sa240\nowidctlpar\wrapdefault\aspalpha\aspnum\faauto\adjustright\rin0\lin0\itap0 \rtlch\fcs1 \af0\afs20\alang1025 _x000d__x000a_\ltrch\fcs0 \i\fs24\lang2057\langfe2057\cgrid\langnp2057\langfenp2057 \sbasedon0 \snext25 \spriority0 \styrsid108900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890004 AmNumberTabs;}{\s27\ql \li0\ri0\sb240\nowidctlpar\wrapdefault\aspalpha\aspnum\faauto\adjustright\rin0\lin0\itap0 \rtlch\fcs1 _x000d__x000a_\af0\afs20\alang1025 \ltrch\fcs0 \b\fs24\lang2057\langfe2057\cgrid\langnp2057\langfenp2057 \sbasedon0 \snext27 \spriority0 \styrsid10890004 NormalBold12b;}}{\*\rsidtbl \rsid24658\rsid223860\rsid735077\rsid1718133\rsid2892074\rsid3565327\rsid4666813_x000d__x000a_\rsid6641733\rsid7823322\rsid9636012\rsid10377208\rsid10890004\rsid11095917\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7}{\revtim\yr2023\mo10\dy26\hr12\min3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9000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095917 \chftnsep _x000d__x000a_\par }}{\*\ftnsepc \ltrpar \pard\plain \ltrpar\ql \li0\ri0\widctlpar\wrapdefault\aspalpha\aspnum\faauto\adjustright\rin0\lin0\itap0 \rtlch\fcs1 \af0\afs20\alang1025 \ltrch\fcs0 \fs24\lang2057\langfe2057\cgrid\langnp2057\langfenp2057 {\rtlch\fcs1 \af0 _x000d__x000a_\ltrch\fcs0 \insrsid11095917 \chftnsepc _x000d__x000a_\par }}{\*\aftnsep \ltrpar \pard\plain \ltrpar\ql \li0\ri0\widctlpar\wrapdefault\aspalpha\aspnum\faauto\adjustright\rin0\lin0\itap0 \rtlch\fcs1 \af0\afs20\alang1025 \ltrch\fcs0 \fs24\lang2057\langfe2057\cgrid\langnp2057\langfenp2057 {\rtlch\fcs1 \af0 _x000d__x000a_\ltrch\fcs0 \insrsid11095917 \chftnsep _x000d__x000a_\par }}{\*\aftnsepc \ltrpar \pard\plain \ltrpar\ql \li0\ri0\widctlpar\wrapdefault\aspalpha\aspnum\faauto\adjustright\rin0\lin0\itap0 \rtlch\fcs1 \af0\afs20\alang1025 \ltrch\fcs0 \fs24\lang2057\langfe2057\cgrid\langnp2057\langfenp2057 {\rtlch\fcs1 \af0 _x000d__x000a_\ltrch\fcs0 \insrsid11095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90004 \rtlch\fcs1 _x000d__x000a_\af0\afs20\alang1025 \ltrch\fcs0 \b\fs24\lang2057\langfe2057\cgrid\langnp2057\langfenp2057 {\rtlch\fcs1 \af0 \ltrch\fcs0 \cs17\b0\v\fs20\cf9\lang1024\langfe1024\loch\af1\hich\af1\dbch\af31501\noproof\insrsid10890004\charrsid1319100 {\*\bkmkstart restart}_x000d__x000a_\hich\af1\dbch\af31501\loch\f1 &lt;}{\rtlch\fcs1 \af0 \ltrch\fcs0 \cs17\b0\v\fs20\cf9\lang1024\langfe1024\loch\af1\hich\af1\dbch\af31501\noproof\insrsid10890004 \hich\af1\dbch\af31501\loch\f1 Amend}{\rtlch\fcs1 \af0 \ltrch\fcs0 _x000d__x000a_\cs17\b0\v\fs20\cf9\lang1024\langfe1024\loch\af1\hich\af1\dbch\af31501\noproof\insrsid10890004\charrsid1319100 \hich\af1\dbch\af31501\loch\f1 &gt;}{\rtlch\fcs1 \af0 \ltrch\fcs0 \insrsid10890004\charrsid1319100 Amendment\tab \tab }{\rtlch\fcs1 \af0 _x000d__x000a_\ltrch\fcs0 \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rtlch\fcs1 \af1 \ltrch\fcs0 _x000d__x000a_\cs22\v\f1\fs20\cf15\insrsid10890004\charrsid1319100 ENMIENDA@NRAM@}{\rtlch\fcs1 \af0 \ltrch\fcs0 \insrsid10890004\charrsid1319100 #}{\rtlch\fcs1 \af0 \ltrch\fcs0 _x000d__x000a_\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_x000d__x000a_\par }\pard\plain \ltrpar\s27\ql \li0\ri0\sb240\keepn\nowidctlpar\wrapdefault\aspalpha\aspnum\faauto\adjustright\rin0\lin0\itap0\pararsid10890004 \rtlch\fcs1 \af0\afs20\alang1025 \ltrch\fcs0 \b\fs24\lang2057\langfe2057\cgrid\langnp2057\langfenp2057 {_x000d__x000a_\rtlch\fcs1 \af0 \ltrch\fcs0 \cs17\b0\v\fs20\cf9\lang1024\langfe1024\loch\af1\hich\af1\dbch\af31501\noproof\insrsid10890004\charrsid1319100 \hich\af1\dbch\af31501\loch\f1 &lt;DocAmend&gt;}{\rtlch\fcs1 \af0 \ltrch\fcs0 \insrsid10890004\charrsid1319100 #}{_x000d__x000a_\rtlch\fcs1 \af1 \ltrch\fcs0 \cs22\v\f1\fs20\cf15\insrsid10890004\charrsid1319100 MNU[OPTPROPOSALCOD][OPTPROPOSALCNS][OPTPROPOSALNLE][OPTPROPOSALINL]@CHOICE@CODEMNU}{\rtlch\fcs1 \af0 \ltrch\fcs0 \insrsid10890004\charrsid1319100 ##}{\rtlch\fcs1 \af1 _x000d__x000a_\ltrch\fcs0 \cs22\v\f1\fs20\cf15\insrsid10890004\charrsid1319100 MNU[AMACTYES][NOTAPP]@CHOICE@AMACTMNU}{\rtlch\fcs1 \af0 \ltrch\fcs0 \insrsid10890004\charrsid1319100 #}{\rtlch\fcs1 \af0 \ltrch\fcs0 _x000d__x000a_\cs17\b0\v\fs20\cf9\lang1024\langfe1024\loch\af1\hich\af1\dbch\af31501\noproof\insrsid10890004\charrsid1319100 \hich\af1\dbch\af31501\loch\f1 &lt;/DocAmend&gt;}{\rtlch\fcs1 \af0 \ltrch\fcs0 \insrsid10890004\charrsid1319100 _x000d__x000a_\par }\pard\plain \ltrpar\s19\ql \li0\ri0\keepn\nowidctlpar\wrapdefault\aspalpha\aspnum\faauto\adjustright\rin0\lin0\itap0\pararsid10890004 \rtlch\fcs1 \af0\afs20\alang1025 \ltrch\fcs0 \b\fs24\lang2057\langfe2057\cgrid\langnp2057\langfenp2057 {\rtlch\fcs1 _x000d__x000a_\af0 \ltrch\fcs0 \cs17\b0\v\fs20\cf9\lang1024\langfe1024\loch\af1\hich\af1\dbch\af31501\noproof\insrsid10890004\charrsid1319100 \hich\af1\dbch\af31501\loch\f1 &lt;Article&gt;}{\rtlch\fcs1 \af0 \ltrch\fcs0 \insrsid10890004\charrsid1319100 #}{\rtlch\fcs1 \af1 _x000d__x000a_\ltrch\fcs0 \cs22\v\f1\fs20\cf15\insrsid10890004\charrsid1319100 MNU[AMACTPARTYES][AMACTPARTNO]@CHOICE@AMACTMNU}{\rtlch\fcs1 \af0 \ltrch\fcs0 \insrsid10890004\charrsid1319100 #}{\rtlch\fcs1 \af0 \ltrch\fcs0 _x000d__x000a_\cs17\b0\v\fs20\cf9\lang1024\langfe1024\loch\af1\hich\af1\dbch\af31501\noproof\insrsid10890004\charrsid1319100 \hich\af1\dbch\af31501\loch\f1 &lt;/Article&gt;}{\rtlch\fcs1 \af0 \ltrch\fcs0 \insrsid10890004\charrsid1319100 _x000d__x000a_\par }\pard\plain \ltrpar\ql \li0\ri0\keepn\widctlpar\wrapdefault\aspalpha\aspnum\faauto\adjustright\rin0\lin0\itap0\pararsid10890004 \rtlch\fcs1 \af0\afs20\alang1025 \ltrch\fcs0 \fs24\lang2057\langfe2057\cgrid\langnp2057\langfenp2057 {\rtlch\fcs1 \af0 _x000d__x000a_\ltrch\fcs0 \cs17\v\fs20\cf9\lang1024\langfe1024\loch\af1\hich\af1\dbch\af31501\noproof\insrsid10890004\charrsid1319100 \hich\af1\dbch\af31501\loch\f1 &lt;DocAmend2&gt;&lt;OptDel&gt;}{\rtlch\fcs1 \af0 \ltrch\fcs0 \insrsid10890004\charrsid1319100 #}{\rtlch\fcs1 \af1 _x000d__x000a_\ltrch\fcs0 \cs22\v\f1\fs20\cf15\insrsid10890004\charrsid1319100 MNU[OPTNRACTYES][NOTAPP]@CHOICE@AMACTMNU}{\rtlch\fcs1 \af0 \ltrch\fcs0 \insrsid10890004\charrsid1319100 #}{\rtlch\fcs1 \af0 \ltrch\fcs0 _x000d__x000a_\cs17\v\fs20\cf9\lang1024\langfe1024\loch\af1\hich\af1\dbch\af31501\noproof\insrsid10890004\charrsid1319100 \hich\af1\dbch\af31501\loch\f1 &lt;/OptDel&gt;&lt;/DocAmend2&gt;}{\rtlch\fcs1 \af0 \ltrch\fcs0 \insrsid10890004\charrsid1319100 _x000d__x000a_\par }\pard \ltrpar\ql \li0\ri0\widctlpar\wrapdefault\aspalpha\aspnum\faauto\adjustright\rin0\lin0\itap0\pararsid10890004 {\rtlch\fcs1 \af0 \ltrch\fcs0 \cs17\v\fs20\cf9\lang1024\langfe1024\loch\af1\hich\af1\dbch\af31501\noproof\insrsid10890004\charrsid1319100 _x000d__x000a_\hich\af1\dbch\af31501\loch\f1 &lt;Article2&gt;&lt;OptDel&gt;}{\rtlch\fcs1 \af0 \ltrch\fcs0 \insrsid10890004\charrsid1319100 #}{\rtlch\fcs1 \af1 \ltrch\fcs0 \cs22\v\f1\fs20\cf15\insrsid10890004\charrsid1319100 MNU[OPTACTPARTYES][NOTAPP]@CHOICE@AMACTMNU}{\rtlch\fcs1 _x000d__x000a_\af0 \ltrch\fcs0 \insrsid10890004\charrsid1319100 #}{\rtlch\fcs1 \af0 \ltrch\fcs0 \cs17\v\fs20\cf9\lang1024\langfe1024\loch\af1\hich\af1\dbch\af31501\noproof\insrsid10890004\charrsid1319100 \hich\af1\dbch\af31501\loch\f1 &lt;/OptDel&gt;&lt;/Article2&gt;}{\rtlch\fcs1 _x000d__x000a_\af0 \ltrch\fcs0 \insrsid10890004\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890004\charrsid1319100 #}{\rtlch\fcs1 \af1 \ltrch\fcs0 \cs22\v\f1\fs20\cf15\insrsid10890004\charrsid1319100 MNU[OPTLEFTAMACT][LEFTPROP]@CHOICE@AMACTMNU}{\rtlch\fcs1 \af0 \ltrch\fcs0 \insrsid10890004\charrsid1319100 #\cell Amendment\cell _x000d__x000a_}\pard\plain \ltrpar\ql \li0\ri0\widctlpar\intbl\wrapdefault\aspalpha\aspnum\faauto\adjustright\rin0\lin0 \rtlch\fcs1 \af0\afs20\alang1025 \ltrch\fcs0 \fs24\lang2057\langfe2057\cgrid\langnp2057\langfenp2057 {\rtlch\fcs1 \af0 \ltrch\fcs0 _x000d__x000a_\insrsid10890004\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890004\charrsid1319100 ##\cell ##}{\rtlch\fcs1 \af0\afs24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890004 \rtlch\fcs1 \af0\afs20\alang1025 \ltrch\fcs0 \fs24\lang2057\langfe2057\cgrid\langnp2057\langfenp2057 {\rtlch\fcs1 \af0 \ltrch\fcs0 _x000d__x000a_\insrsid10890004\charrsid1319100 Or. }{\rtlch\fcs1 \af0 \ltrch\fcs0 \cs17\v\fs20\cf9\lang1024\langfe1024\loch\af1\hich\af1\dbch\af31501\noproof\insrsid10890004\charrsid1319100 \hich\af1\dbch\af31501\loch\f1 &lt;Original&gt;}{\rtlch\fcs1 \af0 \ltrch\fcs0 _x000d__x000a_\insrsid10890004\charrsid1319100 #}{\rtlch\fcs1 \af1 \ltrch\fcs0 \cs22\v\f1\fs20\cf15\insrsid10890004\charrsid1319100 MNU[OPTORLANG][ORLANGMORE]@CHOICE@AMPLURMNU}{\rtlch\fcs1 \af0 \ltrch\fcs0 \insrsid10890004\charrsid1319100 #}{\rtlch\fcs1 \af0 _x000d__x000a_\ltrch\fcs0 \cs17\v\fs20\cf9\lang1024\langfe1024\loch\af1\hich\af1\dbch\af31501\noproof\insrsid10890004\charrsid1319100 \hich\af1\dbch\af31501\loch\f1 &lt;/Original&gt;}{\rtlch\fcs1 \af0 \ltrch\fcs0 \insrsid10890004\charrsid1319100 _x000d__x000a_\par }\pard\plain \ltrpar\s21\qc \li0\ri0\sb240\sa240\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OptDel&gt;}{\rtlch\fcs1 \af0 \ltrch\fcs0 \insrsid10890004\charrsid1319100 #}{_x000d__x000a_\rtlch\fcs1 \af1 \ltrch\fcs0 \cs22\v\f1\fs20\cf15\insrsid10890004\charrsid1319100 MNU[CROSSREFNO][CROSSREFYES]@CHOICE@}{\rtlch\fcs1 \af0 \ltrch\fcs0 \insrsid10890004\charrsid1319100 #}{\rtlch\fcs1 \af0 \ltrch\fcs0 _x000d__x000a_\cs17\i0\v\fs20\cf9\lang1024\langfe1024\loch\af1\hich\af1\dbch\af31501\noproof\insrsid10890004\charrsid1319100 \hich\af1\dbch\af31501\loch\f1 &lt;/OptDel&gt;}{\rtlch\fcs1 \af0 \ltrch\fcs0 \insrsid10890004\charrsid1319100 _x000d__x000a_\par }\pard\plain \ltrpar\s23\qc \li0\ri0\sb240\sa240\keepn\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TitreJust&gt;}{\rtlch\fcs1 \af0 \ltrch\fcs0 \insrsid10890004\charrsid1319100 _x000d__x000a_Justification}{\rtlch\fcs1 \af0 \ltrch\fcs0 \cs17\i0\v\fs20\cf9\lang1024\langfe1024\loch\af1\hich\af1\dbch\af31501\noproof\insrsid10890004\charrsid1319100 \hich\af1\dbch\af31501\loch\f1 &lt;/TitreJust&gt;}{\rtlch\fcs1 \af0 \ltrch\fcs0 _x000d__x000a_\insrsid10890004\charrsid1319100 _x000d__x000a_\par }\pard\plain \ltrpar\s20\ql \li0\ri0\sa240\nowidctlpar\wrapdefault\aspalpha\aspnum\faauto\adjustright\rin0\lin0\itap0\pararsid10890004 \rtlch\fcs1 \af0\afs20\alang1025 \ltrch\fcs0 \i\fs24\lang2057\langfe2057\cgrid\langnp2057\langfenp2057 {\rtlch\fcs1 _x000d__x000a_\af0 \ltrch\fcs0 \cs17\i0\v\fs20\cf9\lang1024\langfe1024\loch\af1\hich\af1\dbch\af31501\noproof\insrsid10890004\charrsid1319100 \hich\af1\dbch\af31501\loch\f1 &lt;OptDelPrev&gt;}{\rtlch\fcs1 \af0 \ltrch\fcs0 \insrsid10890004\charrsid1319100 #}{\rtlch\fcs1 \af1 _x000d__x000a_\ltrch\fcs0 \cs22\v\f1\fs20\cf15\insrsid10890004\charrsid1319100 MNU[TEXTJUSTYES][TEXTJUSTNO]@CHOICE@}{\rtlch\fcs1 \af0 \ltrch\fcs0 \insrsid10890004\charrsid1319100 #}{\rtlch\fcs1 \af0 \ltrch\fcs0 _x000d__x000a_\cs17\i0\v\fs20\cf9\lang1024\langfe1024\loch\af1\hich\af1\dbch\af31501\noproof\insrsid10890004\charrsid1319100 \hich\af1\dbch\af31501\loch\f1 &lt;/OptDelPrev&gt;}{\rtlch\fcs1 \af0 \ltrch\fcs0 \insrsid10890004\charrsid1319100 _x000d__x000a_\par }\pard\plain \ltrpar\ql \li0\ri0\widctlpar\wrapdefault\aspalpha\aspnum\faauto\adjustright\rin0\lin0\itap0\pararsid10890004 \rtlch\fcs1 \af0\afs20\alang1025 \ltrch\fcs0 \fs24\lang2057\langfe2057\cgrid\langnp2057\langfenp2057 {\rtlch\fcs1 \af0 \ltrch\fcs0 _x000d__x000a_\cs17\v\fs20\cf9\lang1024\langfe1024\loch\af1\hich\af1\dbch\af31501\noproof\insrsid10890004\charrsid1319100 \hich\af1\dbch\af31501\loch\f1 &lt;/}{\rtlch\fcs1 \af0 \ltrch\fcs0 _x000d__x000a_\cs17\v\fs20\cf9\lang1024\langfe1024\loch\af1\hich\af1\dbch\af31501\noproof\insrsid10890004 \hich\af1\dbch\af31501\loch\f1 Amend}{\rtlch\fcs1 \af0 \ltrch\fcs0 _x000d__x000a_\cs17\v\fs20\cf9\lang1024\langfe1024\loch\af1\hich\af1\dbch\af31501\noproof\insrsid10890004\charrsid131910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8_x000d__x000a_f260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1957 HideTWBExt;}{_x000d__x000a_\s18\ql \li0\ri0\sa120\nowidctlpar\wrapdefault\aspalpha\aspnum\faauto\adjustright\rin0\lin0\itap0 \rtlch\fcs1 \af0\afs20\alang1025 \ltrch\fcs0 \fs24\lang2057\langfe2057\cgrid\langnp2057\langfenp2057 \sbasedon0 \snext18 \spriority0 \styrsid1591957 _x000d__x000a_Normal6a;}{\s19\ql \li0\ri0\nowidctlpar\wrapdefault\aspalpha\aspnum\faauto\adjustright\rin0\lin0\itap0 \rtlch\fcs1 \af0\afs20\alang1025 \ltrch\fcs0 \b\fs24\lang2057\langfe2057\cgrid\langnp2057\langfenp2057 \sbasedon0 \snext19 \spriority0 \styrsid1591957 _x000d__x000a_NormalBold;}{\s20\qc \li0\ri0\sa240\nowidctlpar\wrapdefault\aspalpha\aspnum\faauto\adjustright\rin0\lin0\itap0 \rtlch\fcs1 \af0\afs20\alang1025 \ltrch\fcs0 \i\fs24\lang2057\langfe2057\cgrid\langnp2057\langfenp2057 _x000d__x000a_\sbasedon0 \snext20 \spriority0 \styrsid159195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1957 AmNumberTabs;}{\s22\ql \li0\ri0\sb240\nowidctlpar\wrapdefault\aspalpha\aspnum\faauto\adjustright\rin0\lin0\itap0 \rtlch\fcs1 _x000d__x000a_\af0\afs20\alang1025 \ltrch\fcs0 \b\fs24\lang2057\langfe2057\cgrid\langnp2057\langfenp2057 \sbasedon0 \snext22 \spriority0 \styrsid1591957 NormalBold12b;}}{\*\rsidtbl \rsid24658\rsid223860\rsid735077\rsid1591957\rsid1718133\rsid2892074\rsid3565327_x000d__x000a_\rsid4666813\rsid6641733\rsid7823322\rsid9636012\rsid996794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195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9967942 \chftnsep _x000d__x000a_\par }}{\*\ftnsepc \ltrpar \pard\plain \ltrpar\ql \li0\ri0\widctlpar\wrapdefault\aspalpha\aspnum\faauto\adjustright\rin0\lin0\itap0 \rtlch\fcs1 \af0\afs20\alang1025 \ltrch\fcs0 \fs24\lang2057\langfe2057\cgrid\langnp2057\langfenp2057 {\rtlch\fcs1 \af0 _x000d__x000a_\ltrch\fcs0 \insrsid9967942 \chftnsepc _x000d__x000a_\par }}{\*\aftnsep \ltrpar \pard\plain \ltrpar\ql \li0\ri0\widctlpar\wrapdefault\aspalpha\aspnum\faauto\adjustright\rin0\lin0\itap0 \rtlch\fcs1 \af0\afs20\alang1025 \ltrch\fcs0 \fs24\lang2057\langfe2057\cgrid\langnp2057\langfenp2057 {\rtlch\fcs1 \af0 _x000d__x000a_\ltrch\fcs0 \insrsid9967942 \chftnsep _x000d__x000a_\par }}{\*\aftnsepc \ltrpar \pard\plain \ltrpar\ql \li0\ri0\widctlpar\wrapdefault\aspalpha\aspnum\faauto\adjustright\rin0\lin0\itap0 \rtlch\fcs1 \af0\afs20\alang1025 \ltrch\fcs0 \fs24\lang2057\langfe2057\cgrid\langnp2057\langfenp2057 {\rtlch\fcs1 \af0 _x000d__x000a_\ltrch\fcs0 \insrsid99679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91957 \rtlch\fcs1 _x000d__x000a_\af0\afs20\alang1025 \ltrch\fcs0 \b\fs24\lang2057\langfe2057\cgrid\langnp2057\langfenp2057 {\rtlch\fcs1 \af0 \ltrch\fcs0 \cs17\b0\v\fs20\cf9\lang1024\langfe1024\loch\af1\hich\af1\dbch\af31501\noproof\insrsid1591957\charrsid15879488 {\*\bkmkstart restartA}_x000d__x000a_\hich\af1\dbch\af31501\loch\f1 &lt;AmendA&gt;}{\rtlch\fcs1 \af0 \ltrch\fcs0 \insrsid1591957\charrsid15879488 [ZAMENDMENT]\tab \tab }{\rtlch\fcs1 \af0 \ltrch\fcs0 _x000d__x000a_\cs17\b0\v\fs20\cf9\lang1024\langfe1024\loch\af1\hich\af1\dbch\af31501\noproof\insrsid1591957\charrsid15879488 \hich\af1\dbch\af31501\loch\f1 &lt;NumAmA&gt;}{\rtlch\fcs1 \af0 \ltrch\fcs0 \insrsid1591957\charrsid15879488 [ZNRAM]}{\rtlch\fcs1 \af0 \ltrch\fcs0 _x000d__x000a_\cs17\b0\v\fs20\cf9\lang1024\langfe1024\loch\af1\hich\af1\dbch\af31501\noproof\insrsid1591957\charrsid15879488 \hich\af1\dbch\af31501\loch\f1 &lt;/NumAmA&gt;}{\rtlch\fcs1 \af0 \ltrch\fcs0 \insrsid1591957\charrsid15879488 _x000d__x000a_\par }\pard\plain \ltrpar\s22\ql \li0\ri0\sb240\keepn\nowidctlpar\wrapdefault\aspalpha\aspnum\faauto\adjustright\rin0\lin0\itap0\pararsid1591957 \rtlch\fcs1 \af0\afs20\alang1025 \ltrch\fcs0 \b\fs24\lang2057\langfe2057\cgrid\langnp2057\langfenp2057 {_x000d__x000a_\rtlch\fcs1 \af0 \ltrch\fcs0 \cs17\b0\v\fs20\cf9\lang1024\langfe1024\loch\af1\hich\af1\dbch\af31501\noproof\langnp1036\insrsid1591957\charrsid11356624 \hich\af1\dbch\af31501\loch\f1 &lt;DocAmend&gt;}{\rtlch\fcs1 \af0 \ltrch\fcs0 _x000d__x000a_\lang1036\langfe2057\langnp1036\insrsid1591957\charrsid11356624 [ZRESOLUTION]}{\rtlch\fcs1 \af0 \ltrch\fcs0 \cs17\b0\v\fs20\cf9\lang1024\langfe1024\loch\af1\hich\af1\dbch\af31501\noproof\langnp1036\insrsid1591957\charrsid11356624 _x000d__x000a_\hich\af1\dbch\af31501\loch\f1 &lt;/DocAmend&gt;}{\rtlch\fcs1 \af0 \ltrch\fcs0 \lang1036\langfe2057\langnp1036\insrsid1591957\charrsid11356624 _x000d__x000a_\par }\pard\plain \ltrpar\s19\ql \li0\ri0\nowidctlpar\wrapdefault\aspalpha\aspnum\faauto\adjustright\rin0\lin0\itap0\pararsid1591957 \rtlch\fcs1 \af0\afs20\alang1025 \ltrch\fcs0 \b\fs24\lang2057\langfe2057\cgrid\langnp2057\langfenp2057 {\rtlch\fcs1 \af0 _x000d__x000a_\ltrch\fcs0 \cs17\b0\v\fs20\cf9\lang1024\langfe1024\loch\af1\hich\af1\dbch\af31501\noproof\langnp1036\insrsid1591957\charrsid11356624 \hich\af1\dbch\af31501\loch\f1 &lt;Article&gt;}{\rtlch\fcs1 \af0 \ltrch\fcs0 _x000d__x000a_\lang1036\langfe2057\langnp1036\insrsid1591957\charrsid11356624 [ZRESPART]}{\rtlch\fcs1 \af0 \ltrch\fcs0 \cs17\b0\v\fs20\cf9\lang1024\langfe1024\loch\af1\hich\af1\dbch\af31501\noproof\langnp1036\insrsid1591957\charrsid11356624 _x000d__x000a_\hich\af1\dbch\af31501\loch\f1 &lt;/Article&gt;}{\rtlch\fcs1 \af0 \ltrch\fcs0 \lang1036\langfe2057\langnp1036\insrsid159195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1957\charrsid11356624 \cell }\pard \ltrpar_x000d__x000a_\ql \li0\ri0\widctlpar\intbl\wrapdefault\aspalpha\aspnum\faauto\adjustright\rin0\lin0 {\rtlch\fcs1 \af0 \ltrch\fcs0 \insrsid159195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91957\charrsid15879488 [ZLEFTA]\cell [ZRIGHT]\cell }\pard\plain \ltrpar\ql \li0\ri0\widctlpar\intbl\wrapdefault\aspalpha\aspnum\faauto\adjustright\rin0\lin0 _x000d__x000a_\rtlch\fcs1 \af0\afs20\alang1025 \ltrch\fcs0 \fs24\lang2057\langfe2057\cgrid\langnp2057\langfenp2057 {\rtlch\fcs1 \af0 \ltrch\fcs0 \insrsid159195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1957\charrsid15879488 [ZTEXTL]\cell [ZTEXTR]}{\rtlch\fcs1 \af0\afs24 \ltrch\fcs0 \insrsid1591957\charrsid15879488 \cell }\pard\plain \ltrpar\ql \li0\ri0\widctlpar\intbl\wrapdefault\aspalpha\aspnum\faauto\adjustright\rin0\lin0 \rtlch\fcs1 _x000d__x000a_\af0\afs20\alang1025 \ltrch\fcs0 \fs24\lang2057\langfe2057\cgrid\langnp2057\langfenp2057 {\rtlch\fcs1 \af0 \ltrch\fcs0 \insrsid159195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91957 {\rtlch\fcs1 \af0 \ltrch\fcs0 \cs17\v\fs20\cf9\lang1024\langfe1024\loch\af1\hich\af1\dbch\af31501\noproof\insrsid1591957\charrsid15879488 _x000d__x000a_\hich\af1\dbch\af31501\loch\f1 &lt;/AmendA&gt;}{\rtlch\fcs1 \af0 \ltrch\fcs0 \insrsid159195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e_x000d__x000a_c60b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78131 HideTWBExt;}{_x000d__x000a_\s18\ql \li0\ri0\sa120\nowidctlpar\wrapdefault\aspalpha\aspnum\faauto\adjustright\rin0\lin0\itap0 \rtlch\fcs1 \af0\afs20\alang1025 \ltrch\fcs0 \fs24\lang2057\langfe2057\cgrid\langnp2057\langfenp2057 \sbasedon0 \snext18 \spriority0 \styrsid13578131 _x000d__x000a_Normal6a;}{\s19\ql \li0\ri0\nowidctlpar\wrapdefault\aspalpha\aspnum\faauto\adjustright\rin0\lin0\itap0 \rtlch\fcs1 \af0\afs20\alang1025 \ltrch\fcs0 \b\fs24\lang2057\langfe2057\cgrid\langnp2057\langfenp2057 \sbasedon0 \snext19 \spriority0 \styrsid13578131 _x000d__x000a_NormalBold;}{\s20\ql \li0\ri0\sa240\nowidctlpar\wrapdefault\aspalpha\aspnum\faauto\adjustright\rin0\lin0\itap0 \rtlch\fcs1 \af0\afs20\alang1025 \ltrch\fcs0 \i\fs24\lang2057\langfe2057\cgrid\langnp2057\langfenp2057 _x000d__x000a_\sbasedon0 \snext20 \spriority0 \styrsid13578131 AmJustText;}{\s21\qc \li0\ri0\sb240\sa240\nowidctlpar\wrapdefault\aspalpha\aspnum\faauto\adjustright\rin0\lin0\itap0 \rtlch\fcs1 \af0\afs20\alang1025 \ltrch\fcs0 _x000d__x000a_\i\fs24\lang2057\langfe2057\cgrid\langnp2057\langfenp2057 \sbasedon0 \snext21 \spriority0 \styrsid13578131 AmCrossRef;}{\s22\qc \li0\ri0\sb240\sa240\keepn\nowidctlpar\wrapdefault\aspalpha\aspnum\faauto\adjustright\rin0\lin0\itap0 \rtlch\fcs1 _x000d__x000a_\af0\afs20\alang1025 \ltrch\fcs0 \i\fs24\lang2057\langfe2057\cgrid\langnp2057\langfenp2057 \sbasedon0 \snext20 \spriority0 \styrsid13578131 AmJustTitle;}{\s23\qc \li0\ri0\sa240\nowidctlpar\wrapdefault\aspalpha\aspnum\faauto\adjustright\rin0\lin0\itap0 _x000d__x000a_\rtlch\fcs1 \af0\afs20\alang1025 \ltrch\fcs0 \i\fs24\lang2057\langfe2057\cgrid\langnp2057\langfenp2057 \sbasedon0 \snext23 \spriority0 \styrsid135781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578131 AmNumberTabs;}{\s25\ql \li0\ri0\sb240\nowidctlpar\wrapdefault\aspalpha\aspnum\faauto\adjustright\rin0\lin0\itap0 \rtlch\fcs1 _x000d__x000a_\af0\afs20\alang1025 \ltrch\fcs0 \b\fs24\lang2057\langfe2057\cgrid\langnp2057\langfenp2057 \sbasedon0 \snext25 \spriority0 \styrsid13578131 NormalBold12b;}}{\*\rsidtbl \rsid24658\rsid223860\rsid735077\rsid1718133\rsid2892074\rsid3565327\rsid4666813_x000d__x000a_\rsid6641733\rsid7823322\rsid8012949\rsid9636012\rsid10377208\rsid11215221\rsid11549030\rsid12154954\rsid13578131\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57}{\nofchars315}{\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7813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8012949 \chftnsep _x000d__x000a_\par }}{\*\ftnsepc \ltrpar \pard\plain \ltrpar\ql \li0\ri0\widctlpar\wrapdefault\aspalpha\aspnum\faauto\adjustright\rin0\lin0\itap0 \rtlch\fcs1 \af0\afs20\alang1025 \ltrch\fcs0 \fs24\lang2057\langfe2057\cgrid\langnp2057\langfenp2057 {\rtlch\fcs1 \af0 _x000d__x000a_\ltrch\fcs0 \insrsid8012949 \chftnsepc _x000d__x000a_\par }}{\*\aftnsep \ltrpar \pard\plain \ltrpar\ql \li0\ri0\widctlpar\wrapdefault\aspalpha\aspnum\faauto\adjustright\rin0\lin0\itap0 \rtlch\fcs1 \af0\afs20\alang1025 \ltrch\fcs0 \fs24\lang2057\langfe2057\cgrid\langnp2057\langfenp2057 {\rtlch\fcs1 \af0 _x000d__x000a_\ltrch\fcs0 \insrsid8012949 \chftnsep _x000d__x000a_\par }}{\*\aftnsepc \ltrpar \pard\plain \ltrpar\ql \li0\ri0\widctlpar\wrapdefault\aspalpha\aspnum\faauto\adjustright\rin0\lin0\itap0 \rtlch\fcs1 \af0\afs20\alang1025 \ltrch\fcs0 \fs24\lang2057\langfe2057\cgrid\langnp2057\langfenp2057 {\rtlch\fcs1 \af0 _x000d__x000a_\ltrch\fcs0 \insrsid8012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578131 \rtlch\fcs1 _x000d__x000a_\af0\afs20\alang1025 \ltrch\fcs0 \b\fs24\lang2057\langfe2057\cgrid\langnp2057\langfenp2057 {\rtlch\fcs1 \af0 \ltrch\fcs0 \cs17\b0\v\fs20\cf9\lang1024\langfe1024\loch\af1\hich\af1\dbch\af31501\noproof\insrsid13578131\charrsid15879488 {\*\bkmkstart restartB_x000d__x000a_}\hich\af1\dbch\af31501\loch\f1 &lt;AmendB&gt;}{\rtlch\fcs1 \af0 \ltrch\fcs0 \insrsid13578131\charrsid15879488 [ZAMENDMENT]\tab \tab }{\rtlch\fcs1 \af0 \ltrch\fcs0 _x000d__x000a_\cs17\b0\v\fs20\cf9\lang1024\langfe1024\loch\af1\hich\af1\dbch\af31501\noproof\insrsid13578131\charrsid15879488 \hich\af1\dbch\af31501\loch\f1 &lt;NumAmB&gt;}{\rtlch\fcs1 \af0 \ltrch\fcs0 \insrsid13578131\charrsid15879488 [ZNRAM]}{\rtlch\fcs1 \af0 \ltrch\fcs0 _x000d__x000a_\cs17\b0\v\fs20\cf9\lang1024\langfe1024\loch\af1\hich\af1\dbch\af31501\noproof\insrsid13578131\charrsid15879488 \hich\af1\dbch\af31501\loch\f1 &lt;/NumAmB&gt;}{\rtlch\fcs1 \af0 \ltrch\fcs0 \insrsid13578131\charrsid15879488 _x000d__x000a_\par }\pard\plain \ltrpar\s25\ql \li0\ri0\sb240\keepn\nowidctlpar\wrapdefault\aspalpha\aspnum\faauto\adjustright\rin0\lin0\itap0\pararsid13578131 \rtlch\fcs1 \af0\afs20\alang1025 \ltrch\fcs0 \b\fs24\lang2057\langfe2057\cgrid\langnp2057\langfenp2057 {_x000d__x000a_\rtlch\fcs1 \af0 \ltrch\fcs0 \cs17\b0\v\fs20\cf9\lang1024\langfe1024\loch\af1\hich\af1\dbch\af31501\noproof\insrsid13578131\charrsid15879488 \hich\af1\dbch\af31501\loch\f1 &lt;DocAmend&gt;}{\rtlch\fcs1 \af0 \ltrch\fcs0 \insrsid13578131\charrsid15879488 _x000d__x000a_[ZPROPOSAL][ZAMACT]}{\rtlch\fcs1 \af0 \ltrch\fcs0 \cs17\b0\v\fs20\cf9\lang1024\langfe1024\loch\af1\hich\af1\dbch\af31501\noproof\insrsid13578131\charrsid15879488 \hich\af1\dbch\af31501\loch\f1 &lt;/DocAmend&gt;}{\rtlch\fcs1 \af0 \ltrch\fcs0 _x000d__x000a_\insrsid13578131\charrsid15879488 _x000d__x000a_\par }\pard\plain \ltrpar\s19\ql \li0\ri0\keepn\nowidctlpar\wrapdefault\aspalpha\aspnum\faauto\adjustright\rin0\lin0\itap0\pararsid13578131 \rtlch\fcs1 \af0\afs20\alang1025 \ltrch\fcs0 \b\fs24\lang2057\langfe2057\cgrid\langnp2057\langfenp2057 {\rtlch\fcs1 _x000d__x000a_\af0 \ltrch\fcs0 \cs17\b0\v\fs20\cf9\lang1024\langfe1024\loch\af1\hich\af1\dbch\af31501\noproof\insrsid13578131\charrsid15879488 \hich\af1\dbch\af31501\loch\f1 &lt;Article&gt;}{\rtlch\fcs1 \af0 \ltrch\fcs0 \insrsid13578131\charrsid15879488 [ZAMPART]}{_x000d__x000a_\rtlch\fcs1 \af0 \ltrch\fcs0 \cs17\b0\v\fs20\cf9\lang1024\langfe1024\loch\af1\hich\af1\dbch\af31501\noproof\insrsid13578131\charrsid15879488 \hich\af1\dbch\af31501\loch\f1 &lt;/Article&gt;}{\rtlch\fcs1 \af0 \ltrch\fcs0 \insrsid13578131\charrsid15879488 _x000d__x000a_\par }\pard\plain \ltrpar\ql \li0\ri0\keepn\widctlpar\wrapdefault\aspalpha\aspnum\faauto\adjustright\rin0\lin0\itap0\pararsid13578131 \rtlch\fcs1 \af0\afs20\alang1025 \ltrch\fcs0 \fs24\lang2057\langfe2057\cgrid\langnp2057\langfenp2057 {\rtlch\fcs1 \af0 _x000d__x000a_\ltrch\fcs0 \cs17\v\fs20\cf9\lang1024\langfe1024\loch\af1\hich\af1\dbch\af31501\noproof\insrsid13578131\charrsid15879488 \hich\af1\dbch\af31501\loch\f1 &lt;DocAmend2&gt;&lt;OptDel&gt;}{\rtlch\fcs1 \af0 \ltrch\fcs0 \insrsid13578131\charrsid15879488 [ZNRACT]}{_x000d__x000a_\rtlch\fcs1 \af0 \ltrch\fcs0 \cs17\v\fs20\cf9\lang1024\langfe1024\loch\af1\hich\af1\dbch\af31501\noproof\insrsid13578131\charrsid15879488 \hich\af1\dbch\af31501\loch\f1 &lt;/OptDel&gt;&lt;/DocAmend2&gt;}{\rtlch\fcs1 \af0 \ltrch\fcs0 \insrsid13578131\charrsid15879488 _x000d__x000a__x000d__x000a_\par }\pard \ltrpar\ql \li0\ri0\widctlpar\wrapdefault\aspalpha\aspnum\faauto\adjustright\rin0\lin0\itap0\pararsid13578131 {\rtlch\fcs1 \af0 \ltrch\fcs0 _x000d__x000a_\cs17\v\fs20\cf9\lang1024\langfe1024\loch\af1\hich\af1\dbch\af31501\noproof\langnp1036\insrsid13578131\charrsid11356624 \hich\af1\dbch\af31501\loch\f1 &lt;Article2&gt;&lt;OptDel&gt;}{\rtlch\fcs1 \af0 \ltrch\fcs0 _x000d__x000a_\lang1036\langfe2057\langnp1036\insrsid13578131\charrsid11356624 [ZACTPART]}{\rtlch\fcs1 \af0 \ltrch\fcs0 \cs17\v\fs20\cf9\lang1024\langfe1024\loch\af1\hich\af1\dbch\af31501\noproof\langnp1036\insrsid13578131\charrsid11356624 _x000d__x000a_\hich\af1\dbch\af31501\loch\f1 &lt;/OptDel&gt;&lt;/Article2&gt;}{\rtlch\fcs1 \af0 \ltrch\fcs0 \lang1036\langfe2057\langnp1036\insrsid1357813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578131\charrsid11356624 \cell }\pard \ltrpar\ql \li0\ri0\widctlpar\intbl\wrapdefault\aspalpha\aspnum\faauto\adjustright\rin0\lin0 {\rtlch\fcs1 \af0 \ltrch\fcs0 \insrsid1357813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578131\charrsid15879488 [ZLEFTB]\cell [ZRIGHT]\cell }\pard\plain \ltrpar\ql \li0\ri0\widctlpar\intbl\wrapdefault\aspalpha\aspnum\faauto\adjustright\rin0\lin0 \rtlch\fcs1 \af0\afs20\alang1025 \ltrch\fcs0 _x000d__x000a_\fs24\lang2057\langfe2057\cgrid\langnp2057\langfenp2057 {\rtlch\fcs1 \af0 \ltrch\fcs0 \insrsid1357813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578131\charrsid15879488 [ZTEXTL]\cell [ZTEXTR]}{\rtlch\fcs1 \af0\afs24 \ltrch\fcs0 \insrsid13578131\charrsid15879488 \cell }\pard\plain \ltrpar\ql \li0\ri0\widctlpar\intbl\wrapdefault\aspalpha\aspnum\faauto\adjustright\rin0\lin0 \rtlch\fcs1 _x000d__x000a_\af0\afs20\alang1025 \ltrch\fcs0 \fs24\lang2057\langfe2057\cgrid\langnp2057\langfenp2057 {\rtlch\fcs1 \af0 \ltrch\fcs0 \insrsid1357813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578131 \rtlch\fcs1 \af0\afs20\alang1025 \ltrch\fcs0 \i\fs24\lang2057\langfe2057\cgrid\langnp2057\langfenp2057 {\rtlch\fcs1 \af0 \ltrch\fcs0 _x000d__x000a_\cs17\i0\v\fs20\cf9\lang1024\langfe1024\loch\af1\hich\af1\dbch\af31501\noproof\insrsid13578131\charrsid15879488 \hich\af1\dbch\af31501\loch\f1 &lt;OptDel&gt;}{\rtlch\fcs1 \af0 \ltrch\fcs0 \insrsid13578131\charrsid15879488 [ZCROSSREF]}{\rtlch\fcs1 \af0 _x000d__x000a_\ltrch\fcs0 \cs17\i0\v\fs20\cf9\lang1024\langfe1024\loch\af1\hich\af1\dbch\af31501\noproof\insrsid13578131\charrsid15879488 \hich\af1\dbch\af31501\loch\f1 &lt;/OptDel&gt;}{\rtlch\fcs1 \af0 \ltrch\fcs0 \insrsid13578131\charrsid15879488 _x000d__x000a_\par }\pard\plain \ltrpar\s22\qc \li0\ri0\sb240\sa240\keepn\nowidctlpar\wrapdefault\aspalpha\aspnum\faauto\adjustright\rin0\lin0\itap0\pararsid13578131 \rtlch\fcs1 \af0\afs20\alang1025 \ltrch\fcs0 \i\fs24\lang2057\langfe2057\cgrid\langnp2057\langfenp2057 {_x000d__x000a_\rtlch\fcs1 \af0 \ltrch\fcs0 \cs17\i0\v\fs20\cf9\lang1024\langfe1024\loch\af1\hich\af1\dbch\af31501\noproof\insrsid13578131\charrsid15879488 \hich\af1\dbch\af31501\loch\f1 &lt;TitreJust&gt;}{\rtlch\fcs1 \af0 \ltrch\fcs0 \insrsid13578131\charrsid15879488 _x000d__x000a_[ZJUSTIFICATION]}{\rtlch\fcs1 \af0 \ltrch\fcs0 \cs17\i0\v\fs20\cf9\lang1024\langfe1024\loch\af1\hich\af1\dbch\af31501\noproof\insrsid13578131\charrsid15879488 \hich\af1\dbch\af31501\loch\f1 &lt;/TitreJust&gt;}{\rtlch\fcs1 \af0 \ltrch\fcs0 _x000d__x000a_\insrsid13578131\charrsid15879488 _x000d__x000a_\par }\pard\plain \ltrpar\s20\ql \li0\ri0\sa240\nowidctlpar\wrapdefault\aspalpha\aspnum\faauto\adjustright\rin0\lin0\itap0\pararsid13578131 \rtlch\fcs1 \af0\afs20\alang1025 \ltrch\fcs0 \i\fs24\lang2057\langfe2057\cgrid\langnp2057\langfenp2057 {\rtlch\fcs1 _x000d__x000a_\af0 \ltrch\fcs0 \cs17\i0\v\fs20\cf9\lang1024\langfe1024\loch\af1\hich\af1\dbch\af31501\noproof\insrsid13578131\charrsid15879488 \hich\af1\dbch\af31501\loch\f1 &lt;OptDelPrev&gt;}{\rtlch\fcs1 \af0 \ltrch\fcs0 \insrsid13578131\charrsid15879488 [ZTEXTJUST]}{_x000d__x000a_\rtlch\fcs1 \af0 \ltrch\fcs0 \cs17\i0\v\fs20\cf9\lang1024\langfe1024\loch\af1\hich\af1\dbch\af31501\noproof\insrsid13578131\charrsid15879488 \hich\af1\dbch\af31501\loch\f1 &lt;/OptDelPrev&gt;}{\rtlch\fcs1 \af0 \ltrch\fcs0 \insrsid13578131\charrsid15879488 _x000d__x000a__x000d__x000a_\par }\pard\plain \ltrpar\ql \li0\ri0\widctlpar\wrapdefault\aspalpha\aspnum\faauto\adjustright\rin0\lin0\itap0\pararsid13578131 \rtlch\fcs1 \af0\afs20\alang1025 \ltrch\fcs0 \fs24\lang2057\langfe2057\cgrid\langnp2057\langfenp2057 {\rtlch\fcs1 \af0 \ltrch\fcs0 _x000d__x000a_\cs17\v\fs20\cf9\lang1024\langfe1024\loch\af1\hich\af1\dbch\af31501\noproof\insrsid13578131\charrsid15879488 \hich\af1\dbch\af31501\loch\f1 &lt;/AmendB&gt;}{\rtlch\fcs1 \af0 \ltrch\fcs0 \insrsid135781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2_x000d__x000a_690e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2516 HideTWBExt;}{_x000d__x000a_\s18\ql \li0\ri0\sa120\nowidctlpar\wrapdefault\aspalpha\aspnum\faauto\adjustright\rin0\lin0\itap0 \rtlch\fcs1 \af0\afs20\alang1025 \ltrch\fcs0 \fs24\lang2057\langfe2057\cgrid\langnp2057\langfenp2057 \sbasedon0 \snext18 \spriority0 \styrsid9052516 _x000d__x000a_Normal6a;}{\s19\ql \li0\ri0\nowidctlpar\wrapdefault\aspalpha\aspnum\faauto\adjustright\rin0\lin0\itap0 \rtlch\fcs1 \af0\afs20\alang1025 \ltrch\fcs0 \b\fs24\lang2057\langfe2057\cgrid\langnp2057\langfenp2057 \sbasedon0 \snext19 \spriority0 \styrsid9052516 _x000d__x000a_NormalBold;}{\s20\ql \li0\ri0\sa240\nowidctlpar\wrapdefault\aspalpha\aspnum\faauto\adjustright\rin0\lin0\itap0 \rtlch\fcs1 \af0\afs20\alang1025 \ltrch\fcs0 \i\fs24\lang2057\langfe2057\cgrid\langnp2057\langfenp2057 _x000d__x000a_\sbasedon0 \snext20 \spriority0 \styrsid9052516 AmJustText;}{\s21\qc \li0\ri0\sb240\sa240\nowidctlpar\wrapdefault\aspalpha\aspnum\faauto\adjustright\rin0\lin0\itap0 \rtlch\fcs1 \af0\afs20\alang1025 \ltrch\fcs0 _x000d__x000a_\i\fs24\lang2057\langfe2057\cgrid\langnp2057\langfenp2057 \sbasedon0 \snext21 \spriority0 \styrsid9052516 AmCrossRef;}{\s22\qc \li0\ri0\sb240\sa240\keepn\nowidctlpar\wrapdefault\aspalpha\aspnum\faauto\adjustright\rin0\lin0\itap0 \rtlch\fcs1 _x000d__x000a_\af0\afs20\alang1025 \ltrch\fcs0 \i\fs24\lang2057\langfe2057\cgrid\langnp2057\langfenp2057 \sbasedon0 \snext20 \spriority0 \styrsid9052516 AmJustTitle;}{\s23\qc \li0\ri0\sa240\nowidctlpar\wrapdefault\aspalpha\aspnum\faauto\adjustright\rin0\lin0\itap0 _x000d__x000a_\rtlch\fcs1 \af0\afs20\alang1025 \ltrch\fcs0 \i\fs24\lang2057\langfe2057\cgrid\langnp2057\langfenp2057 \sbasedon0 \snext23 \spriority0 \styrsid90525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052516 AmNumberTabs;}{\s25\ql \li0\ri0\sb240\nowidctlpar\wrapdefault\aspalpha\aspnum\faauto\adjustright\rin0\lin0\itap0 \rtlch\fcs1 _x000d__x000a_\af0\afs20\alang1025 \ltrch\fcs0 \b\fs24\lang2057\langfe2057\cgrid\langnp2057\langfenp2057 \sbasedon0 \snext25 \spriority0 \styrsid9052516 NormalBold12b;}}{\*\rsidtbl \rsid24658\rsid223860\rsid487545\rsid735077\rsid1718133\rsid2892074\rsid3565327_x000d__x000a_\rsid4666813\rsid6641733\rsid7823322\rsid9052516\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57}{\nofchars315}{\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51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87545 \chftnsep _x000d__x000a_\par }}{\*\ftnsepc \ltrpar \pard\plain \ltrpar\ql \li0\ri0\widctlpar\wrapdefault\aspalpha\aspnum\faauto\adjustright\rin0\lin0\itap0 \rtlch\fcs1 \af0\afs20\alang1025 \ltrch\fcs0 \fs24\lang2057\langfe2057\cgrid\langnp2057\langfenp2057 {\rtlch\fcs1 \af0 _x000d__x000a_\ltrch\fcs0 \insrsid487545 \chftnsepc _x000d__x000a_\par }}{\*\aftnsep \ltrpar \pard\plain \ltrpar\ql \li0\ri0\widctlpar\wrapdefault\aspalpha\aspnum\faauto\adjustright\rin0\lin0\itap0 \rtlch\fcs1 \af0\afs20\alang1025 \ltrch\fcs0 \fs24\lang2057\langfe2057\cgrid\langnp2057\langfenp2057 {\rtlch\fcs1 \af0 _x000d__x000a_\ltrch\fcs0 \insrsid487545 \chftnsep _x000d__x000a_\par }}{\*\aftnsepc \ltrpar \pard\plain \ltrpar\ql \li0\ri0\widctlpar\wrapdefault\aspalpha\aspnum\faauto\adjustright\rin0\lin0\itap0 \rtlch\fcs1 \af0\afs20\alang1025 \ltrch\fcs0 \fs24\lang2057\langfe2057\cgrid\langnp2057\langfenp2057 {\rtlch\fcs1 \af0 _x000d__x000a_\ltrch\fcs0 \insrsid4875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052516 \rtlch\fcs1 _x000d__x000a_\af0\afs20\alang1025 \ltrch\fcs0 \b\fs24\lang2057\langfe2057\cgrid\langnp2057\langfenp2057 {\rtlch\fcs1 \af0 \ltrch\fcs0 \cs17\b0\v\fs20\cf9\lang1024\langfe1024\loch\af1\hich\af1\dbch\af31501\noproof\insrsid9052516\charrsid15879488 {\*\bkmkstart restartB}_x000d__x000a_\hich\af1\dbch\af31501\loch\f1 &lt;AmendB&gt;}{\rtlch\fcs1 \af0 \ltrch\fcs0 \insrsid9052516\charrsid15879488 [ZAMENDMENT]\tab \tab }{\rtlch\fcs1 \af0 \ltrch\fcs0 _x000d__x000a_\cs17\b0\v\fs20\cf9\lang1024\langfe1024\loch\af1\hich\af1\dbch\af31501\noproof\insrsid9052516\charrsid15879488 \hich\af1\dbch\af31501\loch\f1 &lt;NumAmB&gt;}{\rtlch\fcs1 \af0 \ltrch\fcs0 \insrsid9052516\charrsid15879488 [ZNRAM]}{\rtlch\fcs1 \af0 \ltrch\fcs0 _x000d__x000a_\cs17\b0\v\fs20\cf9\lang1024\langfe1024\loch\af1\hich\af1\dbch\af31501\noproof\insrsid9052516\charrsid15879488 \hich\af1\dbch\af31501\loch\f1 &lt;/NumAmB&gt;}{\rtlch\fcs1 \af0 \ltrch\fcs0 \insrsid9052516\charrsid15879488 _x000d__x000a_\par }\pard\plain \ltrpar\s25\ql \li0\ri0\sb240\keepn\nowidctlpar\wrapdefault\aspalpha\aspnum\faauto\adjustright\rin0\lin0\itap0\pararsid9052516 \rtlch\fcs1 \af0\afs20\alang1025 \ltrch\fcs0 \b\fs24\lang2057\langfe2057\cgrid\langnp2057\langfenp2057 {_x000d__x000a_\rtlch\fcs1 \af0 \ltrch\fcs0 \cs17\b0\v\fs20\cf9\lang1024\langfe1024\loch\af1\hich\af1\dbch\af31501\noproof\insrsid9052516\charrsid15879488 \hich\af1\dbch\af31501\loch\f1 &lt;DocAmend&gt;}{\rtlch\fcs1 \af0 \ltrch\fcs0 \insrsid9052516\charrsid15879488 _x000d__x000a_[ZPROPOSAL][ZAMACT]}{\rtlch\fcs1 \af0 \ltrch\fcs0 \cs17\b0\v\fs20\cf9\lang1024\langfe1024\loch\af1\hich\af1\dbch\af31501\noproof\insrsid9052516\charrsid15879488 \hich\af1\dbch\af31501\loch\f1 &lt;/DocAmend&gt;}{\rtlch\fcs1 \af0 \ltrch\fcs0 _x000d__x000a_\insrsid9052516\charrsid15879488 _x000d__x000a_\par }\pard\plain \ltrpar\s19\ql \li0\ri0\keepn\nowidctlpar\wrapdefault\aspalpha\aspnum\faauto\adjustright\rin0\lin0\itap0\pararsid9052516 \rtlch\fcs1 \af0\afs20\alang1025 \ltrch\fcs0 \b\fs24\lang2057\langfe2057\cgrid\langnp2057\langfenp2057 {\rtlch\fcs1 \af0 _x000d__x000a_\ltrch\fcs0 \cs17\b0\v\fs20\cf9\lang1024\langfe1024\loch\af1\hich\af1\dbch\af31501\noproof\insrsid9052516\charrsid15879488 \hich\af1\dbch\af31501\loch\f1 &lt;Article&gt;}{\rtlch\fcs1 \af0 \ltrch\fcs0 \insrsid9052516\charrsid15879488 [ZAMPART]}{\rtlch\fcs1 \af0 _x000d__x000a_\ltrch\fcs0 \cs17\b0\v\fs20\cf9\lang1024\langfe1024\loch\af1\hich\af1\dbch\af31501\noproof\insrsid9052516\charrsid15879488 \hich\af1\dbch\af31501\loch\f1 &lt;/Article&gt;}{\rtlch\fcs1 \af0 \ltrch\fcs0 \insrsid9052516\charrsid15879488 _x000d__x000a_\par }\pard\plain \ltrpar\ql \li0\ri0\keepn\widctlpar\wrapdefault\aspalpha\aspnum\faauto\adjustright\rin0\lin0\itap0\pararsid9052516 \rtlch\fcs1 \af0\afs20\alang1025 \ltrch\fcs0 \fs24\lang2057\langfe2057\cgrid\langnp2057\langfenp2057 {\rtlch\fcs1 \af0 _x000d__x000a_\ltrch\fcs0 \cs17\v\fs20\cf9\lang1024\langfe1024\loch\af1\hich\af1\dbch\af31501\noproof\insrsid9052516\charrsid15879488 \hich\af1\dbch\af31501\loch\f1 &lt;DocAmend2&gt;&lt;OptDel&gt;}{\rtlch\fcs1 \af0 \ltrch\fcs0 \insrsid9052516\charrsid15879488 [ZNRACT]}{_x000d__x000a_\rtlch\fcs1 \af0 \ltrch\fcs0 \cs17\v\fs20\cf9\lang1024\langfe1024\loch\af1\hich\af1\dbch\af31501\noproof\insrsid9052516\charrsid15879488 \hich\af1\dbch\af31501\loch\f1 &lt;/OptDel&gt;&lt;/DocAmend2&gt;}{\rtlch\fcs1 \af0 \ltrch\fcs0 \insrsid9052516\charrsid15879488 _x000d__x000a__x000d__x000a_\par }\pard \ltrpar\ql \li0\ri0\widctlpar\wrapdefault\aspalpha\aspnum\faauto\adjustright\rin0\lin0\itap0\pararsid9052516 {\rtlch\fcs1 \af0 \ltrch\fcs0 _x000d__x000a_\cs17\v\fs20\cf9\lang1024\langfe1024\loch\af1\hich\af1\dbch\af31501\noproof\langnp1036\insrsid9052516\charrsid11356624 \hich\af1\dbch\af31501\loch\f1 &lt;Article2&gt;&lt;OptDel&gt;}{\rtlch\fcs1 \af0 \ltrch\fcs0 _x000d__x000a_\lang1036\langfe2057\langnp1036\insrsid9052516\charrsid11356624 [ZACTPART]}{\rtlch\fcs1 \af0 \ltrch\fcs0 \cs17\v\fs20\cf9\lang1024\langfe1024\loch\af1\hich\af1\dbch\af31501\noproof\langnp1036\insrsid9052516\charrsid11356624 \hich\af1\dbch\af31501\loch\f1 _x000d__x000a_&lt;/OptDel&gt;&lt;/Article2&gt;}{\rtlch\fcs1 \af0 \ltrch\fcs0 \lang1036\langfe2057\langnp1036\insrsid90525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9052516\charrsid11356624 \cell }\pard \ltrpar\ql \li0\ri0\widctlpar\intbl\wrapdefault\aspalpha\aspnum\faauto\adjustright\rin0\lin0 {\rtlch\fcs1 \af0 \ltrch\fcs0 \insrsid90525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9052516\charrsid15879488 [ZLEFTB]\cell [ZRIGHT]\cell }\pard\plain \ltrpar\ql \li0\ri0\widctlpar\intbl\wrapdefault\aspalpha\aspnum\faauto\adjustright\rin0\lin0 \rtlch\fcs1 \af0\afs20\alang1025 \ltrch\fcs0 _x000d__x000a_\fs24\lang2057\langfe2057\cgrid\langnp2057\langfenp2057 {\rtlch\fcs1 \af0 \ltrch\fcs0 \insrsid90525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052516\charrsid15879488 [ZTEXTL]\cell [ZTEXTR]}{\rtlch\fcs1 \af0\afs24 \ltrch\fcs0 \insrsid9052516\charrsid15879488 \cell }\pard\plain \ltrpar\ql \li0\ri0\widctlpar\intbl\wrapdefault\aspalpha\aspnum\faauto\adjustright\rin0\lin0 \rtlch\fcs1 _x000d__x000a_\af0\afs20\alang1025 \ltrch\fcs0 \fs24\lang2057\langfe2057\cgrid\langnp2057\langfenp2057 {\rtlch\fcs1 \af0 \ltrch\fcs0 \insrsid90525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052516 \rtlch\fcs1 \af0\afs20\alang1025 \ltrch\fcs0 \i\fs24\lang2057\langfe2057\cgrid\langnp2057\langfenp2057 {\rtlch\fcs1 \af0 \ltrch\fcs0 _x000d__x000a_\cs17\i0\v\fs20\cf9\lang1024\langfe1024\loch\af1\hich\af1\dbch\af31501\noproof\insrsid9052516\charrsid15879488 \hich\af1\dbch\af31501\loch\f1 &lt;OptDel&gt;}{\rtlch\fcs1 \af0 \ltrch\fcs0 \insrsid9052516\charrsid15879488 [ZCROSSREF]}{\rtlch\fcs1 \af0 _x000d__x000a_\ltrch\fcs0 \cs17\i0\v\fs20\cf9\lang1024\langfe1024\loch\af1\hich\af1\dbch\af31501\noproof\insrsid9052516\charrsid15879488 \hich\af1\dbch\af31501\loch\f1 &lt;/OptDel&gt;}{\rtlch\fcs1 \af0 \ltrch\fcs0 \insrsid9052516\charrsid15879488 _x000d__x000a_\par }\pard\plain \ltrpar\s22\qc \li0\ri0\sb240\sa240\keepn\nowidctlpar\wrapdefault\aspalpha\aspnum\faauto\adjustright\rin0\lin0\itap0\pararsid9052516 \rtlch\fcs1 \af0\afs20\alang1025 \ltrch\fcs0 \i\fs24\lang2057\langfe2057\cgrid\langnp2057\langfenp2057 {_x000d__x000a_\rtlch\fcs1 \af0 \ltrch\fcs0 \cs17\i0\v\fs20\cf9\lang1024\langfe1024\loch\af1\hich\af1\dbch\af31501\noproof\insrsid9052516\charrsid15879488 \hich\af1\dbch\af31501\loch\f1 &lt;TitreJust&gt;}{\rtlch\fcs1 \af0 \ltrch\fcs0 \insrsid9052516\charrsid15879488 _x000d__x000a_[ZJUSTIFICATION]}{\rtlch\fcs1 \af0 \ltrch\fcs0 \cs17\i0\v\fs20\cf9\lang1024\langfe1024\loch\af1\hich\af1\dbch\af31501\noproof\insrsid9052516\charrsid15879488 \hich\af1\dbch\af31501\loch\f1 &lt;/TitreJust&gt;}{\rtlch\fcs1 \af0 \ltrch\fcs0 _x000d__x000a_\insrsid9052516\charrsid15879488 _x000d__x000a_\par }\pard\plain \ltrpar\s20\ql \li0\ri0\sa240\nowidctlpar\wrapdefault\aspalpha\aspnum\faauto\adjustright\rin0\lin0\itap0\pararsid9052516 \rtlch\fcs1 \af0\afs20\alang1025 \ltrch\fcs0 \i\fs24\lang2057\langfe2057\cgrid\langnp2057\langfenp2057 {\rtlch\fcs1 \af0 _x000d__x000a_\ltrch\fcs0 \cs17\i0\v\fs20\cf9\lang1024\langfe1024\loch\af1\hich\af1\dbch\af31501\noproof\insrsid9052516\charrsid15879488 \hich\af1\dbch\af31501\loch\f1 &lt;OptDelPrev&gt;}{\rtlch\fcs1 \af0 \ltrch\fcs0 \insrsid9052516\charrsid15879488 [ZTEXTJUST]}{\rtlch\fcs1 _x000d__x000a_\af0 \ltrch\fcs0 \cs17\i0\v\fs20\cf9\lang1024\langfe1024\loch\af1\hich\af1\dbch\af31501\noproof\insrsid9052516\charrsid15879488 \hich\af1\dbch\af31501\loch\f1 &lt;/OptDelPrev&gt;}{\rtlch\fcs1 \af0 \ltrch\fcs0 \insrsid9052516\charrsid15879488 _x000d__x000a_\par }\pard\plain \ltrpar\ql \li0\ri0\widctlpar\wrapdefault\aspalpha\aspnum\faauto\adjustright\rin0\lin0\itap0\pararsid9052516 \rtlch\fcs1 \af0\afs20\alang1025 \ltrch\fcs0 \fs24\lang2057\langfe2057\cgrid\langnp2057\langfenp2057 {\rtlch\fcs1 \af0 \ltrch\fcs0 _x000d__x000a_\cs17\v\fs20\cf9\lang1024\langfe1024\loch\af1\hich\af1\dbch\af31501\noproof\insrsid9052516\charrsid15879488 \hich\af1\dbch\af31501\loch\f1 &lt;/AmendB&gt;}{\rtlch\fcs1 \af0 \ltrch\fcs0 \insrsid90525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6_x000d__x000a_1109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7"/>
    <w:docVar w:name="TITLECODMNU" w:val=" 1"/>
    <w:docVar w:name="TVTAMPART" w:val="xxx"/>
    <w:docVar w:name="TXTLANGUE" w:val="CS"/>
    <w:docVar w:name="TXTLANGUEMIN" w:val="cs"/>
    <w:docVar w:name="TXTNRC" w:val="0219/2023"/>
    <w:docVar w:name="TXTNRCOM" w:val="(2023)0369"/>
    <w:docVar w:name="TXTNRFIRSTAM" w:val="1"/>
    <w:docVar w:name="TXTNRLASTAM" w:val="1"/>
    <w:docVar w:name="TXTNRPE" w:val="754.988"/>
    <w:docVar w:name="TXTNRPROC" w:val="2023/0212"/>
    <w:docVar w:name="TXTPEorAP" w:val="PE"/>
    <w:docVar w:name="TXTROUTE" w:val="AD\1297162CS.docx"/>
    <w:docVar w:name="TXTVERSION" w:val="02-00"/>
  </w:docVars>
  <w:rsids>
    <w:rsidRoot w:val="001420BC"/>
    <w:rsid w:val="00026559"/>
    <w:rsid w:val="00027FA8"/>
    <w:rsid w:val="0004474F"/>
    <w:rsid w:val="00082EC4"/>
    <w:rsid w:val="000D44A6"/>
    <w:rsid w:val="00122C05"/>
    <w:rsid w:val="00134974"/>
    <w:rsid w:val="00141CD7"/>
    <w:rsid w:val="001420BC"/>
    <w:rsid w:val="001616BD"/>
    <w:rsid w:val="001820A9"/>
    <w:rsid w:val="00184F17"/>
    <w:rsid w:val="001A0556"/>
    <w:rsid w:val="001B0A1E"/>
    <w:rsid w:val="001C0886"/>
    <w:rsid w:val="001D5154"/>
    <w:rsid w:val="001E3AC4"/>
    <w:rsid w:val="0020077A"/>
    <w:rsid w:val="0023131B"/>
    <w:rsid w:val="00252D4E"/>
    <w:rsid w:val="002976EC"/>
    <w:rsid w:val="002A67EE"/>
    <w:rsid w:val="00304EA8"/>
    <w:rsid w:val="00335E75"/>
    <w:rsid w:val="00341A99"/>
    <w:rsid w:val="00360FAA"/>
    <w:rsid w:val="0038294E"/>
    <w:rsid w:val="003A2F84"/>
    <w:rsid w:val="003C060C"/>
    <w:rsid w:val="003C7390"/>
    <w:rsid w:val="003E1280"/>
    <w:rsid w:val="003F128E"/>
    <w:rsid w:val="0040055C"/>
    <w:rsid w:val="00423AAC"/>
    <w:rsid w:val="00487596"/>
    <w:rsid w:val="004911FF"/>
    <w:rsid w:val="004B3A53"/>
    <w:rsid w:val="004B65BE"/>
    <w:rsid w:val="004C2A0D"/>
    <w:rsid w:val="004D5797"/>
    <w:rsid w:val="004F1D2F"/>
    <w:rsid w:val="00502B76"/>
    <w:rsid w:val="00513F6F"/>
    <w:rsid w:val="00522B51"/>
    <w:rsid w:val="00524707"/>
    <w:rsid w:val="005539B7"/>
    <w:rsid w:val="00571233"/>
    <w:rsid w:val="00613134"/>
    <w:rsid w:val="00626D52"/>
    <w:rsid w:val="00643DA8"/>
    <w:rsid w:val="00645752"/>
    <w:rsid w:val="00657D5C"/>
    <w:rsid w:val="00683DD1"/>
    <w:rsid w:val="00691B1C"/>
    <w:rsid w:val="006A0F0A"/>
    <w:rsid w:val="006A48AA"/>
    <w:rsid w:val="006B1267"/>
    <w:rsid w:val="006C1BD3"/>
    <w:rsid w:val="006D292E"/>
    <w:rsid w:val="00701EA7"/>
    <w:rsid w:val="00712462"/>
    <w:rsid w:val="00716BAA"/>
    <w:rsid w:val="007441C6"/>
    <w:rsid w:val="00774675"/>
    <w:rsid w:val="0078548A"/>
    <w:rsid w:val="007B7CE3"/>
    <w:rsid w:val="007F187F"/>
    <w:rsid w:val="00817D13"/>
    <w:rsid w:val="00820C7D"/>
    <w:rsid w:val="00833D11"/>
    <w:rsid w:val="00836FD3"/>
    <w:rsid w:val="008375A8"/>
    <w:rsid w:val="00872A52"/>
    <w:rsid w:val="00876A73"/>
    <w:rsid w:val="0089388A"/>
    <w:rsid w:val="008F2DF8"/>
    <w:rsid w:val="008F3DB0"/>
    <w:rsid w:val="00904864"/>
    <w:rsid w:val="009052FE"/>
    <w:rsid w:val="009215FC"/>
    <w:rsid w:val="00924555"/>
    <w:rsid w:val="00926B69"/>
    <w:rsid w:val="009368B3"/>
    <w:rsid w:val="00976723"/>
    <w:rsid w:val="00982B83"/>
    <w:rsid w:val="00983B4D"/>
    <w:rsid w:val="009857B4"/>
    <w:rsid w:val="009E51E8"/>
    <w:rsid w:val="009E7319"/>
    <w:rsid w:val="009F3A98"/>
    <w:rsid w:val="00A1237C"/>
    <w:rsid w:val="00A71228"/>
    <w:rsid w:val="00A74E25"/>
    <w:rsid w:val="00AC2A60"/>
    <w:rsid w:val="00AD49D0"/>
    <w:rsid w:val="00B00EE6"/>
    <w:rsid w:val="00B218E6"/>
    <w:rsid w:val="00B476DC"/>
    <w:rsid w:val="00B54D08"/>
    <w:rsid w:val="00B556CD"/>
    <w:rsid w:val="00B62D4B"/>
    <w:rsid w:val="00B67536"/>
    <w:rsid w:val="00B904FA"/>
    <w:rsid w:val="00BA3E40"/>
    <w:rsid w:val="00BD09C7"/>
    <w:rsid w:val="00BD1F76"/>
    <w:rsid w:val="00BE20CF"/>
    <w:rsid w:val="00C22327"/>
    <w:rsid w:val="00C335C6"/>
    <w:rsid w:val="00C4219C"/>
    <w:rsid w:val="00C52A28"/>
    <w:rsid w:val="00C709B7"/>
    <w:rsid w:val="00C75E98"/>
    <w:rsid w:val="00C81C5B"/>
    <w:rsid w:val="00C83B35"/>
    <w:rsid w:val="00CA3C5F"/>
    <w:rsid w:val="00D17DE6"/>
    <w:rsid w:val="00D25CF2"/>
    <w:rsid w:val="00D3729D"/>
    <w:rsid w:val="00D41905"/>
    <w:rsid w:val="00D56CE0"/>
    <w:rsid w:val="00D6254D"/>
    <w:rsid w:val="00D67D0A"/>
    <w:rsid w:val="00D74FD1"/>
    <w:rsid w:val="00D943A5"/>
    <w:rsid w:val="00D9581F"/>
    <w:rsid w:val="00DB56E4"/>
    <w:rsid w:val="00DC1D6D"/>
    <w:rsid w:val="00DE4AB9"/>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FAAF79-11A8-4556-8F23-69A17033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BD09C7"/>
    <w:pPr>
      <w:spacing w:after="120"/>
    </w:pPr>
    <w:rPr>
      <w:szCs w:val="20"/>
    </w:rPr>
  </w:style>
  <w:style w:type="character" w:customStyle="1" w:styleId="NormalBoldChar">
    <w:name w:val="NormalBold Char"/>
    <w:basedOn w:val="DefaultParagraphFont"/>
    <w:link w:val="NormalBold"/>
    <w:rsid w:val="00BD09C7"/>
    <w:rPr>
      <w:b/>
      <w:sz w:val="24"/>
    </w:rPr>
  </w:style>
  <w:style w:type="character" w:customStyle="1" w:styleId="Normal6Char">
    <w:name w:val="Normal6 Char"/>
    <w:basedOn w:val="DefaultParagraphFont"/>
    <w:link w:val="Normal6"/>
    <w:rsid w:val="00BD09C7"/>
    <w:rPr>
      <w:sz w:val="24"/>
      <w:lang w:val="cs-CZ"/>
    </w:rPr>
  </w:style>
  <w:style w:type="paragraph" w:customStyle="1" w:styleId="ColumnHeading">
    <w:name w:val="ColumnHeading"/>
    <w:basedOn w:val="Normal"/>
    <w:rsid w:val="00BD09C7"/>
    <w:pPr>
      <w:spacing w:after="240"/>
      <w:jc w:val="center"/>
    </w:pPr>
    <w:rPr>
      <w:i/>
      <w:szCs w:val="20"/>
    </w:rPr>
  </w:style>
  <w:style w:type="paragraph" w:customStyle="1" w:styleId="AMNumberTabs0">
    <w:name w:val="AMNumberTabs"/>
    <w:basedOn w:val="Normal"/>
    <w:rsid w:val="00BD09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BD09C7"/>
    <w:pPr>
      <w:jc w:val="right"/>
    </w:pPr>
  </w:style>
  <w:style w:type="paragraph" w:customStyle="1" w:styleId="Normal24a">
    <w:name w:val="Normal24a"/>
    <w:basedOn w:val="Normal"/>
    <w:rsid w:val="00BD09C7"/>
    <w:pPr>
      <w:spacing w:after="480"/>
    </w:pPr>
    <w:rPr>
      <w:szCs w:val="20"/>
    </w:rPr>
  </w:style>
  <w:style w:type="paragraph" w:customStyle="1" w:styleId="NormalBoldCenter">
    <w:name w:val="NormalBoldCenter"/>
    <w:basedOn w:val="Normal"/>
    <w:rsid w:val="00BD09C7"/>
    <w:pPr>
      <w:jc w:val="center"/>
    </w:pPr>
    <w:rPr>
      <w:b/>
      <w:szCs w:val="20"/>
    </w:rPr>
  </w:style>
  <w:style w:type="paragraph" w:styleId="Footer">
    <w:name w:val="footer"/>
    <w:basedOn w:val="Normal"/>
    <w:link w:val="FooterChar"/>
    <w:rsid w:val="00D17DE6"/>
    <w:pPr>
      <w:tabs>
        <w:tab w:val="center" w:pos="4513"/>
        <w:tab w:val="right" w:pos="9026"/>
      </w:tabs>
    </w:pPr>
  </w:style>
  <w:style w:type="character" w:customStyle="1" w:styleId="FooterChar">
    <w:name w:val="Footer Char"/>
    <w:basedOn w:val="DefaultParagraphFont"/>
    <w:link w:val="Footer"/>
    <w:rsid w:val="00D17DE6"/>
    <w:rPr>
      <w:sz w:val="24"/>
      <w:szCs w:val="24"/>
    </w:rPr>
  </w:style>
  <w:style w:type="paragraph" w:customStyle="1" w:styleId="RollCallSymbols14pt">
    <w:name w:val="RollCallSymbols14pt"/>
    <w:basedOn w:val="Normal"/>
    <w:rsid w:val="004D579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D5797"/>
    <w:pPr>
      <w:tabs>
        <w:tab w:val="center" w:pos="284"/>
        <w:tab w:val="left" w:pos="426"/>
      </w:tabs>
    </w:pPr>
    <w:rPr>
      <w:snapToGrid w:val="0"/>
      <w:szCs w:val="20"/>
      <w:lang w:eastAsia="en-US"/>
    </w:rPr>
  </w:style>
  <w:style w:type="paragraph" w:customStyle="1" w:styleId="RollCallVotes">
    <w:name w:val="RollCallVotes"/>
    <w:basedOn w:val="Normal"/>
    <w:rsid w:val="004D5797"/>
    <w:pPr>
      <w:spacing w:before="120" w:after="120"/>
      <w:jc w:val="center"/>
    </w:pPr>
    <w:rPr>
      <w:b/>
      <w:bCs/>
      <w:snapToGrid w:val="0"/>
      <w:sz w:val="16"/>
      <w:szCs w:val="20"/>
      <w:lang w:eastAsia="en-US"/>
    </w:rPr>
  </w:style>
  <w:style w:type="paragraph" w:customStyle="1" w:styleId="RollCallTable">
    <w:name w:val="RollCallTable"/>
    <w:basedOn w:val="Normal"/>
    <w:rsid w:val="004D5797"/>
    <w:pPr>
      <w:spacing w:before="120" w:after="120"/>
    </w:pPr>
    <w:rPr>
      <w:snapToGrid w:val="0"/>
      <w:sz w:val="16"/>
      <w:szCs w:val="20"/>
      <w:lang w:eastAsia="en-US"/>
    </w:rPr>
  </w:style>
  <w:style w:type="paragraph" w:customStyle="1" w:styleId="msonormal0">
    <w:name w:val="msonormal"/>
    <w:basedOn w:val="Normal"/>
    <w:rsid w:val="00B67536"/>
    <w:pPr>
      <w:widowControl/>
      <w:spacing w:before="100" w:beforeAutospacing="1" w:after="100" w:afterAutospacing="1"/>
    </w:pPr>
  </w:style>
  <w:style w:type="character" w:customStyle="1" w:styleId="Normal12Char">
    <w:name w:val="Normal12 Char"/>
    <w:basedOn w:val="DefaultParagraphFont"/>
    <w:link w:val="Normal12"/>
    <w:locked/>
    <w:rsid w:val="00B67536"/>
    <w:rPr>
      <w:noProof/>
      <w:sz w:val="24"/>
    </w:rPr>
  </w:style>
  <w:style w:type="paragraph" w:customStyle="1" w:styleId="Normal12">
    <w:name w:val="Normal12"/>
    <w:basedOn w:val="Normal"/>
    <w:link w:val="Normal12Char"/>
    <w:rsid w:val="00B67536"/>
    <w:pPr>
      <w:spacing w:after="240"/>
    </w:pPr>
    <w:rPr>
      <w:noProof/>
      <w:szCs w:val="20"/>
    </w:rPr>
  </w:style>
  <w:style w:type="paragraph" w:customStyle="1" w:styleId="CommitteeAM">
    <w:name w:val="CommitteeAM"/>
    <w:basedOn w:val="Normal"/>
    <w:rsid w:val="00B67536"/>
    <w:pPr>
      <w:spacing w:before="240" w:after="600"/>
      <w:jc w:val="center"/>
    </w:pPr>
    <w:rPr>
      <w:i/>
      <w:szCs w:val="20"/>
    </w:rPr>
  </w:style>
  <w:style w:type="paragraph" w:customStyle="1" w:styleId="ZDateAM">
    <w:name w:val="ZDateAM"/>
    <w:basedOn w:val="Normal"/>
    <w:rsid w:val="00B67536"/>
    <w:pPr>
      <w:tabs>
        <w:tab w:val="right" w:pos="9356"/>
      </w:tabs>
      <w:spacing w:after="480"/>
    </w:pPr>
    <w:rPr>
      <w:noProof/>
      <w:szCs w:val="20"/>
    </w:rPr>
  </w:style>
  <w:style w:type="paragraph" w:customStyle="1" w:styleId="ProjRap">
    <w:name w:val="ProjRap"/>
    <w:basedOn w:val="Normal"/>
    <w:rsid w:val="00B67536"/>
    <w:pPr>
      <w:tabs>
        <w:tab w:val="right" w:pos="9356"/>
      </w:tabs>
    </w:pPr>
    <w:rPr>
      <w:b/>
      <w:noProof/>
      <w:szCs w:val="20"/>
    </w:rPr>
  </w:style>
  <w:style w:type="paragraph" w:customStyle="1" w:styleId="PELeft">
    <w:name w:val="PELeft"/>
    <w:basedOn w:val="Normal"/>
    <w:rsid w:val="00B67536"/>
    <w:pPr>
      <w:spacing w:before="40" w:after="40"/>
    </w:pPr>
    <w:rPr>
      <w:rFonts w:ascii="Arial" w:hAnsi="Arial" w:cs="Arial"/>
      <w:sz w:val="22"/>
      <w:szCs w:val="22"/>
    </w:rPr>
  </w:style>
  <w:style w:type="paragraph" w:customStyle="1" w:styleId="PERight">
    <w:name w:val="PERight"/>
    <w:basedOn w:val="Normal"/>
    <w:next w:val="Normal"/>
    <w:rsid w:val="00B67536"/>
    <w:pPr>
      <w:jc w:val="right"/>
    </w:pPr>
    <w:rPr>
      <w:rFonts w:ascii="Arial" w:hAnsi="Arial" w:cs="Arial"/>
      <w:sz w:val="22"/>
      <w:szCs w:val="22"/>
    </w:rPr>
  </w:style>
  <w:style w:type="paragraph" w:customStyle="1" w:styleId="Normal12Italic">
    <w:name w:val="Normal12Italic"/>
    <w:basedOn w:val="Normal12"/>
    <w:rsid w:val="00B67536"/>
    <w:rPr>
      <w:i/>
    </w:rPr>
  </w:style>
  <w:style w:type="paragraph" w:customStyle="1" w:styleId="JustificationTitle">
    <w:name w:val="JustificationTitle"/>
    <w:basedOn w:val="Normal"/>
    <w:next w:val="Normal12"/>
    <w:rsid w:val="00B67536"/>
    <w:pPr>
      <w:keepNext/>
      <w:spacing w:before="240" w:after="240"/>
      <w:jc w:val="center"/>
    </w:pPr>
    <w:rPr>
      <w:i/>
      <w:noProof/>
      <w:szCs w:val="20"/>
    </w:rPr>
  </w:style>
  <w:style w:type="paragraph" w:customStyle="1" w:styleId="CrossRef">
    <w:name w:val="CrossRef"/>
    <w:basedOn w:val="Normal"/>
    <w:rsid w:val="00B67536"/>
    <w:pPr>
      <w:spacing w:before="240"/>
      <w:jc w:val="center"/>
    </w:pPr>
    <w:rPr>
      <w:i/>
      <w:szCs w:val="20"/>
    </w:rPr>
  </w:style>
  <w:style w:type="paragraph" w:customStyle="1" w:styleId="Footer2">
    <w:name w:val="Footer2"/>
    <w:basedOn w:val="Normal12"/>
    <w:rsid w:val="00B67536"/>
    <w:pPr>
      <w:tabs>
        <w:tab w:val="center" w:pos="4535"/>
        <w:tab w:val="right" w:pos="9923"/>
      </w:tabs>
      <w:spacing w:line="480" w:lineRule="auto"/>
      <w:ind w:left="-851"/>
    </w:pPr>
    <w:rPr>
      <w:rFonts w:ascii="Arial" w:cs="Arial"/>
      <w:b/>
      <w:sz w:val="48"/>
    </w:rPr>
  </w:style>
  <w:style w:type="character" w:customStyle="1" w:styleId="Footer2Middle">
    <w:name w:val="Footer2Middle"/>
    <w:rsid w:val="00B67536"/>
    <w:rPr>
      <w:rFonts w:ascii="Arial" w:hAnsi="Arial" w:cs="Arial" w:hint="default"/>
      <w:b w:val="0"/>
      <w:bCs w:val="0"/>
      <w:i/>
      <w:iCs w:val="0"/>
      <w:color w:val="C0C0C0"/>
      <w:sz w:val="22"/>
    </w:rPr>
  </w:style>
  <w:style w:type="paragraph" w:customStyle="1" w:styleId="EntPE">
    <w:name w:val="EntPE"/>
    <w:basedOn w:val="Normal12"/>
    <w:rsid w:val="00B67536"/>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42EFB-9B47-4673-BB20-E4F3C76B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18134</Words>
  <Characters>109541</Characters>
  <Application>Microsoft Office Word</Application>
  <DocSecurity>0</DocSecurity>
  <Lines>4117</Lines>
  <Paragraphs>937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2024-03-11T15:04:00Z</dcterms:created>
  <dcterms:modified xsi:type="dcterms:W3CDTF">2024-03-11T15:04:00Z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1297162</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AD\1297162CS.docx</vt:lpwstr>
  </property>
  <property fmtid="{D5CDD505-2E9C-101B-9397-08002B2CF9AE}" pid="10" name="LastEdited with">
    <vt:lpwstr>9.17.2 Build [20240212]</vt:lpwstr>
  </property>
  <property fmtid="{D5CDD505-2E9C-101B-9397-08002B2CF9AE}" pid="11" name="PE number">
    <vt:lpwstr>754.988</vt:lpwstr>
  </property>
  <property fmtid="{D5CDD505-2E9C-101B-9397-08002B2CF9AE}" pid="12" name="SDLStudio">
    <vt:lpwstr/>
  </property>
  <property fmtid="{D5CDD505-2E9C-101B-9397-08002B2CF9AE}" pid="13" name="SendToEpades">
    <vt:lpwstr>OK - 2024/02/20 17:25</vt:lpwstr>
  </property>
  <property fmtid="{D5CDD505-2E9C-101B-9397-08002B2CF9AE}" pid="14" name="Bookout">
    <vt:lpwstr>OK - 2024/03/11 16:03</vt:lpwstr>
  </property>
</Properties>
</file>