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3545C" w:rsidRPr="00C039B4" w:rsidTr="00C85D0F">
        <w:trPr>
          <w:trHeight w:hRule="exact" w:val="1418"/>
        </w:trPr>
        <w:tc>
          <w:tcPr>
            <w:tcW w:w="6804" w:type="dxa"/>
            <w:shd w:val="clear" w:color="auto" w:fill="auto"/>
            <w:vAlign w:val="center"/>
          </w:tcPr>
          <w:p w:rsidR="00854CAC" w:rsidRPr="00C039B4" w:rsidRDefault="00E72362" w:rsidP="00C85D0F">
            <w:pPr>
              <w:pStyle w:val="EPName"/>
            </w:pPr>
            <w:r w:rsidRPr="00C039B4">
              <w:t>Europa-Parlamentet</w:t>
            </w:r>
          </w:p>
          <w:p w:rsidR="00854CAC" w:rsidRPr="00C039B4" w:rsidRDefault="00E72362" w:rsidP="00A868C4">
            <w:pPr>
              <w:pStyle w:val="EPTerm"/>
            </w:pPr>
            <w:r w:rsidRPr="00C039B4">
              <w:t>2019-2024</w:t>
            </w:r>
          </w:p>
        </w:tc>
        <w:tc>
          <w:tcPr>
            <w:tcW w:w="2268" w:type="dxa"/>
            <w:shd w:val="clear" w:color="auto" w:fill="auto"/>
          </w:tcPr>
          <w:p w:rsidR="00854CAC" w:rsidRPr="00C039B4" w:rsidRDefault="00E72362" w:rsidP="00C85D0F">
            <w:pPr>
              <w:pStyle w:val="EPLogo"/>
            </w:pPr>
            <w:r w:rsidRPr="00C039B4">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C039B4" w:rsidRDefault="001746D0" w:rsidP="001746D0">
      <w:pPr>
        <w:pStyle w:val="LineTop"/>
      </w:pPr>
    </w:p>
    <w:p w:rsidR="001746D0" w:rsidRPr="00C039B4" w:rsidRDefault="00E72362" w:rsidP="001746D0">
      <w:pPr>
        <w:pStyle w:val="EPBody"/>
      </w:pPr>
      <w:r w:rsidRPr="00C039B4">
        <w:rPr>
          <w:rStyle w:val="HideTWBExt"/>
        </w:rPr>
        <w:t>&lt;</w:t>
      </w:r>
      <w:r w:rsidRPr="00C039B4">
        <w:rPr>
          <w:rStyle w:val="HideTWBExt"/>
          <w:i w:val="0"/>
        </w:rPr>
        <w:t>Commission</w:t>
      </w:r>
      <w:r w:rsidRPr="00C039B4">
        <w:rPr>
          <w:rStyle w:val="HideTWBExt"/>
        </w:rPr>
        <w:t>&gt;</w:t>
      </w:r>
      <w:r w:rsidRPr="00C039B4">
        <w:rPr>
          <w:rStyle w:val="HideTWBInt"/>
          <w:color w:val="auto"/>
        </w:rPr>
        <w:t>{LIBE}</w:t>
      </w:r>
      <w:r w:rsidRPr="00C039B4">
        <w:t>Udvalget om Borgernes Rettigheder og Retlige og Indre Anliggender</w:t>
      </w:r>
      <w:r w:rsidRPr="00C039B4">
        <w:rPr>
          <w:rStyle w:val="HideTWBExt"/>
        </w:rPr>
        <w:t>&lt;/</w:t>
      </w:r>
      <w:r w:rsidRPr="00C039B4">
        <w:rPr>
          <w:rStyle w:val="HideTWBExt"/>
          <w:i w:val="0"/>
        </w:rPr>
        <w:t>Commission</w:t>
      </w:r>
      <w:r w:rsidRPr="00C039B4">
        <w:rPr>
          <w:rStyle w:val="HideTWBExt"/>
        </w:rPr>
        <w:t>&gt;</w:t>
      </w:r>
    </w:p>
    <w:p w:rsidR="001746D0" w:rsidRPr="00C039B4" w:rsidRDefault="001746D0" w:rsidP="001746D0">
      <w:pPr>
        <w:pStyle w:val="LineBottom"/>
      </w:pPr>
    </w:p>
    <w:p w:rsidR="002E2F2E" w:rsidRPr="00C039B4" w:rsidRDefault="00E72362">
      <w:pPr>
        <w:pStyle w:val="CoverReference"/>
      </w:pPr>
      <w:r w:rsidRPr="00C039B4">
        <w:rPr>
          <w:rStyle w:val="HideTWBExt"/>
          <w:b w:val="0"/>
        </w:rPr>
        <w:t>&lt;RefProc&gt;</w:t>
      </w:r>
      <w:r w:rsidRPr="00C039B4">
        <w:t>2023/2144</w:t>
      </w:r>
      <w:r w:rsidRPr="00C039B4">
        <w:rPr>
          <w:rStyle w:val="HideTWBExt"/>
          <w:b w:val="0"/>
        </w:rPr>
        <w:t>&lt;/RefProc&gt;&lt;RefTypeProc&gt;</w:t>
      </w:r>
      <w:r w:rsidRPr="00C039B4">
        <w:t>(DEC)</w:t>
      </w:r>
      <w:r w:rsidRPr="00C039B4">
        <w:rPr>
          <w:rStyle w:val="HideTWBExt"/>
          <w:b w:val="0"/>
        </w:rPr>
        <w:t>&lt;/RefTypeProc&gt;</w:t>
      </w:r>
    </w:p>
    <w:p w:rsidR="002E2F2E" w:rsidRPr="00C039B4" w:rsidRDefault="00E72362">
      <w:pPr>
        <w:pStyle w:val="CoverDate"/>
      </w:pPr>
      <w:r w:rsidRPr="00C039B4">
        <w:rPr>
          <w:rStyle w:val="HideTWBExt"/>
        </w:rPr>
        <w:t>&lt;Date&gt;</w:t>
      </w:r>
      <w:r w:rsidRPr="00C039B4">
        <w:rPr>
          <w:rStyle w:val="HideTWBInt"/>
          <w:color w:val="auto"/>
        </w:rPr>
        <w:t>{24/01/2024}</w:t>
      </w:r>
      <w:r w:rsidRPr="00C039B4">
        <w:t>24.1.2024</w:t>
      </w:r>
      <w:r w:rsidRPr="00C039B4">
        <w:rPr>
          <w:rStyle w:val="HideTWBExt"/>
        </w:rPr>
        <w:t>&lt;/Date&gt;</w:t>
      </w:r>
    </w:p>
    <w:p w:rsidR="002E2F2E" w:rsidRPr="00C039B4" w:rsidRDefault="00E72362">
      <w:pPr>
        <w:pStyle w:val="CoverDocType24a"/>
      </w:pPr>
      <w:r w:rsidRPr="00C039B4">
        <w:rPr>
          <w:rStyle w:val="HideTWBExt"/>
          <w:b w:val="0"/>
        </w:rPr>
        <w:t>&lt;TitreType&gt;</w:t>
      </w:r>
      <w:r w:rsidRPr="00C039B4">
        <w:t>UDTALELSE</w:t>
      </w:r>
      <w:r w:rsidRPr="00C039B4">
        <w:rPr>
          <w:rStyle w:val="HideTWBExt"/>
          <w:b w:val="0"/>
        </w:rPr>
        <w:t>&lt;/TitreType&gt;</w:t>
      </w:r>
    </w:p>
    <w:p w:rsidR="002E2F2E" w:rsidRPr="00C039B4" w:rsidRDefault="00E72362">
      <w:pPr>
        <w:pStyle w:val="CoverNormal24a"/>
      </w:pPr>
      <w:r w:rsidRPr="00C039B4">
        <w:rPr>
          <w:rStyle w:val="HideTWBExt"/>
        </w:rPr>
        <w:t>&lt;CommissionResp&gt;</w:t>
      </w:r>
      <w:r w:rsidRPr="00C039B4">
        <w:t>fra Udvalget om Borgernes Rettigheder og Retlige og Indre Anliggender</w:t>
      </w:r>
      <w:r w:rsidRPr="00C039B4">
        <w:rPr>
          <w:rStyle w:val="HideTWBExt"/>
        </w:rPr>
        <w:t>&lt;/CommissionResp&gt;</w:t>
      </w:r>
    </w:p>
    <w:p w:rsidR="002E2F2E" w:rsidRPr="00C039B4" w:rsidRDefault="00E72362">
      <w:pPr>
        <w:pStyle w:val="CoverNormal24a"/>
      </w:pPr>
      <w:r w:rsidRPr="00C039B4">
        <w:rPr>
          <w:rStyle w:val="HideTWBExt"/>
        </w:rPr>
        <w:t>&lt;CommissionInt&gt;</w:t>
      </w:r>
      <w:r w:rsidRPr="00C039B4">
        <w:t>til Budgetkontroludvalget</w:t>
      </w:r>
      <w:r w:rsidRPr="00C039B4">
        <w:rPr>
          <w:rStyle w:val="HideTWBExt"/>
        </w:rPr>
        <w:t>&lt;/CommissionInt&gt;</w:t>
      </w:r>
    </w:p>
    <w:p w:rsidR="002E2F2E" w:rsidRPr="00C039B4" w:rsidRDefault="00E72362">
      <w:pPr>
        <w:pStyle w:val="CoverNormal"/>
      </w:pPr>
      <w:r w:rsidRPr="00C039B4">
        <w:rPr>
          <w:rStyle w:val="HideTWBExt"/>
        </w:rPr>
        <w:t>&lt;Titre&gt;</w:t>
      </w:r>
      <w:r w:rsidRPr="00C039B4">
        <w:t>om decharge for gennemførelsen af budgettet for Den Europæiske Unions Agentu</w:t>
      </w:r>
      <w:r w:rsidRPr="00C039B4">
        <w:t>r for Uddannelse inden for Retshåndhævelse (Cepol) for regnskabsåret 2022</w:t>
      </w:r>
      <w:r w:rsidRPr="00C039B4">
        <w:rPr>
          <w:rStyle w:val="HideTWBExt"/>
        </w:rPr>
        <w:t>&lt;/Titre&gt;</w:t>
      </w:r>
    </w:p>
    <w:p w:rsidR="002E2F2E" w:rsidRPr="00C039B4" w:rsidRDefault="00E72362">
      <w:pPr>
        <w:pStyle w:val="CoverNormal24a"/>
      </w:pPr>
      <w:r w:rsidRPr="00C039B4">
        <w:rPr>
          <w:rStyle w:val="HideTWBExt"/>
        </w:rPr>
        <w:t>&lt;DocRef&gt;</w:t>
      </w:r>
      <w:r w:rsidRPr="00C039B4">
        <w:t>(2023/2144(DEC))</w:t>
      </w:r>
      <w:r w:rsidRPr="00C039B4">
        <w:rPr>
          <w:rStyle w:val="HideTWBExt"/>
        </w:rPr>
        <w:t>&lt;/DocRef&gt;</w:t>
      </w:r>
    </w:p>
    <w:p w:rsidR="002E2F2E" w:rsidRPr="00C039B4" w:rsidRDefault="00E72362">
      <w:pPr>
        <w:pStyle w:val="CoverNormal24a"/>
      </w:pPr>
      <w:r w:rsidRPr="00C039B4">
        <w:t xml:space="preserve">Ordfører for udtalelse: </w:t>
      </w:r>
      <w:r w:rsidRPr="00C039B4">
        <w:rPr>
          <w:rStyle w:val="HideTWBExt"/>
        </w:rPr>
        <w:t>&lt;Depute&gt;</w:t>
      </w:r>
      <w:r w:rsidRPr="00C039B4">
        <w:t>Tomáš Zdechovský</w:t>
      </w:r>
      <w:r w:rsidRPr="00C039B4">
        <w:rPr>
          <w:rStyle w:val="HideTWBExt"/>
        </w:rPr>
        <w:t>&lt;/Depute&gt;</w:t>
      </w:r>
    </w:p>
    <w:p w:rsidR="00A72C35" w:rsidRPr="00C039B4" w:rsidRDefault="00A72C35" w:rsidP="00A72C35">
      <w:pPr>
        <w:pStyle w:val="CoverNormal"/>
      </w:pPr>
    </w:p>
    <w:p w:rsidR="002E2F2E" w:rsidRPr="00C039B4" w:rsidRDefault="00E72362" w:rsidP="00E856D2">
      <w:pPr>
        <w:widowControl/>
        <w:tabs>
          <w:tab w:val="center" w:pos="4677"/>
        </w:tabs>
      </w:pPr>
      <w:r w:rsidRPr="00C039B4">
        <w:br w:type="page"/>
      </w:r>
      <w:r w:rsidRPr="00C039B4">
        <w:lastRenderedPageBreak/>
        <w:t>PA_NonLeg</w:t>
      </w:r>
    </w:p>
    <w:p w:rsidR="002E2F2E" w:rsidRPr="00C039B4" w:rsidRDefault="00E72362">
      <w:pPr>
        <w:pStyle w:val="PageHeadingNotTOC"/>
      </w:pPr>
      <w:r w:rsidRPr="00C039B4">
        <w:br w:type="page"/>
      </w:r>
      <w:r w:rsidRPr="00C039B4">
        <w:lastRenderedPageBreak/>
        <w:t>FORSLAG</w:t>
      </w:r>
    </w:p>
    <w:p w:rsidR="002E2F2E" w:rsidRPr="00C039B4" w:rsidRDefault="00E72362" w:rsidP="008313E7">
      <w:pPr>
        <w:pStyle w:val="Normal12a"/>
      </w:pPr>
      <w:r w:rsidRPr="00C039B4">
        <w:t xml:space="preserve">Udvalget om Borgernes Rettigheder og Retlige og Indre </w:t>
      </w:r>
      <w:r w:rsidRPr="00C039B4">
        <w:t>Anliggender opfordrer Budgetkontroludvalget, som er korresponderende udvalg, til at optage følgende forslag i det beslutningsforslag, det vedtager:</w:t>
      </w:r>
    </w:p>
    <w:p w:rsidR="002E2F2E" w:rsidRPr="00C039B4" w:rsidRDefault="00E72362" w:rsidP="00A868C4">
      <w:pPr>
        <w:pStyle w:val="NormalHanging12a"/>
        <w:jc w:val="both"/>
      </w:pPr>
      <w:bookmarkStart w:id="0" w:name="restart"/>
      <w:r w:rsidRPr="00C039B4">
        <w:t>1.</w:t>
      </w:r>
      <w:r w:rsidRPr="00C039B4">
        <w:tab/>
        <w:t xml:space="preserve">glæder sig over, at Revisionsretten har erklæret, at årsregnskabet for Den Europæiske Unions Agentur for </w:t>
      </w:r>
      <w:r w:rsidRPr="00C039B4">
        <w:t>Uddannelse inden for Retshåndhævelse (Cepol) for regnskabsåret 2022, i alt væsentligt er lovligt og formelt rigtigt; beklager, at et samlet beløb på 4,2 mio. EUR ikke var i overensstemmelse med reglerne og oversteg den væsentlighedstærskel, der var fastsat</w:t>
      </w:r>
      <w:r w:rsidRPr="00C039B4">
        <w:t xml:space="preserve"> for revisionen, og derfor resulterede i en erklæring fra Revisionsretten med forbehold om lovligheden og den formelle rigtighed af betalingerne;</w:t>
      </w:r>
    </w:p>
    <w:p w:rsidR="00063D81" w:rsidRPr="00C039B4" w:rsidRDefault="00E72362" w:rsidP="00A868C4">
      <w:pPr>
        <w:pStyle w:val="NormalHanging12a"/>
        <w:jc w:val="both"/>
      </w:pPr>
      <w:r w:rsidRPr="00C039B4">
        <w:t>2.</w:t>
      </w:r>
      <w:r w:rsidRPr="00C039B4">
        <w:tab/>
        <w:t xml:space="preserve">glæder sig over, at der blev truffet passende korrigerende foranstaltninger for at imødekomme de fleste af </w:t>
      </w:r>
      <w:r w:rsidRPr="00C039B4">
        <w:t>Revisionsrettens bemærkninger fra tidligere år; bemærker med bekymring, at Revisionsretten siden 2020 hvert år har fremsat udbudsrelaterede bemærkninger vedrørende svagheder og uregelmæssigheder; bemærker endvidere, at disse bemærkninger i 2021 og 2022 ved</w:t>
      </w:r>
      <w:r w:rsidRPr="00C039B4">
        <w:t>rørte betalinger; beklager, at én bemærkning vedrørende udbudsproceduren fra de foregående år stadig er udestående;</w:t>
      </w:r>
    </w:p>
    <w:bookmarkEnd w:id="0"/>
    <w:p w:rsidR="00A868C4" w:rsidRPr="00C039B4" w:rsidRDefault="00E72362" w:rsidP="00A868C4">
      <w:pPr>
        <w:pStyle w:val="NormalHanging12a"/>
        <w:jc w:val="both"/>
      </w:pPr>
      <w:r w:rsidRPr="00C039B4">
        <w:t>3.</w:t>
      </w:r>
      <w:r w:rsidRPr="00C039B4">
        <w:tab/>
        <w:t xml:space="preserve">understreger, at Cepol kun når direkte ud til en lille del af sin målgruppe gennem sine uddannelsesaktiviteter på grund af dets relativt </w:t>
      </w:r>
      <w:r w:rsidRPr="00C039B4">
        <w:t>lille størrelse og dets årlige budget; tilskynder Kommissionen til at gennemføre en evalueringsundersøgelse af muligheden for at sammenlægge Cepol med andre agenturer, der arbejder inden for samme ansvarsområde;</w:t>
      </w:r>
    </w:p>
    <w:p w:rsidR="00063D81" w:rsidRPr="00C039B4" w:rsidRDefault="00E72362" w:rsidP="00A868C4">
      <w:pPr>
        <w:pStyle w:val="NormalHanging12a"/>
        <w:jc w:val="both"/>
      </w:pPr>
      <w:r w:rsidRPr="00C039B4">
        <w:t>4.</w:t>
      </w:r>
      <w:r w:rsidRPr="00C039B4">
        <w:tab/>
        <w:t>bemærker, at grundlaget for Revisionsrett</w:t>
      </w:r>
      <w:r w:rsidRPr="00C039B4">
        <w:t>ens erklæring med forbehold om lovligheden og den formelle rigtighed af de betalinger, der ligger til grund for regnskaberne, var bestillinger og alle dertil knyttede betalinger, der blev foretaget i henhold til to rammekontrakter; minder om Cepols svar om</w:t>
      </w:r>
      <w:r w:rsidRPr="00C039B4">
        <w:t>, at tjenesteydelserne på trods af svagheder i formaliseringen af den retlige forpligtelse blev bestilt i overensstemmelse med Cepols behov og kontroller, og at der ikke er lidt tab; noterer sig endvidere Revisionsrettens bemærkning om svagheder i gennemfø</w:t>
      </w:r>
      <w:r w:rsidRPr="00C039B4">
        <w:t>relsen af en rammeaftale vedrørende uddannelsesredaktionelle tjenesteydelser i 2022 og konklusionen om, at alle betalinger vedrørende denne rammekontrakt, som i 2022 beløb sig til 152 655 EUR, er regelstridige; beklager, at Revisionsrettens resultater vist</w:t>
      </w:r>
      <w:r w:rsidRPr="00C039B4">
        <w:t>e, at de udbetalte beløb ikke kunne afstemmes med de leverede ydelser, og at der manglede væsentligt revisionsbevis vedrørende de betalte beløb; bemærker, at Cepol har indført korrigerende foranstaltninger med hensyn til de konstaterede uregelmæssigheder;</w:t>
      </w:r>
    </w:p>
    <w:p w:rsidR="00A868C4" w:rsidRPr="00C039B4" w:rsidRDefault="00E72362" w:rsidP="00A868C4">
      <w:pPr>
        <w:pStyle w:val="NormalHanging12a"/>
        <w:jc w:val="both"/>
      </w:pPr>
      <w:r w:rsidRPr="00C039B4">
        <w:t>5.</w:t>
      </w:r>
      <w:r w:rsidRPr="00C039B4">
        <w:tab/>
        <w:t>glæder sig over, at Cepol i 2022 gennemførte 418 uddannelsesaktiviteter, som 43 838 retshåndhævelsespersoner deltog i, og gennemførte 296 vellykkede udvekslinger; påskønner endvidere strategidokumentet fra ekspertgruppen om grundlæggende rettigheder, de</w:t>
      </w:r>
      <w:r w:rsidRPr="00C039B4">
        <w:t>r sigter mod at medtage de grundlæggende aspekter i alle uddannelsesaktiviteter; bemærker med tilfredshed, at der blev afholdt et ad hoc-kursus om beskyttelse af undersøgende journalister i 2022; glæder sig over de specifikke uddannelsestiltag vedrørende h</w:t>
      </w:r>
      <w:r w:rsidRPr="00C039B4">
        <w:t>adforbrydelser, der udbreder viden om effektive løsninger til støtte for ofre;</w:t>
      </w:r>
    </w:p>
    <w:p w:rsidR="00A868C4" w:rsidRPr="00C039B4" w:rsidRDefault="00E72362" w:rsidP="00A868C4">
      <w:pPr>
        <w:pStyle w:val="NormalHanging12a"/>
        <w:jc w:val="both"/>
      </w:pPr>
      <w:r w:rsidRPr="00C039B4">
        <w:lastRenderedPageBreak/>
        <w:t>6.</w:t>
      </w:r>
      <w:r w:rsidRPr="00C039B4">
        <w:tab/>
        <w:t>minder om, at uddannelsen inden for retshåndhævelse på EU-plan skal afspejle EU's prioriteter i overensstemmelse med medlemsstaternes uddannelsesbehov og understøtte EU's rea</w:t>
      </w:r>
      <w:r w:rsidRPr="00C039B4">
        <w:t>ktion på grov og organiseret kriminalitet og andre trusler mod den indre sikkerhed, og at beskyttelsen af grundlæggende rettigheder bør være et centralt element i Cepols uddannelsesaktiviteter; noterer sig uddannelsesaktiviteterne inden for terrorbekæmpels</w:t>
      </w:r>
      <w:r w:rsidRPr="00C039B4">
        <w:t>e, navnlig for så vidt angår finansiering af terrorisme, terrorisme og skydevåben, fremmedkrigere og aktiviteter rettet mod ekstremisme og radikalisering; opfordrer til mere uddannelse i cyberkriminalitet, cyberkriminalteknik, kunstig intelligens, databesk</w:t>
      </w:r>
      <w:r w:rsidRPr="00C039B4">
        <w:t>yttelse, grundlæggende rettigheder og bekæmpelse af racisme på EU-niveau; opfordrer Cepol til i alle sine aktiviteter at sikre fuld gennemsigtighed og fuld respekt for de grundlæggende rettigheder og folkeretten, navnlig hvad angår dets aktiviteter med tre</w:t>
      </w:r>
      <w:r w:rsidRPr="00C039B4">
        <w:t xml:space="preserve">djelande; </w:t>
      </w:r>
    </w:p>
    <w:p w:rsidR="00A868C4" w:rsidRPr="00C039B4" w:rsidRDefault="00E72362" w:rsidP="00A868C4">
      <w:pPr>
        <w:pStyle w:val="NormalHanging12a"/>
        <w:jc w:val="both"/>
      </w:pPr>
      <w:r w:rsidRPr="00C039B4">
        <w:t>7.</w:t>
      </w:r>
      <w:r w:rsidRPr="00C039B4">
        <w:tab/>
        <w:t>påskønner endvidere, at Cepol holdt en række webinarer som reaktion på krigen i Ukraine og gennemførte en særlig ad hoc-analyse af uddannelsesbehov, samt at Cepol støttede den ukrainske anklagemyndighed i forbindelse med udviklingen af en udd</w:t>
      </w:r>
      <w:r w:rsidRPr="00C039B4">
        <w:t>annelse inden for efterretning baseret på åbne kilder og tilbød ukrainske deltagere ekstra pladser i uddannelsesaktiviteterne, hvor det var muligt;</w:t>
      </w:r>
    </w:p>
    <w:p w:rsidR="00A868C4" w:rsidRPr="00C039B4" w:rsidRDefault="00E72362" w:rsidP="005729E0">
      <w:pPr>
        <w:pStyle w:val="NormalHanging12a"/>
        <w:ind w:left="560" w:hanging="560"/>
      </w:pPr>
      <w:r w:rsidRPr="00C039B4">
        <w:t>8.</w:t>
      </w:r>
      <w:r w:rsidRPr="00C039B4">
        <w:tab/>
        <w:t>noterer sig det stærke samarbejde med tredjelande, EU-agenturer, -organer og -netværk, navnlig med Europo</w:t>
      </w:r>
      <w:r w:rsidRPr="00C039B4">
        <w:t>l, Eurojust, Frontex, EJTN, Kommissionen, EMCDDA, EUIPO, FRA, EASO og andre internationale organisationer såsom Interpol.</w:t>
      </w:r>
    </w:p>
    <w:p w:rsidR="0009622E" w:rsidRPr="00C039B4" w:rsidRDefault="00E72362" w:rsidP="005729E0">
      <w:r w:rsidRPr="00C039B4">
        <w:br w:type="page"/>
      </w:r>
    </w:p>
    <w:p w:rsidR="0009622E" w:rsidRPr="00C039B4" w:rsidRDefault="00E72362" w:rsidP="0009622E">
      <w:pPr>
        <w:pStyle w:val="PageHeadingNotTOC"/>
      </w:pPr>
      <w:bookmarkStart w:id="1" w:name="ProcPageAD"/>
      <w:r w:rsidRPr="00C039B4">
        <w:lastRenderedPageBreak/>
        <w:t>OPLYSNINGER OM VEDTAGELSE I RÅDGIVENDE UDVALG</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3545C" w:rsidRPr="00C039B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b/>
                <w:bCs/>
                <w:color w:val="000000"/>
                <w:sz w:val="20"/>
              </w:rPr>
            </w:pPr>
            <w:r w:rsidRPr="00C039B4">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9622E" w:rsidRPr="00C039B4" w:rsidRDefault="00E72362">
            <w:pPr>
              <w:autoSpaceDE w:val="0"/>
              <w:autoSpaceDN w:val="0"/>
              <w:adjustRightInd w:val="0"/>
              <w:rPr>
                <w:color w:val="000000"/>
                <w:sz w:val="20"/>
              </w:rPr>
            </w:pPr>
            <w:r w:rsidRPr="00C039B4">
              <w:rPr>
                <w:color w:val="000000"/>
                <w:sz w:val="20"/>
              </w:rPr>
              <w:t>23.1.2024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9622E" w:rsidRPr="00C039B4" w:rsidRDefault="0009622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9622E" w:rsidRPr="00C039B4" w:rsidRDefault="0009622E">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9622E" w:rsidRPr="00C039B4" w:rsidRDefault="0009622E">
            <w:pPr>
              <w:autoSpaceDE w:val="0"/>
              <w:autoSpaceDN w:val="0"/>
              <w:adjustRightInd w:val="0"/>
              <w:rPr>
                <w:rFonts w:ascii="sans-serif" w:hAnsi="sans-serif" w:cs="sans-serif"/>
                <w:color w:val="000000"/>
                <w:szCs w:val="24"/>
              </w:rPr>
            </w:pPr>
          </w:p>
        </w:tc>
      </w:tr>
      <w:tr w:rsidR="0043545C" w:rsidRPr="00C039B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b/>
                <w:bCs/>
                <w:color w:val="000000"/>
                <w:sz w:val="20"/>
              </w:rPr>
            </w:pPr>
            <w:r w:rsidRPr="00C039B4">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9622E" w:rsidRPr="00C039B4" w:rsidRDefault="00E72362">
            <w:pPr>
              <w:autoSpaceDE w:val="0"/>
              <w:autoSpaceDN w:val="0"/>
              <w:adjustRightInd w:val="0"/>
              <w:rPr>
                <w:color w:val="000000"/>
                <w:sz w:val="20"/>
              </w:rPr>
            </w:pPr>
            <w:r w:rsidRPr="00C039B4">
              <w:rPr>
                <w:color w:val="000000"/>
                <w:sz w:val="20"/>
              </w:rPr>
              <w:t>+:</w:t>
            </w:r>
          </w:p>
          <w:p w:rsidR="0009622E" w:rsidRPr="00C039B4" w:rsidRDefault="00E72362">
            <w:pPr>
              <w:autoSpaceDE w:val="0"/>
              <w:autoSpaceDN w:val="0"/>
              <w:adjustRightInd w:val="0"/>
              <w:rPr>
                <w:color w:val="000000"/>
                <w:sz w:val="20"/>
              </w:rPr>
            </w:pPr>
            <w:r w:rsidRPr="00C039B4">
              <w:rPr>
                <w:color w:val="000000"/>
                <w:sz w:val="20"/>
              </w:rPr>
              <w:t>–:</w:t>
            </w:r>
          </w:p>
          <w:p w:rsidR="0009622E" w:rsidRPr="00C039B4" w:rsidRDefault="00E72362">
            <w:pPr>
              <w:autoSpaceDE w:val="0"/>
              <w:autoSpaceDN w:val="0"/>
              <w:adjustRightInd w:val="0"/>
              <w:rPr>
                <w:color w:val="000000"/>
                <w:sz w:val="20"/>
              </w:rPr>
            </w:pPr>
            <w:r w:rsidRPr="00C039B4">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color w:val="000000"/>
                <w:sz w:val="20"/>
              </w:rPr>
            </w:pPr>
            <w:r w:rsidRPr="00C039B4">
              <w:rPr>
                <w:color w:val="000000"/>
                <w:sz w:val="20"/>
              </w:rPr>
              <w:t>51</w:t>
            </w:r>
          </w:p>
          <w:p w:rsidR="0009622E" w:rsidRPr="00C039B4" w:rsidRDefault="00E72362">
            <w:pPr>
              <w:autoSpaceDE w:val="0"/>
              <w:autoSpaceDN w:val="0"/>
              <w:adjustRightInd w:val="0"/>
              <w:rPr>
                <w:color w:val="000000"/>
                <w:sz w:val="20"/>
              </w:rPr>
            </w:pPr>
            <w:r w:rsidRPr="00C039B4">
              <w:rPr>
                <w:color w:val="000000"/>
                <w:sz w:val="20"/>
              </w:rPr>
              <w:t>1</w:t>
            </w:r>
          </w:p>
          <w:p w:rsidR="0009622E" w:rsidRPr="00C039B4" w:rsidRDefault="00E72362">
            <w:pPr>
              <w:autoSpaceDE w:val="0"/>
              <w:autoSpaceDN w:val="0"/>
              <w:adjustRightInd w:val="0"/>
              <w:rPr>
                <w:color w:val="000000"/>
                <w:sz w:val="20"/>
              </w:rPr>
            </w:pPr>
            <w:r w:rsidRPr="00C039B4">
              <w:rPr>
                <w:color w:val="000000"/>
                <w:sz w:val="20"/>
              </w:rPr>
              <w:t>3</w:t>
            </w:r>
          </w:p>
        </w:tc>
      </w:tr>
      <w:tr w:rsidR="0043545C" w:rsidRPr="00C039B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b/>
                <w:bCs/>
                <w:color w:val="000000"/>
                <w:sz w:val="20"/>
              </w:rPr>
            </w:pPr>
            <w:r w:rsidRPr="00C039B4">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color w:val="000000"/>
                <w:sz w:val="20"/>
              </w:rPr>
            </w:pPr>
            <w:r w:rsidRPr="00C039B4">
              <w:rPr>
                <w:color w:val="000000"/>
                <w:sz w:val="20"/>
              </w:rPr>
              <w:t>Abir Al-Sahlani, Katarina Barley, Pietro Bartolo, Theresa Bielowski, Patrick Breyer, Saskia Bricmont, Jorge Buxadé Villalba, Damien Carême, Patricia Chagnon, Lena Düpont, Lucia Ďuriš Nicholsonová, Cornelia</w:t>
            </w:r>
            <w:r w:rsidRPr="00C039B4">
              <w:rPr>
                <w:color w:val="000000"/>
                <w:sz w:val="20"/>
              </w:rPr>
              <w:t xml:space="preserve"> Ernst, Laura Ferrara, Nicolaus Fest, Maria Grapini, Sylvie Guillaume, Andrzej Halicki, Evin Incir, Sophia in ‘t Veld, Patryk Jaki, Marina Kaljurand, Assita Kanko, Łukasz Kohut, Moritz Körner, Alice Kuhnke, Jeroen Lenaers, Juan Fernando López Aguilar, Erik</w:t>
            </w:r>
            <w:r w:rsidRPr="00C039B4">
              <w:rPr>
                <w:color w:val="000000"/>
                <w:sz w:val="20"/>
              </w:rPr>
              <w:t xml:space="preserve"> Marquardt, Javier Moreno Sánchez, Maite Pagazaurtundúa, Diana Riba i Giner, Isabel Santos, Birgit Sippel, Vincenzo Sofo, Tineke Strik, Jana Toom, Milan Uhrík, Tom Vandendriessche, Elissavet Vozemberg-Vrionidi, Javier Zarzalejos</w:t>
            </w:r>
          </w:p>
        </w:tc>
      </w:tr>
      <w:tr w:rsidR="0043545C" w:rsidRPr="00C039B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b/>
                <w:bCs/>
                <w:color w:val="000000"/>
                <w:sz w:val="20"/>
              </w:rPr>
            </w:pPr>
            <w:r w:rsidRPr="00C039B4">
              <w:rPr>
                <w:b/>
                <w:color w:val="000000"/>
                <w:sz w:val="20"/>
              </w:rPr>
              <w:t>Til stede ved den endelige</w:t>
            </w:r>
            <w:r w:rsidRPr="00C039B4">
              <w:rPr>
                <w:b/>
                <w:color w:val="000000"/>
                <w:sz w:val="20"/>
              </w:rPr>
              <w:t xml:space="preserv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color w:val="000000"/>
                <w:sz w:val="20"/>
              </w:rPr>
            </w:pPr>
            <w:r w:rsidRPr="00C039B4">
              <w:rPr>
                <w:color w:val="000000"/>
                <w:sz w:val="20"/>
              </w:rPr>
              <w:t>Cyrus Engerer, José Gusmão, Beata Kempa, Leopoldo López Gil, Janina Ochojska, Anne-Sophie Pelletier, Bergur Løkke Rasmussen, Róża Thun und Hohenstein, Maria Walsh, Tomáš Zdechovský</w:t>
            </w:r>
          </w:p>
        </w:tc>
      </w:tr>
      <w:tr w:rsidR="0043545C" w:rsidRPr="00C039B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b/>
                <w:bCs/>
                <w:color w:val="000000"/>
                <w:sz w:val="20"/>
              </w:rPr>
            </w:pPr>
            <w:r w:rsidRPr="00C039B4">
              <w:rPr>
                <w:b/>
                <w:color w:val="000000"/>
                <w:sz w:val="20"/>
              </w:rPr>
              <w:t xml:space="preserve">Til stede ved den endelige afstemning – </w:t>
            </w:r>
            <w:r w:rsidRPr="00C039B4">
              <w:rPr>
                <w:b/>
                <w:color w:val="000000"/>
                <w:sz w:val="20"/>
              </w:rPr>
              <w:t>stedfortrædere (forretningsordenens art. 209,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9622E" w:rsidRPr="00C039B4" w:rsidRDefault="00E72362">
            <w:pPr>
              <w:autoSpaceDE w:val="0"/>
              <w:autoSpaceDN w:val="0"/>
              <w:adjustRightInd w:val="0"/>
              <w:rPr>
                <w:color w:val="000000"/>
                <w:sz w:val="20"/>
              </w:rPr>
            </w:pPr>
            <w:r w:rsidRPr="00C039B4">
              <w:rPr>
                <w:color w:val="000000"/>
                <w:sz w:val="20"/>
              </w:rPr>
              <w:t>Andrus Ansip, Hildegard Bentele, Maria da Graça Carvalho, Marisa Matias, Caroline Nagtegaal</w:t>
            </w:r>
          </w:p>
        </w:tc>
      </w:tr>
    </w:tbl>
    <w:p w:rsidR="0009622E" w:rsidRPr="00C039B4" w:rsidRDefault="0009622E"/>
    <w:bookmarkEnd w:id="1"/>
    <w:p w:rsidR="00155807" w:rsidRPr="00C039B4" w:rsidRDefault="00155807" w:rsidP="0009622E">
      <w:pPr>
        <w:sectPr w:rsidR="00155807" w:rsidRPr="00C039B4" w:rsidSect="00C039B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155807" w:rsidRPr="00C039B4" w:rsidRDefault="00E72362" w:rsidP="002B2C72">
      <w:pPr>
        <w:pStyle w:val="PageHeadingNotTOC"/>
        <w:rPr>
          <w:noProof/>
        </w:rPr>
      </w:pPr>
      <w:bookmarkStart w:id="2" w:name="FootprintPageAD"/>
      <w:r w:rsidRPr="00C039B4">
        <w:lastRenderedPageBreak/>
        <w:t>BILAG: ENHEDER ELLER PERSONER,</w:t>
      </w:r>
      <w:r w:rsidRPr="00C039B4">
        <w:br/>
        <w:t>SOM ORDFØREREN HAR MODTAGET INPUT FRA</w:t>
      </w:r>
    </w:p>
    <w:p w:rsidR="00155807" w:rsidRPr="00C039B4" w:rsidRDefault="00E72362" w:rsidP="00037518">
      <w:pPr>
        <w:pStyle w:val="Normal24a"/>
      </w:pPr>
      <w:r w:rsidRPr="00C039B4">
        <w:rPr>
          <w:rStyle w:val="HideTWBExt"/>
        </w:rPr>
        <w:t>&lt;FootprintIntro&gt;</w:t>
      </w:r>
      <w:r w:rsidRPr="00C039B4">
        <w:t>Ordføreren erklærer på eg</w:t>
      </w:r>
      <w:r w:rsidRPr="00C039B4">
        <w:t>et ansvar, at han ikke har modtaget input fra nogen enhed eller person, der skal nævnes i dette bilag i henhold til artikel 8 i bilag I til forretningsordenen.</w:t>
      </w:r>
      <w:r w:rsidRPr="00C039B4">
        <w:rPr>
          <w:rStyle w:val="HideTWBExt"/>
        </w:rPr>
        <w:t>&lt;/FootprintIntro&gt;</w:t>
      </w:r>
    </w:p>
    <w:p w:rsidR="00155807" w:rsidRPr="00C039B4" w:rsidRDefault="00155807" w:rsidP="00AD5932"/>
    <w:p w:rsidR="00155807" w:rsidRPr="00C039B4" w:rsidRDefault="00155807" w:rsidP="00155807"/>
    <w:bookmarkEnd w:id="2"/>
    <w:p w:rsidR="00155807" w:rsidRPr="00C039B4" w:rsidRDefault="00155807" w:rsidP="0009622E">
      <w:pPr>
        <w:sectPr w:rsidR="00155807" w:rsidRPr="00C039B4" w:rsidSect="00155807">
          <w:footnotePr>
            <w:numRestart w:val="eachSect"/>
          </w:footnotePr>
          <w:endnotePr>
            <w:numFmt w:val="decimal"/>
          </w:endnotePr>
          <w:pgSz w:w="11906" w:h="16838" w:code="9"/>
          <w:pgMar w:top="1134" w:right="1418" w:bottom="1418" w:left="1418" w:header="1134" w:footer="567" w:gutter="0"/>
          <w:cols w:space="720"/>
          <w:noEndnote/>
          <w:docGrid w:linePitch="326"/>
        </w:sectPr>
      </w:pPr>
    </w:p>
    <w:p w:rsidR="00080CEB" w:rsidRPr="00C039B4" w:rsidRDefault="00E72362" w:rsidP="0009622E">
      <w:pPr>
        <w:pStyle w:val="PageHeadingNotTOC"/>
      </w:pPr>
      <w:bookmarkStart w:id="3" w:name="RollCallPageAD"/>
      <w:r w:rsidRPr="00C039B4">
        <w:t>ENDELIG AFSTEMNING VED NAVNEOPRÅB</w:t>
      </w:r>
      <w:r w:rsidRPr="00C039B4">
        <w:br/>
        <w:t xml:space="preserve">I RÅDGIVENDE </w:t>
      </w:r>
      <w:r w:rsidRPr="00C039B4">
        <w:t>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3545C" w:rsidRPr="00C039B4" w:rsidTr="008920AC">
        <w:trPr>
          <w:cantSplit/>
        </w:trPr>
        <w:tc>
          <w:tcPr>
            <w:tcW w:w="1701" w:type="dxa"/>
            <w:shd w:val="pct10" w:color="000000" w:fill="FFFFFF"/>
            <w:vAlign w:val="center"/>
          </w:tcPr>
          <w:p w:rsidR="00080CEB" w:rsidRPr="00C039B4" w:rsidRDefault="00E72362" w:rsidP="003858C5">
            <w:pPr>
              <w:pStyle w:val="RollCallVotes"/>
            </w:pPr>
            <w:r w:rsidRPr="00C039B4">
              <w:t>51</w:t>
            </w:r>
          </w:p>
        </w:tc>
        <w:tc>
          <w:tcPr>
            <w:tcW w:w="7371" w:type="dxa"/>
            <w:shd w:val="pct10" w:color="000000" w:fill="FFFFFF"/>
          </w:tcPr>
          <w:p w:rsidR="00080CEB" w:rsidRPr="00C039B4" w:rsidRDefault="00E72362" w:rsidP="003858C5">
            <w:pPr>
              <w:pStyle w:val="RollCallSymbols14pt"/>
            </w:pPr>
            <w:r w:rsidRPr="00C039B4">
              <w:t>+</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ECR</w:t>
            </w:r>
          </w:p>
        </w:tc>
        <w:tc>
          <w:tcPr>
            <w:tcW w:w="7371" w:type="dxa"/>
            <w:shd w:val="clear" w:color="auto" w:fill="FFFFFF"/>
          </w:tcPr>
          <w:p w:rsidR="00080CEB" w:rsidRPr="00C039B4" w:rsidRDefault="00E72362" w:rsidP="003858C5">
            <w:pPr>
              <w:pStyle w:val="RollCallTable"/>
            </w:pPr>
            <w:r w:rsidRPr="00C039B4">
              <w:t>Jorge Buxadé Villalba, Patryk Jaki, Assita Kanko, Beata Kempa, Vincenzo Sofo</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NI</w:t>
            </w:r>
          </w:p>
        </w:tc>
        <w:tc>
          <w:tcPr>
            <w:tcW w:w="7371" w:type="dxa"/>
            <w:shd w:val="clear" w:color="auto" w:fill="FFFFFF"/>
          </w:tcPr>
          <w:p w:rsidR="00080CEB" w:rsidRPr="00C039B4" w:rsidRDefault="00E72362" w:rsidP="003858C5">
            <w:pPr>
              <w:pStyle w:val="RollCallTable"/>
            </w:pPr>
            <w:r w:rsidRPr="00C039B4">
              <w:t>Laura Ferrara</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PPE</w:t>
            </w:r>
          </w:p>
        </w:tc>
        <w:tc>
          <w:tcPr>
            <w:tcW w:w="7371" w:type="dxa"/>
            <w:shd w:val="clear" w:color="auto" w:fill="FFFFFF"/>
          </w:tcPr>
          <w:p w:rsidR="00080CEB" w:rsidRPr="00C039B4" w:rsidRDefault="00E72362" w:rsidP="003858C5">
            <w:pPr>
              <w:pStyle w:val="RollCallTable"/>
            </w:pPr>
            <w:r w:rsidRPr="00C039B4">
              <w:t xml:space="preserve">Hildegard Bentele, Maria da Graça Carvalho, Lena Düpont, Andrzej Halicki, Jeroen Lenaers, Leopoldo López Gil, Janina Ochojska, Elissavet </w:t>
            </w:r>
            <w:r w:rsidRPr="00C039B4">
              <w:t>Vozemberg-Vrionidi, Maria Walsh, Javier Zarzalejos, Tomáš Zdechovský</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Renew</w:t>
            </w:r>
          </w:p>
        </w:tc>
        <w:tc>
          <w:tcPr>
            <w:tcW w:w="7371" w:type="dxa"/>
            <w:shd w:val="clear" w:color="auto" w:fill="FFFFFF"/>
          </w:tcPr>
          <w:p w:rsidR="00080CEB" w:rsidRPr="00C039B4" w:rsidRDefault="00E72362" w:rsidP="003858C5">
            <w:pPr>
              <w:pStyle w:val="RollCallTable"/>
            </w:pPr>
            <w:r w:rsidRPr="00C039B4">
              <w:t>Abir Al-Sahlani, Andrus Ansip, Lucia Ďuriš Nicholsonová, Sophia in 't Veld, Moritz Körner, Caroline Nagtegaal, Maite Pagazaurtundúa, Bergur Løkke Rasmussen, Róża Thun und Hohenstei</w:t>
            </w:r>
            <w:r w:rsidRPr="00C039B4">
              <w:t>n, Jana Toom</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S&amp;D</w:t>
            </w:r>
          </w:p>
        </w:tc>
        <w:tc>
          <w:tcPr>
            <w:tcW w:w="7371" w:type="dxa"/>
            <w:shd w:val="clear" w:color="auto" w:fill="FFFFFF"/>
          </w:tcPr>
          <w:p w:rsidR="00080CEB" w:rsidRPr="00C039B4" w:rsidRDefault="00E72362" w:rsidP="003858C5">
            <w:pPr>
              <w:pStyle w:val="RollCallTable"/>
            </w:pPr>
            <w:r w:rsidRPr="00C039B4">
              <w:t>Katarina Barley, Pietro Bartolo, Theresa Bielowski, Cyrus Engerer, Maria Grapini, Sylvie Guillaume, Evin Incir, Marina Kaljurand, Łukasz Kohut, Juan Fernando López Aguilar, Javier Moreno Sánchez, Isabel Santos, Birgit Sippel</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The Left</w:t>
            </w:r>
          </w:p>
        </w:tc>
        <w:tc>
          <w:tcPr>
            <w:tcW w:w="7371" w:type="dxa"/>
            <w:shd w:val="clear" w:color="auto" w:fill="FFFFFF"/>
          </w:tcPr>
          <w:p w:rsidR="00080CEB" w:rsidRPr="00C039B4" w:rsidRDefault="00E72362" w:rsidP="003858C5">
            <w:pPr>
              <w:pStyle w:val="RollCallTable"/>
            </w:pPr>
            <w:r w:rsidRPr="00C039B4">
              <w:t>Cor</w:t>
            </w:r>
            <w:r w:rsidRPr="00C039B4">
              <w:t>nelia Ernst, José Gusmão, Marisa Matias, Anne-Sophie Pelletier</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Verts/ALE</w:t>
            </w:r>
          </w:p>
        </w:tc>
        <w:tc>
          <w:tcPr>
            <w:tcW w:w="7371" w:type="dxa"/>
            <w:shd w:val="clear" w:color="auto" w:fill="FFFFFF"/>
          </w:tcPr>
          <w:p w:rsidR="00080CEB" w:rsidRPr="00C039B4" w:rsidRDefault="00E72362" w:rsidP="003858C5">
            <w:pPr>
              <w:pStyle w:val="RollCallTable"/>
            </w:pPr>
            <w:r w:rsidRPr="00C039B4">
              <w:t>Patrick Breyer, Saskia Bricmont, Damien Carême, Alice Kuhnke, Erik Marquardt, Diana Riba i Giner, Tineke Strik</w:t>
            </w:r>
          </w:p>
        </w:tc>
      </w:tr>
    </w:tbl>
    <w:p w:rsidR="00080CEB" w:rsidRPr="00C039B4" w:rsidRDefault="00080CEB"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3545C" w:rsidRPr="00C039B4" w:rsidTr="008920AC">
        <w:trPr>
          <w:cantSplit/>
        </w:trPr>
        <w:tc>
          <w:tcPr>
            <w:tcW w:w="1701" w:type="dxa"/>
            <w:shd w:val="pct10" w:color="000000" w:fill="FFFFFF"/>
            <w:vAlign w:val="center"/>
          </w:tcPr>
          <w:p w:rsidR="00080CEB" w:rsidRPr="00C039B4" w:rsidRDefault="00E72362" w:rsidP="003858C5">
            <w:pPr>
              <w:pStyle w:val="RollCallVotes"/>
            </w:pPr>
            <w:r w:rsidRPr="00C039B4">
              <w:t>1</w:t>
            </w:r>
          </w:p>
        </w:tc>
        <w:tc>
          <w:tcPr>
            <w:tcW w:w="7371" w:type="dxa"/>
            <w:shd w:val="pct10" w:color="000000" w:fill="FFFFFF"/>
          </w:tcPr>
          <w:p w:rsidR="00080CEB" w:rsidRPr="00C039B4" w:rsidRDefault="00E72362" w:rsidP="003858C5">
            <w:pPr>
              <w:pStyle w:val="RollCallSymbols14pt"/>
            </w:pPr>
            <w:r w:rsidRPr="00C039B4">
              <w:t>-</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NI</w:t>
            </w:r>
          </w:p>
        </w:tc>
        <w:tc>
          <w:tcPr>
            <w:tcW w:w="7371" w:type="dxa"/>
            <w:shd w:val="clear" w:color="auto" w:fill="FFFFFF"/>
          </w:tcPr>
          <w:p w:rsidR="00080CEB" w:rsidRPr="00C039B4" w:rsidRDefault="00E72362" w:rsidP="003858C5">
            <w:pPr>
              <w:pStyle w:val="RollCallTable"/>
            </w:pPr>
            <w:r w:rsidRPr="00C039B4">
              <w:t>Milan Uhrík</w:t>
            </w:r>
          </w:p>
        </w:tc>
      </w:tr>
    </w:tbl>
    <w:p w:rsidR="00080CEB" w:rsidRPr="00C039B4" w:rsidRDefault="00080CEB"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3545C" w:rsidRPr="00C039B4" w:rsidTr="008920AC">
        <w:trPr>
          <w:cantSplit/>
        </w:trPr>
        <w:tc>
          <w:tcPr>
            <w:tcW w:w="1701" w:type="dxa"/>
            <w:shd w:val="pct10" w:color="000000" w:fill="FFFFFF"/>
            <w:vAlign w:val="center"/>
          </w:tcPr>
          <w:p w:rsidR="00080CEB" w:rsidRPr="00C039B4" w:rsidRDefault="00E72362" w:rsidP="003858C5">
            <w:pPr>
              <w:pStyle w:val="RollCallVotes"/>
            </w:pPr>
            <w:r w:rsidRPr="00C039B4">
              <w:t>3</w:t>
            </w:r>
          </w:p>
        </w:tc>
        <w:tc>
          <w:tcPr>
            <w:tcW w:w="7371" w:type="dxa"/>
            <w:shd w:val="pct10" w:color="000000" w:fill="FFFFFF"/>
          </w:tcPr>
          <w:p w:rsidR="00080CEB" w:rsidRPr="00C039B4" w:rsidRDefault="00E72362" w:rsidP="003858C5">
            <w:pPr>
              <w:pStyle w:val="RollCallSymbols14pt"/>
            </w:pPr>
            <w:r w:rsidRPr="00C039B4">
              <w:t>0</w:t>
            </w:r>
          </w:p>
        </w:tc>
      </w:tr>
      <w:tr w:rsidR="0043545C" w:rsidRPr="00C039B4" w:rsidTr="008920AC">
        <w:trPr>
          <w:cantSplit/>
        </w:trPr>
        <w:tc>
          <w:tcPr>
            <w:tcW w:w="1701" w:type="dxa"/>
            <w:shd w:val="clear" w:color="auto" w:fill="FFFFFF"/>
          </w:tcPr>
          <w:p w:rsidR="00080CEB" w:rsidRPr="00C039B4" w:rsidRDefault="00E72362" w:rsidP="003858C5">
            <w:pPr>
              <w:pStyle w:val="RollCallTable"/>
            </w:pPr>
            <w:r w:rsidRPr="00C039B4">
              <w:t>ID</w:t>
            </w:r>
          </w:p>
        </w:tc>
        <w:tc>
          <w:tcPr>
            <w:tcW w:w="7371" w:type="dxa"/>
            <w:shd w:val="clear" w:color="auto" w:fill="FFFFFF"/>
          </w:tcPr>
          <w:p w:rsidR="00080CEB" w:rsidRPr="00C039B4" w:rsidRDefault="00E72362" w:rsidP="003858C5">
            <w:pPr>
              <w:pStyle w:val="RollCallTable"/>
            </w:pPr>
            <w:r w:rsidRPr="00C039B4">
              <w:t xml:space="preserve">Patricia Chagnon, Nicolaus Fest, Tom </w:t>
            </w:r>
            <w:r w:rsidRPr="00C039B4">
              <w:t>Vandendriessche</w:t>
            </w:r>
          </w:p>
        </w:tc>
      </w:tr>
    </w:tbl>
    <w:p w:rsidR="00080CEB" w:rsidRPr="00C039B4" w:rsidRDefault="00080CEB" w:rsidP="00147FBF">
      <w:pPr>
        <w:pStyle w:val="Normal12a"/>
      </w:pPr>
    </w:p>
    <w:p w:rsidR="00A262B4" w:rsidRPr="00C039B4" w:rsidRDefault="00E72362" w:rsidP="00A262B4">
      <w:r w:rsidRPr="00C039B4">
        <w:t>Tegnforklaring:</w:t>
      </w:r>
    </w:p>
    <w:p w:rsidR="00A262B4" w:rsidRPr="00C039B4" w:rsidRDefault="00E72362" w:rsidP="00A262B4">
      <w:r w:rsidRPr="00C039B4">
        <w:t>+: for</w:t>
      </w:r>
    </w:p>
    <w:p w:rsidR="00A262B4" w:rsidRPr="00C039B4" w:rsidRDefault="00E72362" w:rsidP="00A262B4">
      <w:r w:rsidRPr="00C039B4">
        <w:t>-: imod</w:t>
      </w:r>
    </w:p>
    <w:p w:rsidR="00A262B4" w:rsidRPr="00C039B4" w:rsidRDefault="00E72362" w:rsidP="00A262B4">
      <w:r w:rsidRPr="00C039B4">
        <w:t>0: hverken/eller</w:t>
      </w:r>
    </w:p>
    <w:p w:rsidR="00A262B4" w:rsidRPr="00C039B4" w:rsidRDefault="00A262B4" w:rsidP="00A262B4"/>
    <w:p w:rsidR="002E6F98" w:rsidRPr="00C039B4" w:rsidRDefault="002E6F98" w:rsidP="00080CEB">
      <w:bookmarkStart w:id="4" w:name="_GoBack"/>
      <w:bookmarkEnd w:id="3"/>
      <w:bookmarkEnd w:id="4"/>
    </w:p>
    <w:sectPr w:rsidR="002E6F98" w:rsidRPr="00C039B4" w:rsidSect="00155807">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C039B4" w:rsidRDefault="00E72362">
      <w:r w:rsidRPr="00C039B4">
        <w:separator/>
      </w:r>
    </w:p>
  </w:endnote>
  <w:endnote w:type="continuationSeparator" w:id="0">
    <w:p w:rsidR="00000000" w:rsidRPr="00C039B4" w:rsidRDefault="00E72362">
      <w:r w:rsidRPr="00C039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9B4" w:rsidRPr="00C039B4" w:rsidRDefault="00C039B4" w:rsidP="00C039B4">
    <w:pPr>
      <w:pStyle w:val="EPFooter"/>
    </w:pPr>
    <w:r w:rsidRPr="00C039B4">
      <w:t>PE</w:t>
    </w:r>
    <w:r w:rsidRPr="00C039B4">
      <w:rPr>
        <w:rStyle w:val="HideTWBExt"/>
      </w:rPr>
      <w:t>&lt;NoPE&gt;</w:t>
    </w:r>
    <w:r w:rsidRPr="00C039B4">
      <w:t>756.191</w:t>
    </w:r>
    <w:r w:rsidRPr="00C039B4">
      <w:rPr>
        <w:rStyle w:val="HideTWBExt"/>
      </w:rPr>
      <w:t>&lt;/NoPE&gt;&lt;Version&gt;</w:t>
    </w:r>
    <w:r w:rsidRPr="00C039B4">
      <w:t>v03-00</w:t>
    </w:r>
    <w:r w:rsidRPr="00C039B4">
      <w:rPr>
        <w:rStyle w:val="HideTWBExt"/>
      </w:rPr>
      <w:t>&lt;/Version&gt;</w:t>
    </w:r>
    <w:r w:rsidRPr="00C039B4">
      <w:tab/>
    </w:r>
    <w:r w:rsidRPr="00C039B4">
      <w:fldChar w:fldCharType="begin"/>
    </w:r>
    <w:r w:rsidRPr="00C039B4">
      <w:instrText xml:space="preserve"> PAGE  \* MERGEFORMAT </w:instrText>
    </w:r>
    <w:r w:rsidRPr="00C039B4">
      <w:fldChar w:fldCharType="separate"/>
    </w:r>
    <w:r w:rsidR="00E72362">
      <w:rPr>
        <w:noProof/>
      </w:rPr>
      <w:t>6</w:t>
    </w:r>
    <w:r w:rsidRPr="00C039B4">
      <w:fldChar w:fldCharType="end"/>
    </w:r>
    <w:r w:rsidRPr="00C039B4">
      <w:t>/</w:t>
    </w:r>
    <w:fldSimple w:instr=" NUMPAGES  \* MERGEFORMAT ">
      <w:r w:rsidR="00E72362">
        <w:rPr>
          <w:noProof/>
        </w:rPr>
        <w:t>7</w:t>
      </w:r>
    </w:fldSimple>
    <w:r w:rsidRPr="00C039B4">
      <w:tab/>
    </w:r>
    <w:r w:rsidRPr="00C039B4">
      <w:rPr>
        <w:rStyle w:val="HideTWBExt"/>
      </w:rPr>
      <w:t>&lt;PathFdR&gt;</w:t>
    </w:r>
    <w:r w:rsidRPr="00C039B4">
      <w:t>AD\1295224DA.docx</w:t>
    </w:r>
    <w:r w:rsidRPr="00C039B4">
      <w:rPr>
        <w:rStyle w:val="HideTWBExt"/>
      </w:rPr>
      <w:t>&lt;/PathFdR&gt;</w:t>
    </w:r>
  </w:p>
  <w:p w:rsidR="002E2F2E" w:rsidRPr="00C039B4" w:rsidRDefault="00C039B4" w:rsidP="00C039B4">
    <w:pPr>
      <w:pStyle w:val="EPFooter2"/>
    </w:pPr>
    <w:r w:rsidRPr="00C039B4">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9B4" w:rsidRPr="00C039B4" w:rsidRDefault="00C039B4" w:rsidP="00C039B4">
    <w:pPr>
      <w:pStyle w:val="EPFooter"/>
    </w:pPr>
    <w:r w:rsidRPr="00C039B4">
      <w:rPr>
        <w:rStyle w:val="HideTWBExt"/>
      </w:rPr>
      <w:t>&lt;PathFdR&gt;</w:t>
    </w:r>
    <w:r w:rsidRPr="00C039B4">
      <w:t>AD\1295224DA.docx</w:t>
    </w:r>
    <w:r w:rsidRPr="00C039B4">
      <w:rPr>
        <w:rStyle w:val="HideTWBExt"/>
      </w:rPr>
      <w:t>&lt;/PathFdR&gt;</w:t>
    </w:r>
    <w:r w:rsidRPr="00C039B4">
      <w:tab/>
    </w:r>
    <w:r w:rsidRPr="00C039B4">
      <w:fldChar w:fldCharType="begin"/>
    </w:r>
    <w:r w:rsidRPr="00C039B4">
      <w:instrText xml:space="preserve"> PAGE  \* MERGEFORMAT </w:instrText>
    </w:r>
    <w:r w:rsidRPr="00C039B4">
      <w:fldChar w:fldCharType="separate"/>
    </w:r>
    <w:r w:rsidR="00E72362">
      <w:rPr>
        <w:noProof/>
      </w:rPr>
      <w:t>7</w:t>
    </w:r>
    <w:r w:rsidRPr="00C039B4">
      <w:fldChar w:fldCharType="end"/>
    </w:r>
    <w:r w:rsidRPr="00C039B4">
      <w:t>/</w:t>
    </w:r>
    <w:fldSimple w:instr=" NUMPAGES  \* MERGEFORMAT ">
      <w:r w:rsidR="00E72362">
        <w:rPr>
          <w:noProof/>
        </w:rPr>
        <w:t>7</w:t>
      </w:r>
    </w:fldSimple>
    <w:r w:rsidRPr="00C039B4">
      <w:tab/>
      <w:t>PE</w:t>
    </w:r>
    <w:r w:rsidRPr="00C039B4">
      <w:rPr>
        <w:rStyle w:val="HideTWBExt"/>
      </w:rPr>
      <w:t>&lt;NoPE&gt;</w:t>
    </w:r>
    <w:r w:rsidRPr="00C039B4">
      <w:t>756.191</w:t>
    </w:r>
    <w:r w:rsidRPr="00C039B4">
      <w:rPr>
        <w:rStyle w:val="HideTWBExt"/>
      </w:rPr>
      <w:t>&lt;/NoPE&gt;&lt;Version&gt;</w:t>
    </w:r>
    <w:r w:rsidRPr="00C039B4">
      <w:t>v03-00</w:t>
    </w:r>
    <w:r w:rsidRPr="00C039B4">
      <w:rPr>
        <w:rStyle w:val="HideTWBExt"/>
      </w:rPr>
      <w:t>&lt;/Version&gt;</w:t>
    </w:r>
  </w:p>
  <w:p w:rsidR="002E2F2E" w:rsidRPr="00C039B4" w:rsidRDefault="00C039B4" w:rsidP="00C039B4">
    <w:pPr>
      <w:pStyle w:val="EPFooter2"/>
    </w:pPr>
    <w:r w:rsidRPr="00C039B4">
      <w:tab/>
    </w:r>
    <w:r w:rsidRPr="00C039B4">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9B4" w:rsidRPr="00C039B4" w:rsidRDefault="00C039B4" w:rsidP="00C039B4">
    <w:pPr>
      <w:pStyle w:val="EPFooter"/>
    </w:pPr>
    <w:r w:rsidRPr="00C039B4">
      <w:rPr>
        <w:rStyle w:val="HideTWBExt"/>
      </w:rPr>
      <w:t>&lt;PathFdR&gt;</w:t>
    </w:r>
    <w:r w:rsidRPr="00C039B4">
      <w:t>AD\1295224DA.docx</w:t>
    </w:r>
    <w:r w:rsidRPr="00C039B4">
      <w:rPr>
        <w:rStyle w:val="HideTWBExt"/>
      </w:rPr>
      <w:t>&lt;/PathFdR&gt;</w:t>
    </w:r>
    <w:r w:rsidRPr="00C039B4">
      <w:tab/>
    </w:r>
    <w:r w:rsidRPr="00C039B4">
      <w:tab/>
      <w:t>PE</w:t>
    </w:r>
    <w:r w:rsidRPr="00C039B4">
      <w:rPr>
        <w:rStyle w:val="HideTWBExt"/>
      </w:rPr>
      <w:t>&lt;NoPE&gt;</w:t>
    </w:r>
    <w:r w:rsidRPr="00C039B4">
      <w:t>756.191</w:t>
    </w:r>
    <w:r w:rsidRPr="00C039B4">
      <w:rPr>
        <w:rStyle w:val="HideTWBExt"/>
      </w:rPr>
      <w:t>&lt;/NoPE&gt;&lt;Version&gt;</w:t>
    </w:r>
    <w:r w:rsidRPr="00C039B4">
      <w:t>v03-00</w:t>
    </w:r>
    <w:r w:rsidRPr="00C039B4">
      <w:rPr>
        <w:rStyle w:val="HideTWBExt"/>
      </w:rPr>
      <w:t>&lt;/Version&gt;</w:t>
    </w:r>
  </w:p>
  <w:p w:rsidR="002E2F2E" w:rsidRPr="00C039B4" w:rsidRDefault="00C039B4" w:rsidP="00C039B4">
    <w:pPr>
      <w:pStyle w:val="EPFooter2"/>
    </w:pPr>
    <w:r w:rsidRPr="00C039B4">
      <w:t>DA</w:t>
    </w:r>
    <w:r w:rsidRPr="00C039B4">
      <w:tab/>
    </w:r>
    <w:r w:rsidRPr="00C039B4">
      <w:rPr>
        <w:b w:val="0"/>
        <w:i/>
        <w:color w:val="C0C0C0"/>
        <w:sz w:val="22"/>
      </w:rPr>
      <w:t>Forenet i mangfoldighed</w:t>
    </w:r>
    <w:r w:rsidRPr="00C039B4">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C039B4" w:rsidRDefault="00E72362">
      <w:r w:rsidRPr="00C039B4">
        <w:separator/>
      </w:r>
    </w:p>
  </w:footnote>
  <w:footnote w:type="continuationSeparator" w:id="0">
    <w:p w:rsidR="00000000" w:rsidRPr="00C039B4" w:rsidRDefault="00E72362">
      <w:r w:rsidRPr="00C039B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62" w:rsidRDefault="00E723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62" w:rsidRDefault="00E723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62" w:rsidRDefault="00E723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DECMNU" w:val=" 1"/>
    <w:docVar w:name="AUTHORMFMNU" w:val=" 1"/>
    <w:docVar w:name="CJMNU" w:val="1"/>
    <w:docVar w:name="CODEMNU" w:val=" 7"/>
    <w:docVar w:name="COM2KEY" w:val="CONT"/>
    <w:docVar w:name="COMKEY" w:val="LIBE"/>
    <w:docVar w:name="CONTRIBUTIONMNU" w:val=" 2"/>
    <w:docVar w:name="FONCTIONMNU" w:val=" 1"/>
    <w:docVar w:name="LastEditedSection" w:val=" 1"/>
    <w:docVar w:name="RepeatBlock-AmendEN"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6\fbidi \froman\fcharset238\fprq2 Times New Roman CE;}{\f327\fbidi \froman\fcharset204\fprq2 Times New Roman Cyr;}_x000d__x000a_{\f329\fbidi \froman\fcharset161\fprq2 Times New Roman Greek;}{\f330\fbidi \froman\fcharset162\fprq2 Times New Roman Tur;}{\f331\fbidi \froman\fcharset177\fprq2 Times New Roman (Hebrew);}{\f332\fbidi \froman\fcharset178\fprq2 Times New Roman (Arabic);}_x000d__x000a_{\f333\fbidi \froman\fcharset186\fprq2 Times New Roman Baltic;}{\f334\fbidi \froman\fcharset163\fprq2 Times New Roman (Vietnamese);}{\f336\fbidi \fswiss\fcharset238\fprq2 Arial CE;}{\f337\fbidi \fswiss\fcharset204\fprq2 Arial Cyr;}_x000d__x000a_{\f339\fbidi \fswiss\fcharset161\fprq2 Arial Greek;}{\f340\fbidi \fswiss\fcharset162\fprq2 Arial Tur;}{\f341\fbidi \fswiss\fcharset177\fprq2 Arial (Hebrew);}{\f342\fbidi \fswiss\fcharset178\fprq2 Arial (Arabic);}_x000d__x000a_{\f343\fbidi \fswiss\fcharset186\fprq2 Arial Baltic;}{\f344\fbidi \fswiss\fcharset163\fprq2 Arial (Vietnamese);}{\f666\fbidi \froman\fcharset238\fprq2 Cambria Math CE;}{\f667\fbidi \froman\fcharset204\fprq2 Cambria Math Cyr;}_x000d__x000a_{\f669\fbidi \froman\fcharset161\fprq2 Cambria Math Greek;}{\f670\fbidi \froman\fcharset162\fprq2 Cambria Math Tur;}{\f673\fbidi \froman\fcharset186\fprq2 Cambria Math Baltic;}{\f67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126715 HideTWBInt;}{_x000d__x000a_\s18\ql \fi-567\li567\ri0\sa240\nowidctlpar\wrapdefault\aspalpha\aspnum\faauto\adjustright\rin0\lin567\itap0 \rtlch\fcs1 \af0\afs20\alang1025 \ltrch\fcs0 \fs24\lang2057\langfe2057\cgrid\langnp2057\langfenp2057 _x000d__x000a_\sbasedon0 \snext18 \spriority0 \styrsid5126715 NormalHanging12a;}}{\*\rsidtbl \rsid24658\rsid223860\rsid735077\rsid1718133\rsid2892074\rsid3565327\rsid3674976\rsid4666813\rsid5126715\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CUADRAT SEIX Iban}{\operator CUADRAT SEIX Iban}{\creatim\yr2024\mo1\dy19\hr12\min39}{\revtim\yr2024\mo1\dy19\hr12\min39}{\version1}{\edmins0}{\nofpages1}{\nofwords1}{\nofchars12}{\nofcharsws12}{\vern109}}{\*\xmlnstbl {\xmlns1 http://schemas.micro_x000d__x000a_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126715\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3674976 \chftnsep _x000d__x000a_\par }}{\*\ftnsepc \ltrpar \pard\plain \ltrpar\ql \li0\ri0\widctlpar\wrapdefault\aspalpha\aspnum\faauto\adjustright\rin0\lin0\itap0 \rtlch\fcs1 \af0\afs20\alang1025 \ltrch\fcs0 \fs24\lang2057\langfe2057\cgrid\langnp2057\langfenp2057 {\rtlch\fcs1 \af0 _x000d__x000a_\ltrch\fcs0 \insrsid3674976 \chftnsepc _x000d__x000a_\par }}{\*\aftnsep \ltrpar \pard\plain \ltrpar\ql \li0\ri0\widctlpar\wrapdefault\aspalpha\aspnum\faauto\adjustright\rin0\lin0\itap0 \rtlch\fcs1 \af0\afs20\alang1025 \ltrch\fcs0 \fs24\lang2057\langfe2057\cgrid\langnp2057\langfenp2057 {\rtlch\fcs1 \af0 _x000d__x000a_\ltrch\fcs0 \insrsid3674976 \chftnsep _x000d__x000a_\par }}{\*\aftnsepc \ltrpar \pard\plain \ltrpar\ql \li0\ri0\widctlpar\wrapdefault\aspalpha\aspnum\faauto\adjustright\rin0\lin0\itap0 \rtlch\fcs1 \af0\afs20\alang1025 \ltrch\fcs0 \fs24\lang2057\langfe2057\cgrid\langnp2057\langfenp2057 {\rtlch\fcs1 \af0 _x000d__x000a_\ltrch\fcs0 \insrsid367497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5126715 \rtlch\fcs1 \af0\afs20\alang1025 \ltrch\fcs0 \fs24\lang2057\langfe2057\cgrid\langnp2057\langfenp2057 {\rtlch\fcs1 \af0 _x000d__x000a_\ltrch\fcs0 \insrsid5126715\charrsid13044652 {\*\bkmkstart restart}#}{\rtlch\fcs1 \af1 \ltrch\fcs0 \cs17\v\f1\fs20\cf15\insrsid5126715\charrsid13044652 NRMSG}{\rtlch\fcs1 \af0 \ltrch\fcs0 \insrsid5126715\charrsid13044652 #.\tab ##}{\rtlch\fcs1 \af0 _x000d__x000a_\ltrch\fcs0 \insrsid5126715\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e_x000d__x000a_0231cc4a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27\deflangfe102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6\fbidi \froman\fcharset238\fprq2 Times New Roman CE;}{\f327\fbidi \froman\fcharset204\fprq2 Times New Roman Cyr;}_x000d__x000a_{\f329\fbidi \froman\fcharset161\fprq2 Times New Roman Greek;}{\f330\fbidi \froman\fcharset162\fprq2 Times New Roman Tur;}{\f331\fbidi \froman\fcharset177\fprq2 Times New Roman (Hebrew);}{\f332\fbidi \froman\fcharset178\fprq2 Times New Roman (Arabic);}_x000d__x000a_{\f333\fbidi \froman\fcharset186\fprq2 Times New Roman Baltic;}{\f334\fbidi \froman\fcharset163\fprq2 Times New Roman (Vietnamese);}{\f666\fbidi \froman\fcharset238\fprq2 Cambria Math CE;}{\f667\fbidi \froman\fcharset204\fprq2 Cambria Math Cyr;}_x000d__x000a_{\f669\fbidi \froman\fcharset161\fprq2 Cambria Math Greek;}{\f670\fbidi \froman\fcharset162\fprq2 Cambria Math Tur;}{\f673\fbidi \froman\fcharset186\fprq2 Cambria Math Baltic;}{\f67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4677518 NormalHanging12a;}}{\*\rsidtbl \rsid24658\rsid223860\rsid735077\rsid1718133\rsid2892074\rsid3565327\rsid4391474\rsid4666813\rsid4677518\rsid6641733_x000d__x000a_\rsid7823322\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CUADRAT SEIX Iban}{\operator CUADRAT SEIX Iban}{\creatim\yr2024\mo1\dy19\hr12\min39}{\revtim\yr2024\mo1\dy19\hr12\min39}{\version1}{\edmins0}{\nofpages1}{\nofwords5}{\nofchars30}{\nofcharsws34}_x000d__x000a_{\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677518\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4391474 \chftnsep _x000d__x000a_\par }}{\*\ftnsepc \ltrpar \pard\plain \ltrpar\ql \li0\ri0\widctlpar\wrapdefault\aspalpha\aspnum\faauto\adjustright\rin0\lin0\itap0 \rtlch\fcs1 \af0\afs20\alang1025 \ltrch\fcs0 \fs24\lang2057\langfe2057\cgrid\langnp2057\langfenp2057 {\rtlch\fcs1 \af0 _x000d__x000a_\ltrch\fcs0 \insrsid4391474 \chftnsepc _x000d__x000a_\par }}{\*\aftnsep \ltrpar \pard\plain \ltrpar\ql \li0\ri0\widctlpar\wrapdefault\aspalpha\aspnum\faauto\adjustright\rin0\lin0\itap0 \rtlch\fcs1 \af0\afs20\alang1025 \ltrch\fcs0 \fs24\lang2057\langfe2057\cgrid\langnp2057\langfenp2057 {\rtlch\fcs1 \af0 _x000d__x000a_\ltrch\fcs0 \insrsid4391474 \chftnsep _x000d__x000a_\par }}{\*\aftnsepc \ltrpar \pard\plain \ltrpar\ql \li0\ri0\widctlpar\wrapdefault\aspalpha\aspnum\faauto\adjustright\rin0\lin0\itap0 \rtlch\fcs1 \af0\afs20\alang1025 \ltrch\fcs0 \fs24\lang2057\langfe2057\cgrid\langnp2057\langfenp2057 {\rtlch\fcs1 \af0 _x000d__x000a_\ltrch\fcs0 \insrsid43914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4677518 \rtlch\fcs1 \af0\afs20\alang1025 \ltrch\fcs0 \fs24\lang2057\langfe2057\cgrid\langnp2057\langfenp2057 {\rtlch\fcs1 \af0 _x000d__x000a_\ltrch\fcs0 \insrsid4677518\charrsid1525456 {\*\bkmkstart restart}[ZSUGGESTIONNR]\tab [ZSUGGESTIONTEXT]}{\rtlch\fcs1 \af0 \ltrch\fcs0 \insrsid4677518\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32_x000d__x000a_b033cc4a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5"/>
    <w:docVar w:name="TXTLANGUE" w:val="EN"/>
    <w:docVar w:name="TXTLANGUEMIN" w:val="en"/>
    <w:docVar w:name="TXTNRPE" w:val="756.191"/>
    <w:docVar w:name="TXTNRPROC" w:val="2023/2144"/>
    <w:docVar w:name="TXTPEorAP" w:val="PE"/>
    <w:docVar w:name="TXTROUTE" w:val="AD\1295224EN.docx"/>
    <w:docVar w:name="TXTTITLE" w:val="of the European Union Agency for Law Enforcement Training (CEPOL) for the financial year 2022"/>
    <w:docVar w:name="TXTVERSION" w:val="03-00"/>
  </w:docVars>
  <w:rsids>
    <w:rsidRoot w:val="00C70BAC"/>
    <w:rsid w:val="00037518"/>
    <w:rsid w:val="00063D81"/>
    <w:rsid w:val="00080CEB"/>
    <w:rsid w:val="0009622E"/>
    <w:rsid w:val="000E7EBF"/>
    <w:rsid w:val="00124F60"/>
    <w:rsid w:val="00135121"/>
    <w:rsid w:val="00140BE6"/>
    <w:rsid w:val="00147F4E"/>
    <w:rsid w:val="00147FBF"/>
    <w:rsid w:val="00155807"/>
    <w:rsid w:val="0016635E"/>
    <w:rsid w:val="001746D0"/>
    <w:rsid w:val="001A5D8D"/>
    <w:rsid w:val="001B7393"/>
    <w:rsid w:val="001D2ED9"/>
    <w:rsid w:val="001F21C1"/>
    <w:rsid w:val="002B2C72"/>
    <w:rsid w:val="002D28A7"/>
    <w:rsid w:val="002E2F2E"/>
    <w:rsid w:val="002E5E51"/>
    <w:rsid w:val="002E6F98"/>
    <w:rsid w:val="002F079D"/>
    <w:rsid w:val="00310677"/>
    <w:rsid w:val="00325BCB"/>
    <w:rsid w:val="00331944"/>
    <w:rsid w:val="00332AD9"/>
    <w:rsid w:val="00347D2C"/>
    <w:rsid w:val="0037356F"/>
    <w:rsid w:val="003858C5"/>
    <w:rsid w:val="00390EB2"/>
    <w:rsid w:val="00396A0E"/>
    <w:rsid w:val="003E2402"/>
    <w:rsid w:val="003F701A"/>
    <w:rsid w:val="0043545C"/>
    <w:rsid w:val="004950FF"/>
    <w:rsid w:val="004C28FB"/>
    <w:rsid w:val="004C44C0"/>
    <w:rsid w:val="004F6E5D"/>
    <w:rsid w:val="0051119D"/>
    <w:rsid w:val="0052544E"/>
    <w:rsid w:val="005729E0"/>
    <w:rsid w:val="0058163B"/>
    <w:rsid w:val="005940C3"/>
    <w:rsid w:val="00594C48"/>
    <w:rsid w:val="005B2F11"/>
    <w:rsid w:val="005C0BDF"/>
    <w:rsid w:val="005D60C6"/>
    <w:rsid w:val="006102E7"/>
    <w:rsid w:val="00640C1B"/>
    <w:rsid w:val="00657AFB"/>
    <w:rsid w:val="006D5BF7"/>
    <w:rsid w:val="008313E7"/>
    <w:rsid w:val="00854CAC"/>
    <w:rsid w:val="00885F0F"/>
    <w:rsid w:val="008A32C5"/>
    <w:rsid w:val="008C0D74"/>
    <w:rsid w:val="008C6203"/>
    <w:rsid w:val="008D61E7"/>
    <w:rsid w:val="008F7002"/>
    <w:rsid w:val="0099493F"/>
    <w:rsid w:val="009E4314"/>
    <w:rsid w:val="00A16BEA"/>
    <w:rsid w:val="00A262B4"/>
    <w:rsid w:val="00A312B3"/>
    <w:rsid w:val="00A72C35"/>
    <w:rsid w:val="00A868C4"/>
    <w:rsid w:val="00AD5932"/>
    <w:rsid w:val="00AE180F"/>
    <w:rsid w:val="00B362F7"/>
    <w:rsid w:val="00B5456B"/>
    <w:rsid w:val="00B74A14"/>
    <w:rsid w:val="00B74B53"/>
    <w:rsid w:val="00BC26E4"/>
    <w:rsid w:val="00BD1EAA"/>
    <w:rsid w:val="00C039B4"/>
    <w:rsid w:val="00C52739"/>
    <w:rsid w:val="00C70BAC"/>
    <w:rsid w:val="00C827FF"/>
    <w:rsid w:val="00C85D0F"/>
    <w:rsid w:val="00CC7EAB"/>
    <w:rsid w:val="00CD34AC"/>
    <w:rsid w:val="00DE19FF"/>
    <w:rsid w:val="00E72362"/>
    <w:rsid w:val="00E81BA6"/>
    <w:rsid w:val="00E856D2"/>
    <w:rsid w:val="00E929A7"/>
    <w:rsid w:val="00F352E6"/>
    <w:rsid w:val="00F603B2"/>
    <w:rsid w:val="00FA2781"/>
    <w:rsid w:val="00FC6460"/>
    <w:rsid w:val="00FD0625"/>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BA7F5D-697F-4A6E-87C9-5303FED9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er">
    <w:name w:val="footer"/>
    <w:basedOn w:val="Normal"/>
    <w:link w:val="FooterChar"/>
    <w:semiHidden/>
    <w:rsid w:val="002F079D"/>
    <w:pPr>
      <w:tabs>
        <w:tab w:val="center" w:pos="4513"/>
        <w:tab w:val="right" w:pos="9026"/>
      </w:tabs>
    </w:pPr>
  </w:style>
  <w:style w:type="character" w:customStyle="1" w:styleId="FooterChar">
    <w:name w:val="Footer Char"/>
    <w:basedOn w:val="DefaultParagraphFont"/>
    <w:link w:val="Footer"/>
    <w:semiHidden/>
    <w:rsid w:val="002F079D"/>
    <w:rPr>
      <w:sz w:val="24"/>
    </w:rPr>
  </w:style>
  <w:style w:type="paragraph" w:styleId="BalloonText">
    <w:name w:val="Balloon Text"/>
    <w:basedOn w:val="Normal"/>
    <w:link w:val="BalloonTextChar"/>
    <w:semiHidden/>
    <w:unhideWhenUsed/>
    <w:rsid w:val="00063D81"/>
    <w:rPr>
      <w:rFonts w:ascii="Segoe UI" w:hAnsi="Segoe UI" w:cs="Segoe UI"/>
      <w:sz w:val="18"/>
      <w:szCs w:val="18"/>
    </w:rPr>
  </w:style>
  <w:style w:type="character" w:customStyle="1" w:styleId="BalloonTextChar">
    <w:name w:val="Balloon Text Char"/>
    <w:basedOn w:val="DefaultParagraphFont"/>
    <w:link w:val="BalloonText"/>
    <w:semiHidden/>
    <w:rsid w:val="00063D81"/>
    <w:rPr>
      <w:rFonts w:ascii="Segoe UI" w:hAnsi="Segoe UI" w:cs="Segoe UI"/>
      <w:sz w:val="18"/>
      <w:szCs w:val="18"/>
      <w:lang w:val="da-DK"/>
    </w:rPr>
  </w:style>
  <w:style w:type="paragraph" w:customStyle="1" w:styleId="RollCallSymbols14pt">
    <w:name w:val="RollCallSymbols14pt"/>
    <w:basedOn w:val="Normal"/>
    <w:rsid w:val="00080CEB"/>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080CEB"/>
    <w:pPr>
      <w:tabs>
        <w:tab w:val="center" w:pos="284"/>
        <w:tab w:val="left" w:pos="426"/>
      </w:tabs>
    </w:pPr>
    <w:rPr>
      <w:snapToGrid w:val="0"/>
      <w:lang w:eastAsia="en-US"/>
    </w:rPr>
  </w:style>
  <w:style w:type="paragraph" w:customStyle="1" w:styleId="RollCallVotes">
    <w:name w:val="RollCallVotes"/>
    <w:basedOn w:val="Normal"/>
    <w:rsid w:val="00080CEB"/>
    <w:pPr>
      <w:spacing w:before="120" w:after="120"/>
      <w:jc w:val="center"/>
    </w:pPr>
    <w:rPr>
      <w:b/>
      <w:bCs/>
      <w:snapToGrid w:val="0"/>
      <w:sz w:val="16"/>
      <w:lang w:eastAsia="en-US"/>
    </w:rPr>
  </w:style>
  <w:style w:type="paragraph" w:customStyle="1" w:styleId="RollCallTable">
    <w:name w:val="RollCallTable"/>
    <w:basedOn w:val="Normal"/>
    <w:rsid w:val="00080CEB"/>
    <w:pPr>
      <w:spacing w:before="120" w:after="120"/>
    </w:pPr>
    <w:rPr>
      <w:snapToGrid w:val="0"/>
      <w:sz w:val="16"/>
      <w:lang w:eastAsia="en-US"/>
    </w:rPr>
  </w:style>
  <w:style w:type="paragraph" w:customStyle="1" w:styleId="Normal24a">
    <w:name w:val="Normal24a"/>
    <w:basedOn w:val="Normal"/>
    <w:rsid w:val="00155807"/>
    <w:pPr>
      <w:spacing w:after="480"/>
    </w:pPr>
  </w:style>
  <w:style w:type="paragraph" w:customStyle="1" w:styleId="NormalBoldCenter">
    <w:name w:val="NormalBoldCenter"/>
    <w:basedOn w:val="Normal"/>
    <w:rsid w:val="00155807"/>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59D72-A600-4563-B27F-AFBE40A94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1064</Words>
  <Characters>6830</Characters>
  <Application>Microsoft Office Word</Application>
  <DocSecurity>0</DocSecurity>
  <Lines>167</Lines>
  <Paragraphs>69</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2004-10-28T10:33:00Z</cp:lastPrinted>
  <dcterms:created xsi:type="dcterms:W3CDTF">2024-02-08T10:23:00Z</dcterms:created>
  <dcterms:modified xsi:type="dcterms:W3CDTF">2024-02-08T10:23:00Z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1295224</vt:lpwstr>
  </property>
  <property fmtid="{D5CDD505-2E9C-101B-9397-08002B2CF9AE}" pid="4" name="&lt;Model&gt;">
    <vt:lpwstr>PA_NonLeg</vt:lpwstr>
  </property>
  <property fmtid="{D5CDD505-2E9C-101B-9397-08002B2CF9AE}" pid="5" name="&lt;ModelCod&gt;">
    <vt:lpwstr>\\eiciBRUpr1\pdocep$\DocEP\DOCS\General\PA\PA_NonLeg\PA_NonLeg.dotx(18/09/2023 10:25:02)</vt:lpwstr>
  </property>
  <property fmtid="{D5CDD505-2E9C-101B-9397-08002B2CF9AE}" pid="6" name="&lt;ModelTra&gt;">
    <vt:lpwstr>\\eiciBRUpr1\pdocep$\DocEP\TRANSFIL\EN\PA_NonLeg.EN(18/09/2023 10:08:01)</vt:lpwstr>
  </property>
  <property fmtid="{D5CDD505-2E9C-101B-9397-08002B2CF9AE}" pid="7" name="&lt;Type&gt;">
    <vt:lpwstr>AD</vt:lpwstr>
  </property>
  <property fmtid="{D5CDD505-2E9C-101B-9397-08002B2CF9AE}" pid="8" name="Created with">
    <vt:lpwstr>9.16.1 Build [20230920]</vt:lpwstr>
  </property>
  <property fmtid="{D5CDD505-2E9C-101B-9397-08002B2CF9AE}" pid="9" name="FooterPath">
    <vt:lpwstr>AD\1295224DA.docx</vt:lpwstr>
  </property>
  <property fmtid="{D5CDD505-2E9C-101B-9397-08002B2CF9AE}" pid="10" name="LastEdited with">
    <vt:lpwstr>9.17.1 Build [20240101]</vt:lpwstr>
  </property>
  <property fmtid="{D5CDD505-2E9C-101B-9397-08002B2CF9AE}" pid="11" name="PE number">
    <vt:lpwstr>756.191</vt:lpwstr>
  </property>
  <property fmtid="{D5CDD505-2E9C-101B-9397-08002B2CF9AE}" pid="12" name="SDLStudio">
    <vt:lpwstr/>
  </property>
  <property fmtid="{D5CDD505-2E9C-101B-9397-08002B2CF9AE}" pid="13" name="SendToEpades">
    <vt:lpwstr>OK - 2024/01/25 12:53</vt:lpwstr>
  </property>
  <property fmtid="{D5CDD505-2E9C-101B-9397-08002B2CF9AE}" pid="14" name="Bookout">
    <vt:lpwstr>OK - 2024/02/08 11:23</vt:lpwstr>
  </property>
</Properties>
</file>