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3D1110" w:rsidTr="00C85D0F">
        <w:trPr>
          <w:trHeight w:hRule="exact" w:val="1418"/>
        </w:trPr>
        <w:tc>
          <w:tcPr>
            <w:tcW w:w="6804" w:type="dxa"/>
            <w:shd w:val="clear" w:color="auto" w:fill="auto"/>
            <w:vAlign w:val="center"/>
          </w:tcPr>
          <w:p w:rsidR="00854CAC" w:rsidRPr="003D1110" w:rsidRDefault="00C70BAC" w:rsidP="00C85D0F">
            <w:pPr>
              <w:pStyle w:val="EPName"/>
            </w:pPr>
            <w:r w:rsidRPr="003D1110">
              <w:t>Ευρωπαϊκό Κοινοβούλιο</w:t>
            </w:r>
          </w:p>
          <w:p w:rsidR="00854CAC" w:rsidRPr="003D1110" w:rsidRDefault="00A868C4" w:rsidP="00A868C4">
            <w:pPr>
              <w:pStyle w:val="EPTerm"/>
            </w:pPr>
            <w:r w:rsidRPr="003D1110">
              <w:t>2019-2024</w:t>
            </w:r>
          </w:p>
        </w:tc>
        <w:tc>
          <w:tcPr>
            <w:tcW w:w="2268" w:type="dxa"/>
            <w:shd w:val="clear" w:color="auto" w:fill="auto"/>
          </w:tcPr>
          <w:p w:rsidR="00854CAC" w:rsidRPr="003D1110" w:rsidRDefault="00854CAC" w:rsidP="00C85D0F">
            <w:pPr>
              <w:pStyle w:val="EPLogo"/>
            </w:pPr>
            <w:r w:rsidRPr="003D1110">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3D1110" w:rsidRDefault="001746D0" w:rsidP="001746D0">
      <w:pPr>
        <w:pStyle w:val="LineTop"/>
      </w:pPr>
    </w:p>
    <w:p w:rsidR="001746D0" w:rsidRPr="003D1110" w:rsidRDefault="001746D0" w:rsidP="001746D0">
      <w:pPr>
        <w:pStyle w:val="EPBody"/>
      </w:pPr>
      <w:r w:rsidRPr="003D1110">
        <w:rPr>
          <w:rStyle w:val="HideTWBExt"/>
        </w:rPr>
        <w:t>&lt;</w:t>
      </w:r>
      <w:r w:rsidRPr="003D1110">
        <w:rPr>
          <w:rStyle w:val="HideTWBExt"/>
          <w:i w:val="0"/>
        </w:rPr>
        <w:t>Commission</w:t>
      </w:r>
      <w:r w:rsidRPr="003D1110">
        <w:rPr>
          <w:rStyle w:val="HideTWBExt"/>
        </w:rPr>
        <w:t>&gt;</w:t>
      </w:r>
      <w:r w:rsidRPr="003D1110">
        <w:rPr>
          <w:rStyle w:val="HideTWBInt"/>
        </w:rPr>
        <w:t>{LIBE}</w:t>
      </w:r>
      <w:r w:rsidRPr="003D1110">
        <w:t>Επιτροπή Πολιτικών Ελευθεριών, Δικαιοσύνης και Εσωτερικών Υποθέσεων</w:t>
      </w:r>
      <w:r w:rsidRPr="003D1110">
        <w:rPr>
          <w:rStyle w:val="HideTWBExt"/>
        </w:rPr>
        <w:t>&lt;/</w:t>
      </w:r>
      <w:r w:rsidRPr="003D1110">
        <w:rPr>
          <w:rStyle w:val="HideTWBExt"/>
          <w:i w:val="0"/>
        </w:rPr>
        <w:t>Commission</w:t>
      </w:r>
      <w:r w:rsidRPr="003D1110">
        <w:rPr>
          <w:rStyle w:val="HideTWBExt"/>
        </w:rPr>
        <w:t>&gt;</w:t>
      </w:r>
    </w:p>
    <w:p w:rsidR="001746D0" w:rsidRPr="003D1110" w:rsidRDefault="001746D0" w:rsidP="001746D0">
      <w:pPr>
        <w:pStyle w:val="LineBottom"/>
      </w:pPr>
    </w:p>
    <w:p w:rsidR="002E2F2E" w:rsidRPr="003D1110" w:rsidRDefault="002E2F2E">
      <w:pPr>
        <w:pStyle w:val="CoverReference"/>
      </w:pPr>
      <w:r w:rsidRPr="003D1110">
        <w:rPr>
          <w:rStyle w:val="HideTWBExt"/>
          <w:b w:val="0"/>
        </w:rPr>
        <w:t>&lt;RefProc&gt;</w:t>
      </w:r>
      <w:r w:rsidRPr="003D1110">
        <w:t>2023/2144</w:t>
      </w:r>
      <w:r w:rsidRPr="003D1110">
        <w:rPr>
          <w:rStyle w:val="HideTWBExt"/>
          <w:b w:val="0"/>
        </w:rPr>
        <w:t>&lt;/RefProc&gt;&lt;RefTypeProc&gt;</w:t>
      </w:r>
      <w:r w:rsidRPr="003D1110">
        <w:t>(DEC)</w:t>
      </w:r>
      <w:r w:rsidRPr="003D1110">
        <w:rPr>
          <w:rStyle w:val="HideTWBExt"/>
          <w:b w:val="0"/>
        </w:rPr>
        <w:t>&lt;/RefTypeProc&gt;</w:t>
      </w:r>
    </w:p>
    <w:p w:rsidR="002E2F2E" w:rsidRPr="003D1110" w:rsidRDefault="002E2F2E">
      <w:pPr>
        <w:pStyle w:val="CoverDate"/>
      </w:pPr>
      <w:r w:rsidRPr="003D1110">
        <w:rPr>
          <w:rStyle w:val="HideTWBExt"/>
        </w:rPr>
        <w:t>&lt;Date&gt;</w:t>
      </w:r>
      <w:r w:rsidRPr="003D1110">
        <w:rPr>
          <w:rStyle w:val="HideTWBInt"/>
        </w:rPr>
        <w:t>{24/01/2024}</w:t>
      </w:r>
      <w:r w:rsidRPr="003D1110">
        <w:t>24.1.2024</w:t>
      </w:r>
      <w:r w:rsidRPr="003D1110">
        <w:rPr>
          <w:rStyle w:val="HideTWBExt"/>
        </w:rPr>
        <w:t>&lt;/Date&gt;</w:t>
      </w:r>
    </w:p>
    <w:p w:rsidR="002E2F2E" w:rsidRPr="003D1110" w:rsidRDefault="002E2F2E">
      <w:pPr>
        <w:pStyle w:val="CoverDocType24a"/>
      </w:pPr>
      <w:r w:rsidRPr="003D1110">
        <w:rPr>
          <w:rStyle w:val="HideTWBExt"/>
          <w:b w:val="0"/>
        </w:rPr>
        <w:t>&lt;TitreType&gt;</w:t>
      </w:r>
      <w:r w:rsidRPr="003D1110">
        <w:t>ΓΝΩΜΟΔΟΤΗΣΗ</w:t>
      </w:r>
      <w:r w:rsidRPr="003D1110">
        <w:rPr>
          <w:rStyle w:val="HideTWBExt"/>
          <w:b w:val="0"/>
        </w:rPr>
        <w:t>&lt;/TitreType&gt;</w:t>
      </w:r>
    </w:p>
    <w:p w:rsidR="002E2F2E" w:rsidRPr="003D1110" w:rsidRDefault="002E2F2E">
      <w:pPr>
        <w:pStyle w:val="CoverNormal24a"/>
      </w:pPr>
      <w:r w:rsidRPr="003D1110">
        <w:rPr>
          <w:rStyle w:val="HideTWBExt"/>
        </w:rPr>
        <w:t>&lt;CommissionResp&gt;</w:t>
      </w:r>
      <w:r w:rsidRPr="003D1110">
        <w:t>της Επιτροπής Πολιτικών Ελευθεριών, Δικαιοσύνης και Εσωτερικών Υποθέσεων</w:t>
      </w:r>
      <w:r w:rsidRPr="003D1110">
        <w:rPr>
          <w:rStyle w:val="HideTWBExt"/>
        </w:rPr>
        <w:t>&lt;/CommissionResp&gt;</w:t>
      </w:r>
    </w:p>
    <w:p w:rsidR="002E2F2E" w:rsidRPr="003D1110" w:rsidRDefault="002E2F2E">
      <w:pPr>
        <w:pStyle w:val="CoverNormal24a"/>
      </w:pPr>
      <w:r w:rsidRPr="003D1110">
        <w:rPr>
          <w:rStyle w:val="HideTWBExt"/>
        </w:rPr>
        <w:t>&lt;CommissionInt&gt;</w:t>
      </w:r>
      <w:r w:rsidRPr="003D1110">
        <w:t>προς την Επιτροπή Ελέγχου του Προϋπολογισμού</w:t>
      </w:r>
      <w:r w:rsidRPr="003D1110">
        <w:rPr>
          <w:rStyle w:val="HideTWBExt"/>
        </w:rPr>
        <w:t>&lt;/CommissionInt&gt;</w:t>
      </w:r>
    </w:p>
    <w:p w:rsidR="002E2F2E" w:rsidRPr="003D1110" w:rsidRDefault="002E2F2E">
      <w:pPr>
        <w:pStyle w:val="CoverNormal"/>
      </w:pPr>
      <w:r w:rsidRPr="003D1110">
        <w:rPr>
          <w:rStyle w:val="HideTWBExt"/>
        </w:rPr>
        <w:t>&lt;Titre&gt;</w:t>
      </w:r>
      <w:r w:rsidRPr="003D1110">
        <w:t>σχετικά με την απαλλαγή όσον αφορά την εκτέλεση του προϋπολογισμού του Οργανισμού της Ευρωπαϊκής Ένωσης για την Κατάρτιση στον Τομέα της Επιβολής του Νόμου (CEPOL) για το οικονομικό έτος 2022</w:t>
      </w:r>
      <w:r w:rsidRPr="003D1110">
        <w:rPr>
          <w:rStyle w:val="HideTWBExt"/>
        </w:rPr>
        <w:t>&lt;/Titre&gt;</w:t>
      </w:r>
    </w:p>
    <w:p w:rsidR="002E2F2E" w:rsidRPr="003D1110" w:rsidRDefault="002E2F2E">
      <w:pPr>
        <w:pStyle w:val="CoverNormal24a"/>
      </w:pPr>
      <w:r w:rsidRPr="003D1110">
        <w:rPr>
          <w:rStyle w:val="HideTWBExt"/>
        </w:rPr>
        <w:t>&lt;DocRef&gt;</w:t>
      </w:r>
      <w:r w:rsidRPr="003D1110">
        <w:t>(2023/2144(DEC))</w:t>
      </w:r>
      <w:r w:rsidRPr="003D1110">
        <w:rPr>
          <w:rStyle w:val="HideTWBExt"/>
        </w:rPr>
        <w:t>&lt;/DocRef&gt;</w:t>
      </w:r>
    </w:p>
    <w:p w:rsidR="002E2F2E" w:rsidRPr="003D1110" w:rsidRDefault="00C70BAC">
      <w:pPr>
        <w:pStyle w:val="CoverNormal24a"/>
      </w:pPr>
      <w:r w:rsidRPr="003D1110">
        <w:t xml:space="preserve">Συντάκτης γνωμοδότησης: </w:t>
      </w:r>
      <w:r w:rsidRPr="003D1110">
        <w:rPr>
          <w:rStyle w:val="HideTWBExt"/>
        </w:rPr>
        <w:t>&lt;Depute&gt;</w:t>
      </w:r>
      <w:r w:rsidRPr="003D1110">
        <w:t>Tomáš Zdechovský</w:t>
      </w:r>
      <w:r w:rsidRPr="003D1110">
        <w:rPr>
          <w:rStyle w:val="HideTWBExt"/>
        </w:rPr>
        <w:t>&lt;/Depute&gt;</w:t>
      </w:r>
    </w:p>
    <w:p w:rsidR="00A72C35" w:rsidRPr="003D1110" w:rsidRDefault="00A72C35" w:rsidP="00A72C35">
      <w:pPr>
        <w:pStyle w:val="CoverNormal"/>
      </w:pPr>
    </w:p>
    <w:p w:rsidR="002E2F2E" w:rsidRPr="003D1110" w:rsidRDefault="002E2F2E" w:rsidP="00E856D2">
      <w:pPr>
        <w:widowControl/>
        <w:tabs>
          <w:tab w:val="center" w:pos="4677"/>
        </w:tabs>
      </w:pPr>
      <w:r w:rsidRPr="003D1110">
        <w:br w:type="page"/>
      </w:r>
      <w:r w:rsidRPr="003D1110">
        <w:lastRenderedPageBreak/>
        <w:t>PA_NonLeg</w:t>
      </w:r>
    </w:p>
    <w:p w:rsidR="002E2F2E" w:rsidRPr="003D1110" w:rsidRDefault="002E2F2E">
      <w:pPr>
        <w:pStyle w:val="PageHeadingNotTOC"/>
      </w:pPr>
      <w:r w:rsidRPr="003D1110">
        <w:br w:type="page"/>
      </w:r>
      <w:r w:rsidRPr="003D1110">
        <w:lastRenderedPageBreak/>
        <w:t>ΠΡΟΤΑΣΕΙΣ</w:t>
      </w:r>
    </w:p>
    <w:p w:rsidR="002E2F2E" w:rsidRPr="003D1110" w:rsidRDefault="00C70BAC" w:rsidP="009021BF">
      <w:pPr>
        <w:pStyle w:val="Normal12a"/>
      </w:pPr>
      <w:bookmarkStart w:id="0" w:name="_GoBack"/>
      <w:r w:rsidRPr="003D1110">
        <w:t>Η Επιτροπή Πολιτικών Ελευθεριών, Δικαιοσύνης και Εσωτερικών Υποθέσεων καλεί την Επιτροπή Ελέγχου του Προϋπολογισμού, που είναι αρμόδια επί της ουσίας, να συμπεριλάβει στην πρόταση ψηφίσματός της τις ακόλουθες προτάσεις:</w:t>
      </w:r>
    </w:p>
    <w:p w:rsidR="002E2F2E" w:rsidRPr="003D1110" w:rsidRDefault="00A868C4" w:rsidP="009021BF">
      <w:pPr>
        <w:pStyle w:val="NormalHanging12a"/>
      </w:pPr>
      <w:bookmarkStart w:id="1" w:name="restart"/>
      <w:r w:rsidRPr="003D1110">
        <w:t>1.</w:t>
      </w:r>
      <w:r w:rsidRPr="003D1110">
        <w:tab/>
        <w:t>επικροτεί το γεγονός ότι το Ευρωπαϊκό Ελεγκτικό Συνέδριο χαρακτήρισε αξιόπιστους τους ετήσιους λογαριασμούς του Οργανισμού της Ευρωπαϊκής Ένωσης για την Κατάρτιση στον Τομέα της Επιβολής του Νόμου (CEPOL) για το οικονομικό έτος 2022 και δήλωσε ότι είναι, από κάθε ουσιώδη πλευρά, νόμιμοι και κανονικοί· εκφράζει τη λύπη του διότι συνολικό ποσό ύψους 4,2 εκατ. EUR ήταν μη συμμορφούμενες δαπάνες που υπερέβησαν το όριο σημαντικότητας που είχε τεθεί για τον έλεγχο και, επομένως, κατέληξε στη διατύπωση γνώμης με επιφύλαξη, από το Ελεγκτικό Συνέδριο, σχετικά με τη νομιμότητα και κανονικότητα των πληρωμών·</w:t>
      </w:r>
    </w:p>
    <w:p w:rsidR="00063D81" w:rsidRPr="003D1110" w:rsidRDefault="00063D81" w:rsidP="009021BF">
      <w:pPr>
        <w:pStyle w:val="NormalHanging12a"/>
      </w:pPr>
      <w:r w:rsidRPr="003D1110">
        <w:t>2.</w:t>
      </w:r>
      <w:r w:rsidRPr="003D1110">
        <w:tab/>
        <w:t>επικροτεί το γεγονός ότι ελήφθησαν κατάλληλα διορθωτικά μέτρα ώστε να δοθεί συνέχεια στις περισσότερες παρατηρήσεις του Ελεγκτικού Συνεδρίου από προηγούμενα έτη· σημειώνει ότι, από το 2020, το Ελεγκτικό Συνέδριο διατυπώνει ετησίως παρατηρήσεις σχετικά με αδυναμίες και παρατυπίες όσον αφορά τη σύναψη συμβάσεων· σημειώνει ακόμη ότι το 2021 και το 2022 οι παρατηρήσεις αυτές επηρέασαν τις πληρωμές· εκφράζει τη λύπη του διότι βρίσκεται ακόμα σε εξέλιξη μία παρατήρηση σχετικά με τη διαδικασία σύναψης συμβάσεων από τα προηγούμενα έτη·</w:t>
      </w:r>
    </w:p>
    <w:bookmarkEnd w:id="1"/>
    <w:p w:rsidR="00A868C4" w:rsidRPr="003D1110" w:rsidRDefault="00063D81" w:rsidP="009021BF">
      <w:pPr>
        <w:pStyle w:val="NormalHanging12a"/>
      </w:pPr>
      <w:r w:rsidRPr="003D1110">
        <w:t>3.</w:t>
      </w:r>
      <w:r w:rsidRPr="003D1110">
        <w:tab/>
        <w:t>υπογραμμίζει ότι ο CEPOL προσεγγίζει άμεσα, με τις οικείες δραστηριότητες κατάρτισης, ένα μικρό μόνο μέρος του πληθυσμού-στόχου του, λόγω του σχετικά μικρού μεγέθους του Οργανισμού και του ετήσιου προϋπολογισμού του· ενθαρρύνει την Επιτροπή να εκπονήσει μελέτη αξιολόγησης σχετικά με τη σκοπιμότητα της συγχώνευσης του CEPOL με άλλους οργανισμούς που εμπίπτουν στο ίδιο πλαίσιο αρμοδιοτήτων·</w:t>
      </w:r>
    </w:p>
    <w:p w:rsidR="00063D81" w:rsidRPr="003D1110" w:rsidRDefault="00063D81" w:rsidP="009021BF">
      <w:pPr>
        <w:pStyle w:val="NormalHanging12a"/>
      </w:pPr>
      <w:r w:rsidRPr="003D1110">
        <w:t>4.</w:t>
      </w:r>
      <w:r w:rsidRPr="003D1110">
        <w:tab/>
        <w:t>σημειώνει ότι η βάση για τη γνώμη με επιφύλαξη του Ελεγκτικού Συνεδρίου σχετικά με τη νομιμότητα και κανονικότητα των πληρωμών στις οποίες βασίζονται οι λογαριασμοί ήταν αιτήματα παροχής υπηρεσιών και όλες οι σχετικές πληρωμές που πραγματοποιήθηκαν στο πλαίσιο δύο συμβάσεων-πλαισίων· υπενθυμίζει την απάντηση του CEPOL ότι, παρά τις αδυναμίες όσον αφορά την επισημοποίηση της νομικής δέσμευσης, η παραγγελία των υπηρεσιών πραγματοποιήθηκε σύμφωνα με τις ανάγκες και τους ελέγχους του CEPOL και ότι δεν επήλθε καμία ζημία· σημειώνει ακόμη την παρατήρηση του Ελεγκτικού Συνεδρίου σχετικά με την αδυναμία στην εκτέλεση σύμβασης-πλαισίου για υπηρεσίες επιμέλειας εκπαιδευτικών κειμένων το 2022, καθώς και το συμπέρασμα ότι είναι παράτυπες όλες οι πληρωμές στο πλαίσιο της εν λόγω σύμβασης-πλαισίου, οι οποίες ανήλθαν σε 152 655 EUR το 2022· εκφράζει τη λύπη του διότι, σύμφωνα με τα πορίσματα του Ελεγκτικού Συνεδρίου, ο όγκος των εργασιών για τις οποίες καταβλήθηκε αμοιβή δεν αντιστοιχούσε στον όγκο εργασιών που όντως εκτελέστηκαν, και ότι δεν υπήρχαν ουσιαστικά αποδεικτικά στοιχεία ελέγχου για την τεκμηρίωση των καταβληθέντων ποσών· σημειώνει ότι ο CEPOL έχει θεσπίσει διορθωτικά μέτρα σε σχέση με τις διαπιστωθείσες παρατυπίες·</w:t>
      </w:r>
    </w:p>
    <w:p w:rsidR="00A868C4" w:rsidRPr="003D1110" w:rsidRDefault="00063D81" w:rsidP="009021BF">
      <w:pPr>
        <w:pStyle w:val="NormalHanging12a"/>
      </w:pPr>
      <w:r w:rsidRPr="003D1110">
        <w:t>5.</w:t>
      </w:r>
      <w:r w:rsidRPr="003D1110">
        <w:tab/>
        <w:t xml:space="preserve">επικροτεί το γεγονός ότι, το 2022, ο CEPOL πραγματοποίησε 418 δραστηριότητες </w:t>
      </w:r>
      <w:r w:rsidRPr="003D1110">
        <w:lastRenderedPageBreak/>
        <w:t>κατάρτισης, στις οποίες συμμετείχαν 43 838 αστυνομικοί υπάλληλοι, και υλοποίησε με επιτυχία 296 ανταλλαγές· εκτιμά ακόμη το έγγραφο στρατηγικής της ομάδας εμπειρογνωμόνων για τα θεμελιώδη δικαιώματα, το οποίο αποσκοπεί στην ενσωμάτωση των θεμελιωδών πτυχών σε όλες τις δραστηριότητες κατάρτισης· σημειώνει με ικανοποίηση ότι, το 2022, διοργανώθηκε ad hoc κατάρτιση σχετικά με την προστασία των ερευνητών δημοσιογράφων· επικροτεί τις ειδικές δράσεις κατάρτισης που διοργανώνονται σχετικά με το θέμα των εγκλημάτων μίσους, με στόχο τη μετάδοση γνώσεων όσον αφορά αποτελεσματικές λύσεις για την υποστήριξη των θυμάτων·</w:t>
      </w:r>
    </w:p>
    <w:p w:rsidR="00A868C4" w:rsidRPr="003D1110" w:rsidRDefault="00063D81" w:rsidP="009021BF">
      <w:pPr>
        <w:pStyle w:val="NormalHanging12a"/>
      </w:pPr>
      <w:r w:rsidRPr="003D1110">
        <w:t>6.</w:t>
      </w:r>
      <w:r w:rsidRPr="003D1110">
        <w:tab/>
        <w:t xml:space="preserve">υπενθυμίζει ότι η κατάρτιση στον τομέα της επιβολής του νόμου σε ενωσιακό επίπεδο πρέπει να αντικατοπτρίζει τις προτεραιότητες της ΕΕ σύμφωνα με τις ανάγκες κατάρτισης των κρατών μελών και να στηρίζει την αντίδραση της ΕΕ στο σοβαρό και οργανωμένο έγκλημα και σε άλλες απειλές κατά της εσωτερικής ασφάλειας, θα πρέπει δε η προστασία των θεμελιωδών δικαιωμάτων να αποτελεί κεντρικό πυλώνα των δραστηριοτήτων κατάρτισης του CEPOL· σημειώνει τις εκπαιδευτικές δραστηριότητες στον τομέα της καταπολέμησης της τρομοκρατίας, μεταξύ άλλων όσον αφορά τη χρηματοδότηση της τρομοκρατίας, την τρομοκρατία και τα πυροβόλα όπλα, τους αλλοδαπούς τρομοκράτες μαχητές, και τις δραστηριότητες που θέτουν στο στόχαστρο τον εξτρεμισμό και τη ριζοσπαστικοποίηση· ζητεί περαιτέρω κατάρτιση σχετικά με το κυβερνοέγκλημα, την εγκληματολογική έρευνα στον κυβερνοχώρο, την τεχνητή νοημοσύνη, την προστασία των δεδομένων, τα θεμελιώδη δικαιώματα και την καταπολέμηση του ρατσισμού σε επίπεδο ΕΕ· καλεί τον CEPOL να διασφαλίσει, σε όλες τις δραστηριότητές του, πλήρη διαφάνεια και πλήρη σεβασμό των θεμελιωδών δικαιωμάτων και του διεθνούς δικαίου, ιδίως στις δραστηριότητές του με τρίτες χώρες· </w:t>
      </w:r>
    </w:p>
    <w:p w:rsidR="00A868C4" w:rsidRPr="003D1110" w:rsidRDefault="00063D81" w:rsidP="009021BF">
      <w:pPr>
        <w:pStyle w:val="NormalHanging12a"/>
      </w:pPr>
      <w:r w:rsidRPr="003D1110">
        <w:t>7.</w:t>
      </w:r>
      <w:r w:rsidRPr="003D1110">
        <w:tab/>
        <w:t>εκτιμά ακόμη το γεγονός ότι ο CEPOL πραγματοποίησε σειρά διαδικτυακών σεμιναρίων για την αντιμετώπιση του πολέμου στην Ουκρανία και ειδική ad hoc ανάλυση των αναγκών κατάρτισης, καθώς και ότι υποστήριξε τη Γενική Εισαγγελία της Ουκρανίας στην ανάπτυξη προγράμματος κατάρτισης στον τομέα των πληροφοριών ανοικτής πηγής, και πρόσφερε, όπου ήταν δυνατόν, πρόσθετες θέσεις για Ουκρανούς συμμετέχοντες σε δραστηριότητες κατάρτισης·</w:t>
      </w:r>
    </w:p>
    <w:p w:rsidR="00A868C4" w:rsidRPr="003D1110" w:rsidRDefault="00063D81" w:rsidP="009021BF">
      <w:pPr>
        <w:pStyle w:val="NormalHanging12a"/>
        <w:ind w:left="560" w:hanging="560"/>
      </w:pPr>
      <w:r w:rsidRPr="003D1110">
        <w:t>8.</w:t>
      </w:r>
      <w:r w:rsidRPr="003D1110">
        <w:tab/>
        <w:t>σημειώνει την ισχυρή συνεργασία με τρίτες χώρες, οργανισμούς, φορείς και δίκτυα της ΕΕ, ιδίως με τον Ευρωπόλ, τον Eurojust, τον Frontex, το ΕΔΚΔ, την Ευρωπαϊκή Επιτροπή, το ΕΚΠΝΤ, το EUIPO, τον FRA, την EASO και διεθνείς οργανισμούς όπως η Ιντερπόλ.</w:t>
      </w:r>
    </w:p>
    <w:bookmarkEnd w:id="0"/>
    <w:p w:rsidR="0009622E" w:rsidRPr="003D1110" w:rsidRDefault="0009622E" w:rsidP="005729E0">
      <w:r w:rsidRPr="003D1110">
        <w:br w:type="page"/>
      </w:r>
    </w:p>
    <w:p w:rsidR="0009622E" w:rsidRPr="003D1110" w:rsidRDefault="0009622E" w:rsidP="0009622E">
      <w:pPr>
        <w:pStyle w:val="PageHeadingNotTOC"/>
      </w:pPr>
      <w:bookmarkStart w:id="2" w:name="ProcPageAD"/>
      <w:r w:rsidRPr="003D1110">
        <w:lastRenderedPageBreak/>
        <w:t>ΠΛΗΡΟΦΟΡΙΕΣ ΓΙΑ ΤΗΝ ΕΓΚΡΙΣΗ ΣΤΗ ΓΝΩΜΟΔΟΤΙΚΗ ΕΠΙΤΡΟΠΗ</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9622E" w:rsidRPr="003D111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9622E" w:rsidRPr="003D1110" w:rsidRDefault="0009622E">
            <w:pPr>
              <w:autoSpaceDE w:val="0"/>
              <w:autoSpaceDN w:val="0"/>
              <w:adjustRightInd w:val="0"/>
              <w:rPr>
                <w:b/>
                <w:bCs/>
                <w:color w:val="000000"/>
                <w:sz w:val="20"/>
              </w:rPr>
            </w:pPr>
            <w:r w:rsidRPr="003D1110">
              <w:rPr>
                <w:b/>
                <w:color w:val="000000"/>
                <w:sz w:val="20"/>
              </w:rPr>
              <w:t>Ημερομηνία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9622E" w:rsidRPr="003D1110" w:rsidRDefault="0009622E">
            <w:pPr>
              <w:autoSpaceDE w:val="0"/>
              <w:autoSpaceDN w:val="0"/>
              <w:adjustRightInd w:val="0"/>
              <w:rPr>
                <w:color w:val="000000"/>
                <w:sz w:val="20"/>
              </w:rPr>
            </w:pPr>
            <w:r w:rsidRPr="003D1110">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9622E" w:rsidRPr="003D1110" w:rsidRDefault="0009622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9622E" w:rsidRPr="003D1110" w:rsidRDefault="0009622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9622E" w:rsidRPr="003D1110" w:rsidRDefault="0009622E">
            <w:pPr>
              <w:autoSpaceDE w:val="0"/>
              <w:autoSpaceDN w:val="0"/>
              <w:adjustRightInd w:val="0"/>
              <w:rPr>
                <w:rFonts w:ascii="sans-serif" w:hAnsi="sans-serif" w:cs="sans-serif"/>
                <w:color w:val="000000"/>
                <w:szCs w:val="24"/>
              </w:rPr>
            </w:pPr>
          </w:p>
        </w:tc>
      </w:tr>
      <w:tr w:rsidR="0009622E" w:rsidRPr="003D111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9622E" w:rsidRPr="003D1110" w:rsidRDefault="0009622E">
            <w:pPr>
              <w:autoSpaceDE w:val="0"/>
              <w:autoSpaceDN w:val="0"/>
              <w:adjustRightInd w:val="0"/>
              <w:rPr>
                <w:b/>
                <w:bCs/>
                <w:color w:val="000000"/>
                <w:sz w:val="20"/>
              </w:rPr>
            </w:pPr>
            <w:r w:rsidRPr="003D1110">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9622E" w:rsidRPr="003D1110" w:rsidRDefault="0009622E">
            <w:pPr>
              <w:autoSpaceDE w:val="0"/>
              <w:autoSpaceDN w:val="0"/>
              <w:adjustRightInd w:val="0"/>
              <w:rPr>
                <w:color w:val="000000"/>
                <w:sz w:val="20"/>
              </w:rPr>
            </w:pPr>
            <w:r w:rsidRPr="003D1110">
              <w:rPr>
                <w:color w:val="000000"/>
                <w:sz w:val="20"/>
              </w:rPr>
              <w:t>+:</w:t>
            </w:r>
          </w:p>
          <w:p w:rsidR="0009622E" w:rsidRPr="003D1110" w:rsidRDefault="0009622E">
            <w:pPr>
              <w:autoSpaceDE w:val="0"/>
              <w:autoSpaceDN w:val="0"/>
              <w:adjustRightInd w:val="0"/>
              <w:rPr>
                <w:color w:val="000000"/>
                <w:sz w:val="20"/>
              </w:rPr>
            </w:pPr>
            <w:r w:rsidRPr="003D1110">
              <w:rPr>
                <w:color w:val="000000"/>
                <w:sz w:val="20"/>
              </w:rPr>
              <w:t>–:</w:t>
            </w:r>
          </w:p>
          <w:p w:rsidR="0009622E" w:rsidRPr="003D1110" w:rsidRDefault="0009622E">
            <w:pPr>
              <w:autoSpaceDE w:val="0"/>
              <w:autoSpaceDN w:val="0"/>
              <w:adjustRightInd w:val="0"/>
              <w:rPr>
                <w:color w:val="000000"/>
                <w:sz w:val="20"/>
              </w:rPr>
            </w:pPr>
            <w:r w:rsidRPr="003D111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9622E" w:rsidRPr="003D1110" w:rsidRDefault="0009622E">
            <w:pPr>
              <w:autoSpaceDE w:val="0"/>
              <w:autoSpaceDN w:val="0"/>
              <w:adjustRightInd w:val="0"/>
              <w:rPr>
                <w:color w:val="000000"/>
                <w:sz w:val="20"/>
              </w:rPr>
            </w:pPr>
            <w:r w:rsidRPr="003D1110">
              <w:rPr>
                <w:color w:val="000000"/>
                <w:sz w:val="20"/>
              </w:rPr>
              <w:t>51</w:t>
            </w:r>
          </w:p>
          <w:p w:rsidR="0009622E" w:rsidRPr="003D1110" w:rsidRDefault="0009622E">
            <w:pPr>
              <w:autoSpaceDE w:val="0"/>
              <w:autoSpaceDN w:val="0"/>
              <w:adjustRightInd w:val="0"/>
              <w:rPr>
                <w:color w:val="000000"/>
                <w:sz w:val="20"/>
              </w:rPr>
            </w:pPr>
            <w:r w:rsidRPr="003D1110">
              <w:rPr>
                <w:color w:val="000000"/>
                <w:sz w:val="20"/>
              </w:rPr>
              <w:t>1</w:t>
            </w:r>
          </w:p>
          <w:p w:rsidR="0009622E" w:rsidRPr="003D1110" w:rsidRDefault="0009622E">
            <w:pPr>
              <w:autoSpaceDE w:val="0"/>
              <w:autoSpaceDN w:val="0"/>
              <w:adjustRightInd w:val="0"/>
              <w:rPr>
                <w:color w:val="000000"/>
                <w:sz w:val="20"/>
              </w:rPr>
            </w:pPr>
            <w:r w:rsidRPr="003D1110">
              <w:rPr>
                <w:color w:val="000000"/>
                <w:sz w:val="20"/>
              </w:rPr>
              <w:t>3</w:t>
            </w:r>
          </w:p>
        </w:tc>
      </w:tr>
      <w:tr w:rsidR="0009622E" w:rsidRPr="003D111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9622E" w:rsidRPr="003D1110" w:rsidRDefault="0009622E">
            <w:pPr>
              <w:autoSpaceDE w:val="0"/>
              <w:autoSpaceDN w:val="0"/>
              <w:adjustRightInd w:val="0"/>
              <w:rPr>
                <w:b/>
                <w:bCs/>
                <w:color w:val="000000"/>
                <w:sz w:val="20"/>
              </w:rPr>
            </w:pPr>
            <w:r w:rsidRPr="003D1110">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9622E" w:rsidRPr="003D1110" w:rsidRDefault="0009622E">
            <w:pPr>
              <w:autoSpaceDE w:val="0"/>
              <w:autoSpaceDN w:val="0"/>
              <w:adjustRightInd w:val="0"/>
              <w:rPr>
                <w:color w:val="000000"/>
                <w:sz w:val="20"/>
              </w:rPr>
            </w:pPr>
            <w:r w:rsidRPr="003D1110">
              <w:rPr>
                <w:color w:val="000000"/>
                <w:sz w:val="20"/>
              </w:rPr>
              <w:t>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Ελισσάβετ Βόζεμπεργκ-Βρυωνίδη, Javier Zarzalejos</w:t>
            </w:r>
          </w:p>
        </w:tc>
      </w:tr>
      <w:tr w:rsidR="0009622E" w:rsidRPr="003D111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9622E" w:rsidRPr="003D1110" w:rsidRDefault="0009622E">
            <w:pPr>
              <w:autoSpaceDE w:val="0"/>
              <w:autoSpaceDN w:val="0"/>
              <w:adjustRightInd w:val="0"/>
              <w:rPr>
                <w:b/>
                <w:bCs/>
                <w:color w:val="000000"/>
                <w:sz w:val="20"/>
              </w:rPr>
            </w:pPr>
            <w:r w:rsidRPr="003D1110">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9622E" w:rsidRPr="003D1110" w:rsidRDefault="0009622E">
            <w:pPr>
              <w:autoSpaceDE w:val="0"/>
              <w:autoSpaceDN w:val="0"/>
              <w:adjustRightInd w:val="0"/>
              <w:rPr>
                <w:color w:val="000000"/>
                <w:sz w:val="20"/>
              </w:rPr>
            </w:pPr>
            <w:r w:rsidRPr="003D1110">
              <w:rPr>
                <w:color w:val="000000"/>
                <w:sz w:val="20"/>
              </w:rPr>
              <w:t>Cyrus Engerer, José Gusmão, Beata Kempa, Leopoldo López Gil, Janina Ochojska, Anne-Sophie Pelletier, Bergur Løkke Rasmussen, Róża Thun und Hohenstein, Maria Walsh, Tomáš Zdechovský</w:t>
            </w:r>
          </w:p>
        </w:tc>
      </w:tr>
      <w:tr w:rsidR="0009622E" w:rsidRPr="003D111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9622E" w:rsidRPr="003D1110" w:rsidRDefault="0009622E">
            <w:pPr>
              <w:autoSpaceDE w:val="0"/>
              <w:autoSpaceDN w:val="0"/>
              <w:adjustRightInd w:val="0"/>
              <w:rPr>
                <w:b/>
                <w:bCs/>
                <w:color w:val="000000"/>
                <w:sz w:val="20"/>
              </w:rPr>
            </w:pPr>
            <w:r w:rsidRPr="003D1110">
              <w:rPr>
                <w:b/>
                <w:color w:val="000000"/>
                <w:sz w:val="20"/>
              </w:rPr>
              <w:t>Αναπληρωτές (άρθρο 209 παρ. 7)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9622E" w:rsidRPr="003D1110" w:rsidRDefault="0009622E">
            <w:pPr>
              <w:autoSpaceDE w:val="0"/>
              <w:autoSpaceDN w:val="0"/>
              <w:adjustRightInd w:val="0"/>
              <w:rPr>
                <w:color w:val="000000"/>
                <w:sz w:val="20"/>
              </w:rPr>
            </w:pPr>
            <w:r w:rsidRPr="003D1110">
              <w:rPr>
                <w:color w:val="000000"/>
                <w:sz w:val="20"/>
              </w:rPr>
              <w:t>Andrus Ansip, Hildegard Bentele, Maria da Graça Carvalho, Marisa Matias, Caroline Nagtegaal</w:t>
            </w:r>
          </w:p>
        </w:tc>
      </w:tr>
    </w:tbl>
    <w:p w:rsidR="0009622E" w:rsidRPr="003D1110" w:rsidRDefault="0009622E"/>
    <w:bookmarkEnd w:id="2"/>
    <w:p w:rsidR="00155807" w:rsidRPr="003D1110" w:rsidRDefault="00155807" w:rsidP="0009622E">
      <w:pPr>
        <w:sectPr w:rsidR="00155807" w:rsidRPr="003D1110" w:rsidSect="003D111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55807" w:rsidRPr="003D1110" w:rsidRDefault="00155807" w:rsidP="002B2C72">
      <w:pPr>
        <w:pStyle w:val="PageHeadingNotTOC"/>
        <w:rPr>
          <w:noProof/>
        </w:rPr>
      </w:pPr>
      <w:bookmarkStart w:id="3" w:name="FootprintPageAD"/>
      <w:r w:rsidRPr="003D1110">
        <w:lastRenderedPageBreak/>
        <w:t>ΠΑΡΑΡΤΗΜΑ: ΟΝΤΟΤΗΤΕΣ Ή ΠΡΟΣΩΠΑ ΠΟΥ ΕΧΟΥΝ ΚΑΤΑΘΕΣΕΙ</w:t>
      </w:r>
      <w:r w:rsidRPr="003D1110">
        <w:br/>
        <w:t>ΤΙΣ ΕΙΣΗΓΗΣΕΙΣ ΤΟΥΣ ΣΤΟΝ ΣΥΝΤΑΚΤΗ ΓΝΩΜΟΔΟΤΗΣΗΣ</w:t>
      </w:r>
    </w:p>
    <w:p w:rsidR="00155807" w:rsidRPr="003D1110" w:rsidRDefault="00155807" w:rsidP="00037518">
      <w:pPr>
        <w:pStyle w:val="Normal24a"/>
      </w:pPr>
      <w:r w:rsidRPr="003D1110">
        <w:rPr>
          <w:rStyle w:val="HideTWBExt"/>
        </w:rPr>
        <w:t>&lt;FootprintIntro&gt;</w:t>
      </w:r>
      <w:r w:rsidRPr="003D1110">
        <w:t>Ο συντάκτης της γνωμοδότησης δηλώνει, υπό την αποκλειστική του ευθύνη, ότι δεν έλαβε εισηγήσεις από οντότητα ή πρόσωπο που πρέπει να επισημανθεί στο παρόν παράρτημα δυνάμει του άρθρου 8 του παραρτήματος Ι του Κανονισμού.</w:t>
      </w:r>
      <w:r w:rsidRPr="003D1110">
        <w:rPr>
          <w:rStyle w:val="HideTWBExt"/>
        </w:rPr>
        <w:t>&lt;/FootprintIntro&gt;</w:t>
      </w:r>
    </w:p>
    <w:p w:rsidR="00155807" w:rsidRPr="003D1110" w:rsidRDefault="00155807" w:rsidP="00AD5932"/>
    <w:p w:rsidR="00155807" w:rsidRPr="003D1110" w:rsidRDefault="00155807" w:rsidP="00155807"/>
    <w:bookmarkEnd w:id="3"/>
    <w:p w:rsidR="00155807" w:rsidRPr="003D1110" w:rsidRDefault="00155807" w:rsidP="0009622E">
      <w:pPr>
        <w:sectPr w:rsidR="00155807" w:rsidRPr="003D1110" w:rsidSect="0015580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80CEB" w:rsidRPr="003D1110" w:rsidRDefault="00A262B4" w:rsidP="0009622E">
      <w:pPr>
        <w:pStyle w:val="PageHeadingNotTOC"/>
      </w:pPr>
      <w:bookmarkStart w:id="4" w:name="RollCallPageAD"/>
      <w:r w:rsidRPr="003D1110">
        <w:t>ΤΕΛΙΚΗ ΨΗΦΟΦΟΡΙΑ ΜΕ ΟΝΟΜΑΣΤΙΚΗ ΚΛΗΣΗ 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CEB" w:rsidRPr="003D1110" w:rsidTr="008920AC">
        <w:trPr>
          <w:cantSplit/>
        </w:trPr>
        <w:tc>
          <w:tcPr>
            <w:tcW w:w="1701" w:type="dxa"/>
            <w:shd w:val="pct10" w:color="000000" w:fill="FFFFFF"/>
            <w:vAlign w:val="center"/>
          </w:tcPr>
          <w:p w:rsidR="00080CEB" w:rsidRPr="003D1110" w:rsidRDefault="00080CEB" w:rsidP="003858C5">
            <w:pPr>
              <w:pStyle w:val="RollCallVotes"/>
            </w:pPr>
            <w:r w:rsidRPr="003D1110">
              <w:t>51</w:t>
            </w:r>
          </w:p>
        </w:tc>
        <w:tc>
          <w:tcPr>
            <w:tcW w:w="7371" w:type="dxa"/>
            <w:shd w:val="pct10" w:color="000000" w:fill="FFFFFF"/>
          </w:tcPr>
          <w:p w:rsidR="00080CEB" w:rsidRPr="003D1110" w:rsidRDefault="00080CEB" w:rsidP="003858C5">
            <w:pPr>
              <w:pStyle w:val="RollCallSymbols14pt"/>
            </w:pPr>
            <w:r w:rsidRPr="003D1110">
              <w:t>+</w:t>
            </w:r>
          </w:p>
        </w:tc>
      </w:tr>
      <w:tr w:rsidR="00080CEB" w:rsidRPr="003D1110" w:rsidTr="008920AC">
        <w:trPr>
          <w:cantSplit/>
        </w:trPr>
        <w:tc>
          <w:tcPr>
            <w:tcW w:w="1701" w:type="dxa"/>
            <w:shd w:val="clear" w:color="auto" w:fill="FFFFFF"/>
          </w:tcPr>
          <w:p w:rsidR="00080CEB" w:rsidRPr="003D1110" w:rsidRDefault="00080CEB" w:rsidP="003858C5">
            <w:pPr>
              <w:pStyle w:val="RollCallTable"/>
            </w:pPr>
            <w:r w:rsidRPr="003D1110">
              <w:t>ECR</w:t>
            </w:r>
          </w:p>
        </w:tc>
        <w:tc>
          <w:tcPr>
            <w:tcW w:w="7371" w:type="dxa"/>
            <w:shd w:val="clear" w:color="auto" w:fill="FFFFFF"/>
          </w:tcPr>
          <w:p w:rsidR="00080CEB" w:rsidRPr="003D1110" w:rsidRDefault="00080CEB" w:rsidP="003858C5">
            <w:pPr>
              <w:pStyle w:val="RollCallTable"/>
            </w:pPr>
            <w:r w:rsidRPr="003D1110">
              <w:t>Jorge Buxadé Villalba, Patryk Jaki, Assita Kanko, Beata Kempa, Vincenzo Sofo</w:t>
            </w:r>
          </w:p>
        </w:tc>
      </w:tr>
      <w:tr w:rsidR="00080CEB" w:rsidRPr="003D1110" w:rsidTr="008920AC">
        <w:trPr>
          <w:cantSplit/>
        </w:trPr>
        <w:tc>
          <w:tcPr>
            <w:tcW w:w="1701" w:type="dxa"/>
            <w:shd w:val="clear" w:color="auto" w:fill="FFFFFF"/>
          </w:tcPr>
          <w:p w:rsidR="00080CEB" w:rsidRPr="003D1110" w:rsidRDefault="00080CEB" w:rsidP="003858C5">
            <w:pPr>
              <w:pStyle w:val="RollCallTable"/>
            </w:pPr>
            <w:r w:rsidRPr="003D1110">
              <w:t>NI</w:t>
            </w:r>
          </w:p>
        </w:tc>
        <w:tc>
          <w:tcPr>
            <w:tcW w:w="7371" w:type="dxa"/>
            <w:shd w:val="clear" w:color="auto" w:fill="FFFFFF"/>
          </w:tcPr>
          <w:p w:rsidR="00080CEB" w:rsidRPr="003D1110" w:rsidRDefault="00080CEB" w:rsidP="003858C5">
            <w:pPr>
              <w:pStyle w:val="RollCallTable"/>
            </w:pPr>
            <w:r w:rsidRPr="003D1110">
              <w:t>Laura Ferrara</w:t>
            </w:r>
          </w:p>
        </w:tc>
      </w:tr>
      <w:tr w:rsidR="00080CEB" w:rsidRPr="003D1110" w:rsidTr="008920AC">
        <w:trPr>
          <w:cantSplit/>
        </w:trPr>
        <w:tc>
          <w:tcPr>
            <w:tcW w:w="1701" w:type="dxa"/>
            <w:shd w:val="clear" w:color="auto" w:fill="FFFFFF"/>
          </w:tcPr>
          <w:p w:rsidR="00080CEB" w:rsidRPr="003D1110" w:rsidRDefault="00080CEB" w:rsidP="003858C5">
            <w:pPr>
              <w:pStyle w:val="RollCallTable"/>
            </w:pPr>
            <w:r w:rsidRPr="003D1110">
              <w:t>PPE</w:t>
            </w:r>
          </w:p>
        </w:tc>
        <w:tc>
          <w:tcPr>
            <w:tcW w:w="7371" w:type="dxa"/>
            <w:shd w:val="clear" w:color="auto" w:fill="FFFFFF"/>
          </w:tcPr>
          <w:p w:rsidR="00080CEB" w:rsidRPr="003D1110" w:rsidRDefault="00080CEB" w:rsidP="003858C5">
            <w:pPr>
              <w:pStyle w:val="RollCallTable"/>
            </w:pPr>
            <w:r w:rsidRPr="003D1110">
              <w:t>Hildegard Bentele, Maria da Graça Carvalho, Lena Düpont, Andrzej Halicki, Jeroen Lenaers, Leopoldo López Gil, Janina Ochojska, Ελισσάβετ Βόζεμπεργκ-Βρυωνίδη, Maria Walsh, Javier Zarzalejos, Tomáš Zdechovský</w:t>
            </w:r>
          </w:p>
        </w:tc>
      </w:tr>
      <w:tr w:rsidR="00080CEB" w:rsidRPr="003D1110" w:rsidTr="008920AC">
        <w:trPr>
          <w:cantSplit/>
        </w:trPr>
        <w:tc>
          <w:tcPr>
            <w:tcW w:w="1701" w:type="dxa"/>
            <w:shd w:val="clear" w:color="auto" w:fill="FFFFFF"/>
          </w:tcPr>
          <w:p w:rsidR="00080CEB" w:rsidRPr="003D1110" w:rsidRDefault="00080CEB" w:rsidP="003858C5">
            <w:pPr>
              <w:pStyle w:val="RollCallTable"/>
            </w:pPr>
            <w:r w:rsidRPr="003D1110">
              <w:t>Renew</w:t>
            </w:r>
          </w:p>
        </w:tc>
        <w:tc>
          <w:tcPr>
            <w:tcW w:w="7371" w:type="dxa"/>
            <w:shd w:val="clear" w:color="auto" w:fill="FFFFFF"/>
          </w:tcPr>
          <w:p w:rsidR="00080CEB" w:rsidRPr="003D1110" w:rsidRDefault="00080CEB" w:rsidP="003858C5">
            <w:pPr>
              <w:pStyle w:val="RollCallTable"/>
            </w:pPr>
            <w:r w:rsidRPr="003D1110">
              <w:t>Abir Al-Sahlani, Andrus Ansip, Lucia Ďuriš Nicholsonová, Sophia in 't Veld, Moritz Körner, Caroline Nagtegaal, Maite Pagazaurtundúa, Bergur Løkke Rasmussen, Róża Thun und Hohenstein, Jana Toom</w:t>
            </w:r>
          </w:p>
        </w:tc>
      </w:tr>
      <w:tr w:rsidR="00080CEB" w:rsidRPr="003D1110" w:rsidTr="008920AC">
        <w:trPr>
          <w:cantSplit/>
        </w:trPr>
        <w:tc>
          <w:tcPr>
            <w:tcW w:w="1701" w:type="dxa"/>
            <w:shd w:val="clear" w:color="auto" w:fill="FFFFFF"/>
          </w:tcPr>
          <w:p w:rsidR="00080CEB" w:rsidRPr="003D1110" w:rsidRDefault="00080CEB" w:rsidP="003858C5">
            <w:pPr>
              <w:pStyle w:val="RollCallTable"/>
            </w:pPr>
            <w:r w:rsidRPr="003D1110">
              <w:t>S&amp;D</w:t>
            </w:r>
          </w:p>
        </w:tc>
        <w:tc>
          <w:tcPr>
            <w:tcW w:w="7371" w:type="dxa"/>
            <w:shd w:val="clear" w:color="auto" w:fill="FFFFFF"/>
          </w:tcPr>
          <w:p w:rsidR="00080CEB" w:rsidRPr="003D1110" w:rsidRDefault="00080CEB" w:rsidP="003858C5">
            <w:pPr>
              <w:pStyle w:val="RollCallTable"/>
            </w:pPr>
            <w:r w:rsidRPr="003D1110">
              <w:t>Katarina Barley, Pietro Bartolo, Theresa Bielowski, Cyrus Engerer, Maria Grapini, Sylvie Guillaume, Evin Incir, Marina Kaljurand, Łukasz Kohut, Juan Fernando López Aguilar, Javier Moreno Sánchez, Isabel Santos, Birgit Sippel</w:t>
            </w:r>
          </w:p>
        </w:tc>
      </w:tr>
      <w:tr w:rsidR="00080CEB" w:rsidRPr="003D1110" w:rsidTr="008920AC">
        <w:trPr>
          <w:cantSplit/>
        </w:trPr>
        <w:tc>
          <w:tcPr>
            <w:tcW w:w="1701" w:type="dxa"/>
            <w:shd w:val="clear" w:color="auto" w:fill="FFFFFF"/>
          </w:tcPr>
          <w:p w:rsidR="00080CEB" w:rsidRPr="003D1110" w:rsidRDefault="00080CEB" w:rsidP="003858C5">
            <w:pPr>
              <w:pStyle w:val="RollCallTable"/>
            </w:pPr>
            <w:r w:rsidRPr="003D1110">
              <w:t>The Left</w:t>
            </w:r>
          </w:p>
        </w:tc>
        <w:tc>
          <w:tcPr>
            <w:tcW w:w="7371" w:type="dxa"/>
            <w:shd w:val="clear" w:color="auto" w:fill="FFFFFF"/>
          </w:tcPr>
          <w:p w:rsidR="00080CEB" w:rsidRPr="003D1110" w:rsidRDefault="00080CEB" w:rsidP="003858C5">
            <w:pPr>
              <w:pStyle w:val="RollCallTable"/>
            </w:pPr>
            <w:r w:rsidRPr="003D1110">
              <w:t>Cornelia Ernst, José Gusmão, Marisa Matias, Anne-Sophie Pelletier</w:t>
            </w:r>
          </w:p>
        </w:tc>
      </w:tr>
      <w:tr w:rsidR="00080CEB" w:rsidRPr="003D1110" w:rsidTr="008920AC">
        <w:trPr>
          <w:cantSplit/>
        </w:trPr>
        <w:tc>
          <w:tcPr>
            <w:tcW w:w="1701" w:type="dxa"/>
            <w:shd w:val="clear" w:color="auto" w:fill="FFFFFF"/>
          </w:tcPr>
          <w:p w:rsidR="00080CEB" w:rsidRPr="003D1110" w:rsidRDefault="00080CEB" w:rsidP="003858C5">
            <w:pPr>
              <w:pStyle w:val="RollCallTable"/>
            </w:pPr>
            <w:r w:rsidRPr="003D1110">
              <w:t>Verts/ALE</w:t>
            </w:r>
          </w:p>
        </w:tc>
        <w:tc>
          <w:tcPr>
            <w:tcW w:w="7371" w:type="dxa"/>
            <w:shd w:val="clear" w:color="auto" w:fill="FFFFFF"/>
          </w:tcPr>
          <w:p w:rsidR="00080CEB" w:rsidRPr="003D1110" w:rsidRDefault="00080CEB" w:rsidP="003858C5">
            <w:pPr>
              <w:pStyle w:val="RollCallTable"/>
            </w:pPr>
            <w:r w:rsidRPr="003D1110">
              <w:t>Patrick Breyer, Saskia Bricmont, Damien Carême, Alice Kuhnke, Erik Marquardt, Diana Riba i Giner, Tineke Strik</w:t>
            </w:r>
          </w:p>
        </w:tc>
      </w:tr>
    </w:tbl>
    <w:p w:rsidR="00080CEB" w:rsidRPr="003D1110" w:rsidRDefault="00080CE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CEB" w:rsidRPr="003D1110" w:rsidTr="008920AC">
        <w:trPr>
          <w:cantSplit/>
        </w:trPr>
        <w:tc>
          <w:tcPr>
            <w:tcW w:w="1701" w:type="dxa"/>
            <w:shd w:val="pct10" w:color="000000" w:fill="FFFFFF"/>
            <w:vAlign w:val="center"/>
          </w:tcPr>
          <w:p w:rsidR="00080CEB" w:rsidRPr="003D1110" w:rsidRDefault="00080CEB" w:rsidP="003858C5">
            <w:pPr>
              <w:pStyle w:val="RollCallVotes"/>
            </w:pPr>
            <w:r w:rsidRPr="003D1110">
              <w:t>1</w:t>
            </w:r>
          </w:p>
        </w:tc>
        <w:tc>
          <w:tcPr>
            <w:tcW w:w="7371" w:type="dxa"/>
            <w:shd w:val="pct10" w:color="000000" w:fill="FFFFFF"/>
          </w:tcPr>
          <w:p w:rsidR="00080CEB" w:rsidRPr="003D1110" w:rsidRDefault="00080CEB" w:rsidP="003858C5">
            <w:pPr>
              <w:pStyle w:val="RollCallSymbols14pt"/>
            </w:pPr>
            <w:r w:rsidRPr="003D1110">
              <w:t>-</w:t>
            </w:r>
          </w:p>
        </w:tc>
      </w:tr>
      <w:tr w:rsidR="00080CEB" w:rsidRPr="003D1110" w:rsidTr="008920AC">
        <w:trPr>
          <w:cantSplit/>
        </w:trPr>
        <w:tc>
          <w:tcPr>
            <w:tcW w:w="1701" w:type="dxa"/>
            <w:shd w:val="clear" w:color="auto" w:fill="FFFFFF"/>
          </w:tcPr>
          <w:p w:rsidR="00080CEB" w:rsidRPr="003D1110" w:rsidRDefault="00080CEB" w:rsidP="003858C5">
            <w:pPr>
              <w:pStyle w:val="RollCallTable"/>
            </w:pPr>
            <w:r w:rsidRPr="003D1110">
              <w:t>NI</w:t>
            </w:r>
          </w:p>
        </w:tc>
        <w:tc>
          <w:tcPr>
            <w:tcW w:w="7371" w:type="dxa"/>
            <w:shd w:val="clear" w:color="auto" w:fill="FFFFFF"/>
          </w:tcPr>
          <w:p w:rsidR="00080CEB" w:rsidRPr="003D1110" w:rsidRDefault="00080CEB" w:rsidP="003858C5">
            <w:pPr>
              <w:pStyle w:val="RollCallTable"/>
            </w:pPr>
            <w:r w:rsidRPr="003D1110">
              <w:t>Milan Uhrík</w:t>
            </w:r>
          </w:p>
        </w:tc>
      </w:tr>
    </w:tbl>
    <w:p w:rsidR="00080CEB" w:rsidRPr="003D1110" w:rsidRDefault="00080CE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CEB" w:rsidRPr="003D1110" w:rsidTr="008920AC">
        <w:trPr>
          <w:cantSplit/>
        </w:trPr>
        <w:tc>
          <w:tcPr>
            <w:tcW w:w="1701" w:type="dxa"/>
            <w:shd w:val="pct10" w:color="000000" w:fill="FFFFFF"/>
            <w:vAlign w:val="center"/>
          </w:tcPr>
          <w:p w:rsidR="00080CEB" w:rsidRPr="003D1110" w:rsidRDefault="00080CEB" w:rsidP="003858C5">
            <w:pPr>
              <w:pStyle w:val="RollCallVotes"/>
            </w:pPr>
            <w:r w:rsidRPr="003D1110">
              <w:t>3</w:t>
            </w:r>
          </w:p>
        </w:tc>
        <w:tc>
          <w:tcPr>
            <w:tcW w:w="7371" w:type="dxa"/>
            <w:shd w:val="pct10" w:color="000000" w:fill="FFFFFF"/>
          </w:tcPr>
          <w:p w:rsidR="00080CEB" w:rsidRPr="003D1110" w:rsidRDefault="00080CEB" w:rsidP="003858C5">
            <w:pPr>
              <w:pStyle w:val="RollCallSymbols14pt"/>
            </w:pPr>
            <w:r w:rsidRPr="003D1110">
              <w:t>0</w:t>
            </w:r>
          </w:p>
        </w:tc>
      </w:tr>
      <w:tr w:rsidR="00080CEB" w:rsidRPr="003D1110" w:rsidTr="008920AC">
        <w:trPr>
          <w:cantSplit/>
        </w:trPr>
        <w:tc>
          <w:tcPr>
            <w:tcW w:w="1701" w:type="dxa"/>
            <w:shd w:val="clear" w:color="auto" w:fill="FFFFFF"/>
          </w:tcPr>
          <w:p w:rsidR="00080CEB" w:rsidRPr="003D1110" w:rsidRDefault="00080CEB" w:rsidP="003858C5">
            <w:pPr>
              <w:pStyle w:val="RollCallTable"/>
            </w:pPr>
            <w:r w:rsidRPr="003D1110">
              <w:t>ID</w:t>
            </w:r>
          </w:p>
        </w:tc>
        <w:tc>
          <w:tcPr>
            <w:tcW w:w="7371" w:type="dxa"/>
            <w:shd w:val="clear" w:color="auto" w:fill="FFFFFF"/>
          </w:tcPr>
          <w:p w:rsidR="00080CEB" w:rsidRPr="003D1110" w:rsidRDefault="00080CEB" w:rsidP="003858C5">
            <w:pPr>
              <w:pStyle w:val="RollCallTable"/>
            </w:pPr>
            <w:r w:rsidRPr="003D1110">
              <w:t>Patricia Chagnon, Nicolaus Fest, Tom Vandendriessche</w:t>
            </w:r>
          </w:p>
        </w:tc>
      </w:tr>
    </w:tbl>
    <w:p w:rsidR="00080CEB" w:rsidRPr="003D1110" w:rsidRDefault="00080CEB" w:rsidP="00147FBF">
      <w:pPr>
        <w:pStyle w:val="Normal12a"/>
      </w:pPr>
    </w:p>
    <w:p w:rsidR="00A262B4" w:rsidRPr="003D1110" w:rsidRDefault="00A262B4" w:rsidP="00A262B4">
      <w:r w:rsidRPr="003D1110">
        <w:t>Υπόμνημα των χρησιμοποιούμενων συμβόλων:</w:t>
      </w:r>
    </w:p>
    <w:p w:rsidR="00A262B4" w:rsidRPr="003D1110" w:rsidRDefault="00A262B4" w:rsidP="00A262B4">
      <w:r w:rsidRPr="003D1110">
        <w:t>+: υπέρ</w:t>
      </w:r>
    </w:p>
    <w:p w:rsidR="00A262B4" w:rsidRPr="003D1110" w:rsidRDefault="00A262B4" w:rsidP="00A262B4">
      <w:r w:rsidRPr="003D1110">
        <w:t>-: κατά</w:t>
      </w:r>
    </w:p>
    <w:p w:rsidR="00A262B4" w:rsidRPr="003D1110" w:rsidRDefault="00A262B4" w:rsidP="00A262B4">
      <w:r w:rsidRPr="003D1110">
        <w:t>0: αποχή</w:t>
      </w:r>
    </w:p>
    <w:p w:rsidR="00A262B4" w:rsidRPr="003D1110" w:rsidRDefault="00A262B4" w:rsidP="00A262B4"/>
    <w:bookmarkEnd w:id="4"/>
    <w:p w:rsidR="002E6F98" w:rsidRPr="003D1110" w:rsidRDefault="002E6F98" w:rsidP="00080CEB"/>
    <w:sectPr w:rsidR="002E6F98" w:rsidRPr="003D1110" w:rsidSect="001558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BAC" w:rsidRPr="003D1110" w:rsidRDefault="00C70BAC">
      <w:r w:rsidRPr="003D1110">
        <w:separator/>
      </w:r>
    </w:p>
  </w:endnote>
  <w:endnote w:type="continuationSeparator" w:id="0">
    <w:p w:rsidR="00C70BAC" w:rsidRPr="003D1110" w:rsidRDefault="00C70BAC">
      <w:r w:rsidRPr="003D11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110" w:rsidRPr="003D1110" w:rsidRDefault="003D1110" w:rsidP="003D1110">
    <w:pPr>
      <w:pStyle w:val="EPFooter"/>
    </w:pPr>
    <w:r w:rsidRPr="003D1110">
      <w:t>PE</w:t>
    </w:r>
    <w:r w:rsidRPr="003D1110">
      <w:rPr>
        <w:rStyle w:val="HideTWBExt"/>
      </w:rPr>
      <w:t>&lt;NoPE&gt;</w:t>
    </w:r>
    <w:r w:rsidRPr="003D1110">
      <w:t>756.191</w:t>
    </w:r>
    <w:r w:rsidRPr="003D1110">
      <w:rPr>
        <w:rStyle w:val="HideTWBExt"/>
      </w:rPr>
      <w:t>&lt;/NoPE&gt;&lt;Version&gt;</w:t>
    </w:r>
    <w:r w:rsidRPr="003D1110">
      <w:t>v03-00</w:t>
    </w:r>
    <w:r w:rsidRPr="003D1110">
      <w:rPr>
        <w:rStyle w:val="HideTWBExt"/>
      </w:rPr>
      <w:t>&lt;/Version&gt;</w:t>
    </w:r>
    <w:r w:rsidRPr="003D1110">
      <w:tab/>
    </w:r>
    <w:r w:rsidRPr="003D1110">
      <w:fldChar w:fldCharType="begin"/>
    </w:r>
    <w:r w:rsidRPr="003D1110">
      <w:instrText xml:space="preserve"> PAGE  \* MERGEFORMAT </w:instrText>
    </w:r>
    <w:r w:rsidRPr="003D1110">
      <w:fldChar w:fldCharType="separate"/>
    </w:r>
    <w:r w:rsidR="009021BF">
      <w:rPr>
        <w:noProof/>
      </w:rPr>
      <w:t>4</w:t>
    </w:r>
    <w:r w:rsidRPr="003D1110">
      <w:fldChar w:fldCharType="end"/>
    </w:r>
    <w:r w:rsidRPr="003D1110">
      <w:t>/</w:t>
    </w:r>
    <w:fldSimple w:instr=" NUMPAGES  \* MERGEFORMAT ">
      <w:r w:rsidR="009021BF">
        <w:rPr>
          <w:noProof/>
        </w:rPr>
        <w:t>7</w:t>
      </w:r>
    </w:fldSimple>
    <w:r w:rsidRPr="003D1110">
      <w:tab/>
    </w:r>
    <w:r w:rsidRPr="003D1110">
      <w:rPr>
        <w:rStyle w:val="HideTWBExt"/>
      </w:rPr>
      <w:t>&lt;PathFdR&gt;</w:t>
    </w:r>
    <w:r w:rsidRPr="003D1110">
      <w:t>AD\1295224EL.docx</w:t>
    </w:r>
    <w:r w:rsidRPr="003D1110">
      <w:rPr>
        <w:rStyle w:val="HideTWBExt"/>
      </w:rPr>
      <w:t>&lt;/PathFdR&gt;</w:t>
    </w:r>
  </w:p>
  <w:p w:rsidR="002E2F2E" w:rsidRPr="003D1110" w:rsidRDefault="003D1110" w:rsidP="003D1110">
    <w:pPr>
      <w:pStyle w:val="EPFooter2"/>
    </w:pPr>
    <w:r w:rsidRPr="003D1110">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110" w:rsidRPr="003D1110" w:rsidRDefault="003D1110" w:rsidP="003D1110">
    <w:pPr>
      <w:pStyle w:val="EPFooter"/>
    </w:pPr>
    <w:r w:rsidRPr="003D1110">
      <w:rPr>
        <w:rStyle w:val="HideTWBExt"/>
      </w:rPr>
      <w:t>&lt;PathFdR&gt;</w:t>
    </w:r>
    <w:r w:rsidRPr="003D1110">
      <w:t>AD\1295224EL.docx</w:t>
    </w:r>
    <w:r w:rsidRPr="003D1110">
      <w:rPr>
        <w:rStyle w:val="HideTWBExt"/>
      </w:rPr>
      <w:t>&lt;/PathFdR&gt;</w:t>
    </w:r>
    <w:r w:rsidRPr="003D1110">
      <w:tab/>
    </w:r>
    <w:r w:rsidRPr="003D1110">
      <w:fldChar w:fldCharType="begin"/>
    </w:r>
    <w:r w:rsidRPr="003D1110">
      <w:instrText xml:space="preserve"> PAGE  \* MERGEFORMAT </w:instrText>
    </w:r>
    <w:r w:rsidRPr="003D1110">
      <w:fldChar w:fldCharType="separate"/>
    </w:r>
    <w:r w:rsidR="009021BF">
      <w:rPr>
        <w:noProof/>
      </w:rPr>
      <w:t>5</w:t>
    </w:r>
    <w:r w:rsidRPr="003D1110">
      <w:fldChar w:fldCharType="end"/>
    </w:r>
    <w:r w:rsidRPr="003D1110">
      <w:t>/</w:t>
    </w:r>
    <w:fldSimple w:instr=" NUMPAGES  \* MERGEFORMAT ">
      <w:r w:rsidR="009021BF">
        <w:rPr>
          <w:noProof/>
        </w:rPr>
        <w:t>7</w:t>
      </w:r>
    </w:fldSimple>
    <w:r w:rsidRPr="003D1110">
      <w:tab/>
      <w:t>PE</w:t>
    </w:r>
    <w:r w:rsidRPr="003D1110">
      <w:rPr>
        <w:rStyle w:val="HideTWBExt"/>
      </w:rPr>
      <w:t>&lt;NoPE&gt;</w:t>
    </w:r>
    <w:r w:rsidRPr="003D1110">
      <w:t>756.191</w:t>
    </w:r>
    <w:r w:rsidRPr="003D1110">
      <w:rPr>
        <w:rStyle w:val="HideTWBExt"/>
      </w:rPr>
      <w:t>&lt;/NoPE&gt;&lt;Version&gt;</w:t>
    </w:r>
    <w:r w:rsidRPr="003D1110">
      <w:t>v03-00</w:t>
    </w:r>
    <w:r w:rsidRPr="003D1110">
      <w:rPr>
        <w:rStyle w:val="HideTWBExt"/>
      </w:rPr>
      <w:t>&lt;/Version&gt;</w:t>
    </w:r>
  </w:p>
  <w:p w:rsidR="002E2F2E" w:rsidRPr="003D1110" w:rsidRDefault="003D1110" w:rsidP="003D1110">
    <w:pPr>
      <w:pStyle w:val="EPFooter2"/>
    </w:pPr>
    <w:r w:rsidRPr="003D1110">
      <w:tab/>
    </w:r>
    <w:r w:rsidRPr="003D1110">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110" w:rsidRPr="003D1110" w:rsidRDefault="003D1110" w:rsidP="003D1110">
    <w:pPr>
      <w:pStyle w:val="EPFooter"/>
    </w:pPr>
    <w:r w:rsidRPr="003D1110">
      <w:rPr>
        <w:rStyle w:val="HideTWBExt"/>
      </w:rPr>
      <w:t>&lt;PathFdR&gt;</w:t>
    </w:r>
    <w:r w:rsidRPr="003D1110">
      <w:t>AD\1295224EL.docx</w:t>
    </w:r>
    <w:r w:rsidRPr="003D1110">
      <w:rPr>
        <w:rStyle w:val="HideTWBExt"/>
      </w:rPr>
      <w:t>&lt;/PathFdR&gt;</w:t>
    </w:r>
    <w:r w:rsidRPr="003D1110">
      <w:tab/>
    </w:r>
    <w:r w:rsidRPr="003D1110">
      <w:tab/>
      <w:t>PE</w:t>
    </w:r>
    <w:r w:rsidRPr="003D1110">
      <w:rPr>
        <w:rStyle w:val="HideTWBExt"/>
      </w:rPr>
      <w:t>&lt;NoPE&gt;</w:t>
    </w:r>
    <w:r w:rsidRPr="003D1110">
      <w:t>756.191</w:t>
    </w:r>
    <w:r w:rsidRPr="003D1110">
      <w:rPr>
        <w:rStyle w:val="HideTWBExt"/>
      </w:rPr>
      <w:t>&lt;/NoPE&gt;&lt;Version&gt;</w:t>
    </w:r>
    <w:r w:rsidRPr="003D1110">
      <w:t>v03-00</w:t>
    </w:r>
    <w:r w:rsidRPr="003D1110">
      <w:rPr>
        <w:rStyle w:val="HideTWBExt"/>
      </w:rPr>
      <w:t>&lt;/Version&gt;</w:t>
    </w:r>
  </w:p>
  <w:p w:rsidR="002E2F2E" w:rsidRPr="003D1110" w:rsidRDefault="003D1110" w:rsidP="003D1110">
    <w:pPr>
      <w:pStyle w:val="EPFooter2"/>
    </w:pPr>
    <w:r w:rsidRPr="003D1110">
      <w:t>EL</w:t>
    </w:r>
    <w:r w:rsidRPr="003D1110">
      <w:tab/>
    </w:r>
    <w:r w:rsidRPr="003D1110">
      <w:rPr>
        <w:b w:val="0"/>
        <w:i/>
        <w:color w:val="C0C0C0"/>
        <w:sz w:val="22"/>
      </w:rPr>
      <w:t>Ενωμένη στην πολυμορφία</w:t>
    </w:r>
    <w:r w:rsidRPr="003D1110">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BAC" w:rsidRPr="003D1110" w:rsidRDefault="00C70BAC">
      <w:r w:rsidRPr="003D1110">
        <w:separator/>
      </w:r>
    </w:p>
  </w:footnote>
  <w:footnote w:type="continuationSeparator" w:id="0">
    <w:p w:rsidR="00C70BAC" w:rsidRPr="003D1110" w:rsidRDefault="00C70BAC">
      <w:r w:rsidRPr="003D111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1BF" w:rsidRDefault="009021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1BF" w:rsidRDefault="009021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1BF" w:rsidRDefault="009021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126715 HideTWBInt;}{_x000d__x000a_\s18\ql \fi-567\li567\ri0\sa240\nowidctlpar\wrapdefault\aspalpha\aspnum\faauto\adjustright\rin0\lin567\itap0 \rtlch\fcs1 \af0\afs20\alang1025 \ltrch\fcs0 \fs24\lang2057\langfe2057\cgrid\langnp2057\langfenp2057 _x000d__x000a_\sbasedon0 \snext18 \spriority0 \styrsid5126715 NormalHanging12a;}}{\*\rsidtbl \rsid24658\rsid223860\rsid735077\rsid1718133\rsid2892074\rsid3565327\rsid3674976\rsid4666813\rsid5126715\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19\hr12\min39}{\revtim\yr2024\mo1\dy19\hr12\min39}{\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26715\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3674976 \chftnsep _x000d__x000a_\par }}{\*\ftnsepc \ltrpar \pard\plain \ltrpar\ql \li0\ri0\widctlpar\wrapdefault\aspalpha\aspnum\faauto\adjustright\rin0\lin0\itap0 \rtlch\fcs1 \af0\afs20\alang1025 \ltrch\fcs0 \fs24\lang2057\langfe2057\cgrid\langnp2057\langfenp2057 {\rtlch\fcs1 \af0 _x000d__x000a_\ltrch\fcs0 \insrsid3674976 \chftnsepc _x000d__x000a_\par }}{\*\aftnsep \ltrpar \pard\plain \ltrpar\ql \li0\ri0\widctlpar\wrapdefault\aspalpha\aspnum\faauto\adjustright\rin0\lin0\itap0 \rtlch\fcs1 \af0\afs20\alang1025 \ltrch\fcs0 \fs24\lang2057\langfe2057\cgrid\langnp2057\langfenp2057 {\rtlch\fcs1 \af0 _x000d__x000a_\ltrch\fcs0 \insrsid3674976 \chftnsep _x000d__x000a_\par }}{\*\aftnsepc \ltrpar \pard\plain \ltrpar\ql \li0\ri0\widctlpar\wrapdefault\aspalpha\aspnum\faauto\adjustright\rin0\lin0\itap0 \rtlch\fcs1 \af0\afs20\alang1025 \ltrch\fcs0 \fs24\lang2057\langfe2057\cgrid\langnp2057\langfenp2057 {\rtlch\fcs1 \af0 _x000d__x000a_\ltrch\fcs0 \insrsid36749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5126715 \rtlch\fcs1 \af0\afs20\alang1025 \ltrch\fcs0 \fs24\lang2057\langfe2057\cgrid\langnp2057\langfenp2057 {\rtlch\fcs1 \af0 _x000d__x000a_\ltrch\fcs0 \insrsid5126715\charrsid13044652 {\*\bkmkstart restart}#}{\rtlch\fcs1 \af1 \ltrch\fcs0 \cs17\v\f1\fs20\cf15\insrsid5126715\charrsid13044652 NRMSG}{\rtlch\fcs1 \af0 \ltrch\fcs0 \insrsid5126715\charrsid13044652 #.\tab ##}{\rtlch\fcs1 \af0 _x000d__x000a_\ltrch\fcs0 \insrsid5126715\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e_x000d__x000a_0231cc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4677518 NormalHanging12a;}}{\*\rsidtbl \rsid24658\rsid223860\rsid735077\rsid1718133\rsid2892074\rsid3565327\rsid4391474\rsid4666813\rsid4677518\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19\hr12\min39}{\revtim\yr2024\mo1\dy19\hr12\min39}{\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7751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4391474 \chftnsep _x000d__x000a_\par }}{\*\ftnsepc \ltrpar \pard\plain \ltrpar\ql \li0\ri0\widctlpar\wrapdefault\aspalpha\aspnum\faauto\adjustright\rin0\lin0\itap0 \rtlch\fcs1 \af0\afs20\alang1025 \ltrch\fcs0 \fs24\lang2057\langfe2057\cgrid\langnp2057\langfenp2057 {\rtlch\fcs1 \af0 _x000d__x000a_\ltrch\fcs0 \insrsid4391474 \chftnsepc _x000d__x000a_\par }}{\*\aftnsep \ltrpar \pard\plain \ltrpar\ql \li0\ri0\widctlpar\wrapdefault\aspalpha\aspnum\faauto\adjustright\rin0\lin0\itap0 \rtlch\fcs1 \af0\afs20\alang1025 \ltrch\fcs0 \fs24\lang2057\langfe2057\cgrid\langnp2057\langfenp2057 {\rtlch\fcs1 \af0 _x000d__x000a_\ltrch\fcs0 \insrsid4391474 \chftnsep _x000d__x000a_\par }}{\*\aftnsepc \ltrpar \pard\plain \ltrpar\ql \li0\ri0\widctlpar\wrapdefault\aspalpha\aspnum\faauto\adjustright\rin0\lin0\itap0 \rtlch\fcs1 \af0\afs20\alang1025 \ltrch\fcs0 \fs24\lang2057\langfe2057\cgrid\langnp2057\langfenp2057 {\rtlch\fcs1 \af0 _x000d__x000a_\ltrch\fcs0 \insrsid43914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4677518 \rtlch\fcs1 \af0\afs20\alang1025 \ltrch\fcs0 \fs24\lang2057\langfe2057\cgrid\langnp2057\langfenp2057 {\rtlch\fcs1 \af0 _x000d__x000a_\ltrch\fcs0 \insrsid4677518\charrsid1525456 {\*\bkmkstart restart}[ZSUGGESTIONNR]\tab [ZSUGGESTIONTEXT]}{\rtlch\fcs1 \af0 \ltrch\fcs0 \insrsid467751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2_x000d__x000a_b033cc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EL"/>
    <w:docVar w:name="TXTLANGUEMIN" w:val="el"/>
    <w:docVar w:name="TXTNRPE" w:val="756.191"/>
    <w:docVar w:name="TXTNRPROC" w:val="2023/2144"/>
    <w:docVar w:name="TXTPEorAP" w:val="PE"/>
    <w:docVar w:name="TXTROUTE" w:val="AD\1295224EL.docx"/>
    <w:docVar w:name="TXTTITLE" w:val="of the European Union Agency for Law Enforcement Training (CEPOL) for the financial year 2022"/>
    <w:docVar w:name="TXTVERSION" w:val="03-00"/>
  </w:docVars>
  <w:rsids>
    <w:rsidRoot w:val="00C70BAC"/>
    <w:rsid w:val="00063D81"/>
    <w:rsid w:val="00080CEB"/>
    <w:rsid w:val="0009622E"/>
    <w:rsid w:val="000E7EBF"/>
    <w:rsid w:val="00124F60"/>
    <w:rsid w:val="00135121"/>
    <w:rsid w:val="00140BE6"/>
    <w:rsid w:val="00147F4E"/>
    <w:rsid w:val="00155807"/>
    <w:rsid w:val="0016635E"/>
    <w:rsid w:val="001746D0"/>
    <w:rsid w:val="001A5D8D"/>
    <w:rsid w:val="001B7393"/>
    <w:rsid w:val="001D2ED9"/>
    <w:rsid w:val="001F21C1"/>
    <w:rsid w:val="002D28A7"/>
    <w:rsid w:val="002E2F2E"/>
    <w:rsid w:val="002E5E51"/>
    <w:rsid w:val="002E6F98"/>
    <w:rsid w:val="002F079D"/>
    <w:rsid w:val="00310677"/>
    <w:rsid w:val="00325BCB"/>
    <w:rsid w:val="00331944"/>
    <w:rsid w:val="00332AD9"/>
    <w:rsid w:val="00347D2C"/>
    <w:rsid w:val="0037356F"/>
    <w:rsid w:val="00390EB2"/>
    <w:rsid w:val="00396A0E"/>
    <w:rsid w:val="003D1110"/>
    <w:rsid w:val="003E2402"/>
    <w:rsid w:val="003F701A"/>
    <w:rsid w:val="004950FF"/>
    <w:rsid w:val="004C28FB"/>
    <w:rsid w:val="004C44C0"/>
    <w:rsid w:val="004F6E5D"/>
    <w:rsid w:val="0051119D"/>
    <w:rsid w:val="0052544E"/>
    <w:rsid w:val="005729E0"/>
    <w:rsid w:val="0058163B"/>
    <w:rsid w:val="005940C3"/>
    <w:rsid w:val="00594C48"/>
    <w:rsid w:val="005B2F11"/>
    <w:rsid w:val="005C0BDF"/>
    <w:rsid w:val="005D60C6"/>
    <w:rsid w:val="006102E7"/>
    <w:rsid w:val="00640C1B"/>
    <w:rsid w:val="00657AFB"/>
    <w:rsid w:val="006D5BF7"/>
    <w:rsid w:val="008313E7"/>
    <w:rsid w:val="00854CAC"/>
    <w:rsid w:val="00885F0F"/>
    <w:rsid w:val="008A32C5"/>
    <w:rsid w:val="008C0D74"/>
    <w:rsid w:val="008C6203"/>
    <w:rsid w:val="008D61E7"/>
    <w:rsid w:val="008F7002"/>
    <w:rsid w:val="009021BF"/>
    <w:rsid w:val="0099493F"/>
    <w:rsid w:val="009E4314"/>
    <w:rsid w:val="00A16BEA"/>
    <w:rsid w:val="00A262B4"/>
    <w:rsid w:val="00A312B3"/>
    <w:rsid w:val="00A72C35"/>
    <w:rsid w:val="00A868C4"/>
    <w:rsid w:val="00AE180F"/>
    <w:rsid w:val="00B362F7"/>
    <w:rsid w:val="00B5456B"/>
    <w:rsid w:val="00B74A14"/>
    <w:rsid w:val="00B74B53"/>
    <w:rsid w:val="00BC26E4"/>
    <w:rsid w:val="00BD1EAA"/>
    <w:rsid w:val="00C52739"/>
    <w:rsid w:val="00C70BAC"/>
    <w:rsid w:val="00C827FF"/>
    <w:rsid w:val="00CC7EAB"/>
    <w:rsid w:val="00CD34AC"/>
    <w:rsid w:val="00DE19FF"/>
    <w:rsid w:val="00E81BA6"/>
    <w:rsid w:val="00E856D2"/>
    <w:rsid w:val="00E929A7"/>
    <w:rsid w:val="00F352E6"/>
    <w:rsid w:val="00F603B2"/>
    <w:rsid w:val="00FA2781"/>
    <w:rsid w:val="00FC6460"/>
    <w:rsid w:val="00FD0625"/>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chartTrackingRefBased/>
  <w15:docId w15:val="{43BA7F5D-697F-4A6E-87C9-5303FED9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2F079D"/>
    <w:pPr>
      <w:tabs>
        <w:tab w:val="center" w:pos="4513"/>
        <w:tab w:val="right" w:pos="9026"/>
      </w:tabs>
    </w:pPr>
  </w:style>
  <w:style w:type="character" w:customStyle="1" w:styleId="FooterChar">
    <w:name w:val="Footer Char"/>
    <w:basedOn w:val="DefaultParagraphFont"/>
    <w:link w:val="Footer"/>
    <w:semiHidden/>
    <w:rsid w:val="002F079D"/>
    <w:rPr>
      <w:sz w:val="24"/>
    </w:rPr>
  </w:style>
  <w:style w:type="paragraph" w:styleId="BalloonText">
    <w:name w:val="Balloon Text"/>
    <w:basedOn w:val="Normal"/>
    <w:link w:val="BalloonTextChar"/>
    <w:semiHidden/>
    <w:unhideWhenUsed/>
    <w:rsid w:val="00063D81"/>
    <w:rPr>
      <w:rFonts w:ascii="Segoe UI" w:hAnsi="Segoe UI" w:cs="Segoe UI"/>
      <w:sz w:val="18"/>
      <w:szCs w:val="18"/>
    </w:rPr>
  </w:style>
  <w:style w:type="character" w:customStyle="1" w:styleId="BalloonTextChar">
    <w:name w:val="Balloon Text Char"/>
    <w:basedOn w:val="DefaultParagraphFont"/>
    <w:link w:val="BalloonText"/>
    <w:semiHidden/>
    <w:rsid w:val="00063D81"/>
    <w:rPr>
      <w:rFonts w:ascii="Segoe UI" w:hAnsi="Segoe UI" w:cs="Segoe UI"/>
      <w:sz w:val="18"/>
      <w:szCs w:val="18"/>
      <w:lang w:val="el-GR"/>
    </w:rPr>
  </w:style>
  <w:style w:type="paragraph" w:customStyle="1" w:styleId="RollCallSymbols14pt">
    <w:name w:val="RollCallSymbols14pt"/>
    <w:basedOn w:val="Normal"/>
    <w:rsid w:val="00080CE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80CEB"/>
    <w:pPr>
      <w:tabs>
        <w:tab w:val="center" w:pos="284"/>
        <w:tab w:val="left" w:pos="426"/>
      </w:tabs>
    </w:pPr>
    <w:rPr>
      <w:snapToGrid w:val="0"/>
      <w:lang w:eastAsia="en-US"/>
    </w:rPr>
  </w:style>
  <w:style w:type="paragraph" w:customStyle="1" w:styleId="RollCallVotes">
    <w:name w:val="RollCallVotes"/>
    <w:basedOn w:val="Normal"/>
    <w:rsid w:val="00080CEB"/>
    <w:pPr>
      <w:spacing w:before="120" w:after="120"/>
      <w:jc w:val="center"/>
    </w:pPr>
    <w:rPr>
      <w:b/>
      <w:bCs/>
      <w:snapToGrid w:val="0"/>
      <w:sz w:val="16"/>
      <w:lang w:eastAsia="en-US"/>
    </w:rPr>
  </w:style>
  <w:style w:type="paragraph" w:customStyle="1" w:styleId="RollCallTable">
    <w:name w:val="RollCallTable"/>
    <w:basedOn w:val="Normal"/>
    <w:rsid w:val="00080CEB"/>
    <w:pPr>
      <w:spacing w:before="120" w:after="120"/>
    </w:pPr>
    <w:rPr>
      <w:snapToGrid w:val="0"/>
      <w:sz w:val="16"/>
      <w:lang w:eastAsia="en-US"/>
    </w:rPr>
  </w:style>
  <w:style w:type="paragraph" w:customStyle="1" w:styleId="Normal24a">
    <w:name w:val="Normal24a"/>
    <w:basedOn w:val="Normal"/>
    <w:rsid w:val="00155807"/>
    <w:pPr>
      <w:spacing w:after="480"/>
    </w:pPr>
  </w:style>
  <w:style w:type="paragraph" w:customStyle="1" w:styleId="NormalBoldCenter">
    <w:name w:val="NormalBoldCenter"/>
    <w:basedOn w:val="Normal"/>
    <w:rsid w:val="00155807"/>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278DA-718A-47C3-8B5C-2BAD89B86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1231</Words>
  <Characters>7558</Characters>
  <Application>Microsoft Office Word</Application>
  <DocSecurity>0</DocSecurity>
  <Lines>182</Lines>
  <Paragraphs>69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2024-02-05T14:47:00Z</dcterms:created>
  <dcterms:modified xsi:type="dcterms:W3CDTF">2024-02-05T14:47:00Z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Created with">
    <vt:lpwstr>9.16.1 Build [20230920]</vt:lpwstr>
  </property>
  <property fmtid="{D5CDD505-2E9C-101B-9397-08002B2CF9AE}" pid="4" name="LastEdited with">
    <vt:lpwstr>9.17.1 Build [20240111]</vt:lpwstr>
  </property>
  <property fmtid="{D5CDD505-2E9C-101B-9397-08002B2CF9AE}" pid="5" name="&lt;FdR&gt;">
    <vt:lpwstr>1295224</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AD\1295224EL.docx</vt:lpwstr>
  </property>
  <property fmtid="{D5CDD505-2E9C-101B-9397-08002B2CF9AE}" pid="11" name="PE number">
    <vt:lpwstr>756.191</vt:lpwstr>
  </property>
  <property fmtid="{D5CDD505-2E9C-101B-9397-08002B2CF9AE}" pid="12" name="SendToEpades">
    <vt:lpwstr>OK - 2024/01/25 12:53</vt:lpwstr>
  </property>
  <property fmtid="{D5CDD505-2E9C-101B-9397-08002B2CF9AE}" pid="13" name="SDLStudio">
    <vt:lpwstr/>
  </property>
  <property fmtid="{D5CDD505-2E9C-101B-9397-08002B2CF9AE}" pid="14" name="Bookout">
    <vt:lpwstr>OK - 2024/02/05 15:47</vt:lpwstr>
  </property>
</Properties>
</file>