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DB6E76" w:rsidTr="00C85D0F">
        <w:trPr>
          <w:trHeight w:hRule="exact" w:val="1418"/>
        </w:trPr>
        <w:tc>
          <w:tcPr>
            <w:tcW w:w="6804" w:type="dxa"/>
            <w:shd w:val="clear" w:color="auto" w:fill="auto"/>
            <w:vAlign w:val="center"/>
          </w:tcPr>
          <w:p w:rsidR="00854CAC" w:rsidRPr="00DB6E76" w:rsidRDefault="004A0215" w:rsidP="00C85D0F">
            <w:pPr>
              <w:pStyle w:val="EPName"/>
            </w:pPr>
            <w:r>
              <w:t>Europos Parlamentas</w:t>
            </w:r>
          </w:p>
          <w:p w:rsidR="00854CAC" w:rsidRPr="00DB6E76" w:rsidRDefault="00DB6E76" w:rsidP="00DB6E76">
            <w:pPr>
              <w:pStyle w:val="EPTerm"/>
            </w:pPr>
            <w:r>
              <w:t>2019-2024</w:t>
            </w:r>
          </w:p>
        </w:tc>
        <w:tc>
          <w:tcPr>
            <w:tcW w:w="2268" w:type="dxa"/>
            <w:shd w:val="clear" w:color="auto" w:fill="auto"/>
          </w:tcPr>
          <w:p w:rsidR="00854CAC" w:rsidRPr="00DB6E76" w:rsidRDefault="00854CAC" w:rsidP="00C85D0F">
            <w:pPr>
              <w:pStyle w:val="EPLogo"/>
            </w:pPr>
            <w:r w:rsidRPr="00DB6E76">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DB6E76" w:rsidRDefault="001746D0" w:rsidP="001746D0">
      <w:pPr>
        <w:pStyle w:val="LineTop"/>
      </w:pPr>
    </w:p>
    <w:p w:rsidR="001746D0" w:rsidRPr="00DB6E76" w:rsidRDefault="001746D0" w:rsidP="001746D0">
      <w:pPr>
        <w:pStyle w:val="EPBody"/>
      </w:pPr>
      <w:r>
        <w:rPr>
          <w:rStyle w:val="HideTWBExt"/>
        </w:rPr>
        <w:t>&lt;</w:t>
      </w:r>
      <w:r>
        <w:rPr>
          <w:rStyle w:val="HideTWBExt"/>
          <w:i w:val="0"/>
        </w:rPr>
        <w:t>Commission</w:t>
      </w:r>
      <w:r>
        <w:rPr>
          <w:rStyle w:val="HideTWBExt"/>
        </w:rPr>
        <w:t>&gt;</w:t>
      </w:r>
      <w:r>
        <w:rPr>
          <w:rStyle w:val="HideTWBInt"/>
        </w:rPr>
        <w:t>{LIBE}</w:t>
      </w:r>
      <w:r>
        <w:t>Piliečių laisvių, teisingumo ir vidaus reikalų komitetas</w:t>
      </w:r>
      <w:r>
        <w:rPr>
          <w:rStyle w:val="HideTWBExt"/>
        </w:rPr>
        <w:t>&lt;/</w:t>
      </w:r>
      <w:r>
        <w:rPr>
          <w:rStyle w:val="HideTWBExt"/>
          <w:i w:val="0"/>
        </w:rPr>
        <w:t>Commission</w:t>
      </w:r>
      <w:r>
        <w:rPr>
          <w:rStyle w:val="HideTWBExt"/>
        </w:rPr>
        <w:t>&gt;</w:t>
      </w:r>
    </w:p>
    <w:p w:rsidR="001746D0" w:rsidRPr="00DB6E76" w:rsidRDefault="001746D0" w:rsidP="001746D0">
      <w:pPr>
        <w:pStyle w:val="LineBottom"/>
      </w:pPr>
    </w:p>
    <w:p w:rsidR="002E2F2E" w:rsidRPr="00DB6E76" w:rsidRDefault="002E2F2E">
      <w:pPr>
        <w:pStyle w:val="CoverReference"/>
      </w:pPr>
      <w:r>
        <w:rPr>
          <w:rStyle w:val="HideTWBExt"/>
          <w:b w:val="0"/>
        </w:rPr>
        <w:t>&lt;RefProc&gt;</w:t>
      </w:r>
      <w:r>
        <w:t>2023/2144</w:t>
      </w:r>
      <w:r>
        <w:rPr>
          <w:rStyle w:val="HideTWBExt"/>
          <w:b w:val="0"/>
        </w:rPr>
        <w:t>&lt;/RefProc&gt;&lt;RefTypeProc&gt;</w:t>
      </w:r>
      <w:r>
        <w:t>(DEC)</w:t>
      </w:r>
      <w:r>
        <w:rPr>
          <w:rStyle w:val="HideTWBExt"/>
          <w:b w:val="0"/>
        </w:rPr>
        <w:t>&lt;/RefTypeProc&gt;</w:t>
      </w:r>
    </w:p>
    <w:p w:rsidR="002E2F2E" w:rsidRPr="00DB6E76" w:rsidRDefault="002E2F2E">
      <w:pPr>
        <w:pStyle w:val="CoverDate"/>
      </w:pPr>
      <w:r>
        <w:rPr>
          <w:rStyle w:val="HideTWBExt"/>
        </w:rPr>
        <w:t>&lt;Date&gt;</w:t>
      </w:r>
      <w:r>
        <w:rPr>
          <w:rStyle w:val="HideTWBInt"/>
        </w:rPr>
        <w:t>{24/01/2024}</w:t>
      </w:r>
      <w:r>
        <w:t>24.1.2024</w:t>
      </w:r>
      <w:r>
        <w:rPr>
          <w:rStyle w:val="HideTWBExt"/>
        </w:rPr>
        <w:t>&lt;/Date&gt;</w:t>
      </w:r>
    </w:p>
    <w:p w:rsidR="002E2F2E" w:rsidRPr="00DB6E76" w:rsidRDefault="002E2F2E">
      <w:pPr>
        <w:pStyle w:val="CoverDocType24a"/>
      </w:pPr>
      <w:r>
        <w:rPr>
          <w:rStyle w:val="HideTWBExt"/>
          <w:b w:val="0"/>
        </w:rPr>
        <w:t>&lt;TitreType&gt;</w:t>
      </w:r>
      <w:r>
        <w:t>NUOMONĖ</w:t>
      </w:r>
      <w:r>
        <w:rPr>
          <w:rStyle w:val="HideTWBExt"/>
          <w:b w:val="0"/>
        </w:rPr>
        <w:t>&lt;/TitreType&gt;</w:t>
      </w:r>
    </w:p>
    <w:p w:rsidR="002E2F2E" w:rsidRPr="00DB6E76" w:rsidRDefault="002E2F2E">
      <w:pPr>
        <w:pStyle w:val="CoverNormal24a"/>
      </w:pPr>
      <w:r>
        <w:rPr>
          <w:rStyle w:val="HideTWBExt"/>
        </w:rPr>
        <w:t>&lt;CommissionResp&gt;</w:t>
      </w:r>
      <w:r>
        <w:t>Piliečių laisvių, teisingumo ir vidaus reikalų komiteto</w:t>
      </w:r>
      <w:r>
        <w:rPr>
          <w:rStyle w:val="HideTWBExt"/>
        </w:rPr>
        <w:t>&lt;/CommissionResp&gt;</w:t>
      </w:r>
    </w:p>
    <w:p w:rsidR="002E2F2E" w:rsidRPr="00DB6E76" w:rsidRDefault="002E2F2E">
      <w:pPr>
        <w:pStyle w:val="CoverNormal24a"/>
      </w:pPr>
      <w:r>
        <w:rPr>
          <w:rStyle w:val="HideTWBExt"/>
        </w:rPr>
        <w:t>&lt;CommissionInt&gt;</w:t>
      </w:r>
      <w:r>
        <w:t>pateikta Biudžeto kontrolės komitetui</w:t>
      </w:r>
      <w:r>
        <w:rPr>
          <w:rStyle w:val="HideTWBExt"/>
        </w:rPr>
        <w:t>&lt;/CommissionInt&gt;</w:t>
      </w:r>
    </w:p>
    <w:p w:rsidR="002E2F2E" w:rsidRPr="00DB6E76" w:rsidRDefault="002E2F2E">
      <w:pPr>
        <w:pStyle w:val="CoverNormal"/>
      </w:pPr>
      <w:r>
        <w:rPr>
          <w:rStyle w:val="HideTWBExt"/>
        </w:rPr>
        <w:t>&lt;Titre&gt;</w:t>
      </w:r>
      <w:r>
        <w:t>dėl Europos Sąjungos teisėsaugos mokymo agentūros (CEPOL) 2022 finansinių metų biudžeto įvykdymo patvirtinimo</w:t>
      </w:r>
      <w:r>
        <w:rPr>
          <w:rStyle w:val="HideTWBExt"/>
        </w:rPr>
        <w:t>&lt;/Titre&gt;</w:t>
      </w:r>
    </w:p>
    <w:p w:rsidR="002E2F2E" w:rsidRPr="00DB6E76" w:rsidRDefault="002E2F2E">
      <w:pPr>
        <w:pStyle w:val="CoverNormal24a"/>
      </w:pPr>
      <w:r>
        <w:rPr>
          <w:rStyle w:val="HideTWBExt"/>
        </w:rPr>
        <w:t>&lt;DocRef&gt;</w:t>
      </w:r>
      <w:r>
        <w:t>(2023/2144(DEC))</w:t>
      </w:r>
      <w:r>
        <w:rPr>
          <w:rStyle w:val="HideTWBExt"/>
        </w:rPr>
        <w:t>&lt;/DocRef&gt;</w:t>
      </w:r>
    </w:p>
    <w:p w:rsidR="002E2F2E" w:rsidRPr="00DB6E76" w:rsidRDefault="00DB6E76">
      <w:pPr>
        <w:pStyle w:val="CoverNormal24a"/>
      </w:pPr>
      <w:r>
        <w:t xml:space="preserve">Nuomonės referentas: </w:t>
      </w:r>
      <w:r>
        <w:rPr>
          <w:rStyle w:val="HideTWBExt"/>
        </w:rPr>
        <w:t>&lt;Depute&gt;</w:t>
      </w:r>
      <w:r>
        <w:t>Tomáš Zdechovský</w:t>
      </w:r>
      <w:r>
        <w:rPr>
          <w:rStyle w:val="HideTWBExt"/>
        </w:rPr>
        <w:t>&lt;/Depute&gt;</w:t>
      </w:r>
    </w:p>
    <w:p w:rsidR="00A72C35" w:rsidRPr="00DB6E76" w:rsidRDefault="00A72C35" w:rsidP="00A72C35">
      <w:pPr>
        <w:pStyle w:val="CoverNormal"/>
      </w:pPr>
    </w:p>
    <w:p w:rsidR="002E2F2E" w:rsidRPr="00DB6E76" w:rsidRDefault="002E2F2E" w:rsidP="00E856D2">
      <w:pPr>
        <w:widowControl/>
        <w:tabs>
          <w:tab w:val="center" w:pos="4677"/>
        </w:tabs>
      </w:pPr>
      <w:r>
        <w:br w:type="page"/>
      </w:r>
      <w:r>
        <w:lastRenderedPageBreak/>
        <w:t>PA_NonLeg</w:t>
      </w:r>
    </w:p>
    <w:p w:rsidR="002E2F2E" w:rsidRPr="00DB6E76" w:rsidRDefault="002E2F2E">
      <w:pPr>
        <w:pStyle w:val="PageHeadingNotTOC"/>
      </w:pPr>
      <w:r>
        <w:br w:type="page"/>
      </w:r>
      <w:r>
        <w:lastRenderedPageBreak/>
        <w:t>PASIŪLYMAI</w:t>
      </w:r>
    </w:p>
    <w:p w:rsidR="002E2F2E" w:rsidRPr="00DB6E76" w:rsidRDefault="00DB6E76" w:rsidP="008313E7">
      <w:pPr>
        <w:pStyle w:val="Normal12a"/>
      </w:pPr>
      <w:r>
        <w:t>Piliečių laisvių, teisingumo ir vidaus reikalų komitetas ragina atsakingą Biudžeto kontrolės komitetą į savo pasiūlymą dėl rezoliucijos įtraukti šiuos pasiūlymus:</w:t>
      </w:r>
    </w:p>
    <w:p w:rsidR="00F24064" w:rsidRPr="003F701A" w:rsidRDefault="00F24064" w:rsidP="00F24064">
      <w:pPr>
        <w:pStyle w:val="NormalHanging12a"/>
        <w:jc w:val="both"/>
      </w:pPr>
      <w:bookmarkStart w:id="0" w:name="restart"/>
      <w:r>
        <w:t>1.</w:t>
      </w:r>
      <w:r>
        <w:tab/>
        <w:t>palankiai vertina tai, kad Audito Rūmai pareiškė, jog Europos Sąjungos teisėsaugos mokymo agentūros (CEPOL) 2022 finansinių metų metinėse ataskaitose atspindimos operacijos visais reikšmingais aspektais yra teisėtos ir tvarkingos; apgailestauja dėl to, kad iš viso 4,2 mln. EUR vertės išlaidos neatitiko reikalavimų, o tai viršija auditui nustatytą reikšmingumo ribą, todėl Audito Rūmai pateikė sąlyginę nuomonę dėl mokėjimų teisėtumo ir tvarkingumo;</w:t>
      </w:r>
    </w:p>
    <w:p w:rsidR="00F24064" w:rsidRPr="003F701A" w:rsidRDefault="00F24064" w:rsidP="00F24064">
      <w:pPr>
        <w:pStyle w:val="NormalHanging12a"/>
        <w:jc w:val="both"/>
      </w:pPr>
      <w:r>
        <w:t>2.</w:t>
      </w:r>
      <w:r>
        <w:tab/>
        <w:t>palankiai vertina tai, kad buvo imtasi tinkamų taisomųjų veiksmų siekiant atsižvelgti į daugelį Audito Rūmų ankstesnių metų pastabų; pažymi, kad nuo 2020 m. Audito Rūmai kasmet teikdavo su viešaisiais pirkimais susijusias pastabas dėl trūkumų ir pažeidimų; taip pat pažymi, kad 2021 ir 2022 m. šios pastabos turėjo įtakos mokėjimams; apgailestauja, kad vis dar neatsižvelgta į vieną ankstesnių metų pastabą dėl viešųjų pirkimų procedūros;</w:t>
      </w:r>
    </w:p>
    <w:bookmarkEnd w:id="0"/>
    <w:p w:rsidR="00F24064" w:rsidRPr="003F701A" w:rsidRDefault="00F24064" w:rsidP="00F24064">
      <w:pPr>
        <w:pStyle w:val="NormalHanging12a"/>
        <w:jc w:val="both"/>
      </w:pPr>
      <w:r>
        <w:t>3.</w:t>
      </w:r>
      <w:r>
        <w:tab/>
        <w:t>pabrėžia, kad CEPOL dėl savo palyginti nedidelio dydžio ir metinio biudžeto tiesiogiai per mokymo veiklą pasiekia tik nedidelę savo tikslinės auditorijos dalį; ragina Komisiją atlikti tyrimą siekiant įvertinti galimybes sujungti CEPOL su kitomis tos pačios kompetencijos srities agentūromis;</w:t>
      </w:r>
    </w:p>
    <w:p w:rsidR="00F24064" w:rsidRPr="003F701A" w:rsidRDefault="00F24064" w:rsidP="00F24064">
      <w:pPr>
        <w:pStyle w:val="NormalHanging12a"/>
        <w:jc w:val="both"/>
      </w:pPr>
      <w:r>
        <w:t>4.</w:t>
      </w:r>
      <w:r>
        <w:tab/>
        <w:t>pažymi, kad Audito Rūmų sąlyginės nuomonės dėl ataskaitose atspindimų mokėjimų teisėtumo ir tvarkingumo pagrindas buvo paslaugų užsakymai ir visi susiję mokėjimai, atlikti pagal dvi preliminariąsias sutartis; primena CEPOL atsakymą, kad, nepaisant teisinių įsipareigojimų formalizavimo trūkumų, paslaugos buvo užsakytos atsižvelgiant į CEPOL poreikius ir taikant kontrolės priemones ir nebuvo patirta jokių nuostolių; be to, atkreipia dėmesį į Audito Rūmų pastabą dėl 2022 m. preliminariosios sutarties dėl šviečiamojo pobūdžio redakcinių paslaugų įgyvendinimo trūkumų ir išvadą, kad visi mokėjimai pagal šią preliminariąją sutartį, kurie 2022 m. sudarė 152 655 EUR, yra atlikti nepagrįstai; apgailestauja dėl to, kad Audito rūmų rezultatai parodė, jog darbas, už kurį sumokėta, neatitiko faktiškai atlikto darbo ir trūko esminių audito įrodymų, pagrindžiančių sumokėtas sumas; pažymi, kad CEPOL įvedė taisomąsias priemones, susijusias su rastais pažeidimais;</w:t>
      </w:r>
    </w:p>
    <w:p w:rsidR="00F24064" w:rsidRPr="003F701A" w:rsidRDefault="00F24064" w:rsidP="00F24064">
      <w:pPr>
        <w:pStyle w:val="NormalHanging12a"/>
        <w:jc w:val="both"/>
      </w:pPr>
      <w:r>
        <w:t>5.</w:t>
      </w:r>
      <w:r>
        <w:tab/>
        <w:t xml:space="preserve">palankiai vertina tai, kad 2022°m. CEPOL suorganizavo 418 mokymų, kuriuose sudalyvavo 43 838 teisėsaugos pareigūnai, ir sėkmingai įvykdė 296 mainus; taip pat teigiamai vertina Pagrindinių teisių ekspertų grupės strateginį dokumentą, kuriuo siekiama į visą mokymų veiklą įtraukti pagrindinius aspektus; su pasitenkinimu pažymi, kad 2022°m. buvo suorganizuoti </w:t>
      </w:r>
      <w:r>
        <w:rPr>
          <w:i/>
          <w:iCs/>
        </w:rPr>
        <w:t>ad hoc</w:t>
      </w:r>
      <w:r>
        <w:t xml:space="preserve"> mokymai apie tyrimų žurnalistų apsaugą; palankiai vertina konkrečius mokymo veiksmus neapykantos nusikaltimų klausimais ir tai, kad skleidžiama informacija apie tai, kaip galima veiksmingai padėti aukoms;</w:t>
      </w:r>
    </w:p>
    <w:p w:rsidR="00F24064" w:rsidRPr="003F701A" w:rsidRDefault="00F24064" w:rsidP="00F24064">
      <w:pPr>
        <w:pStyle w:val="NormalHanging12a"/>
        <w:jc w:val="both"/>
      </w:pPr>
      <w:r>
        <w:t>6.</w:t>
      </w:r>
      <w:r>
        <w:tab/>
        <w:t xml:space="preserve">primena, kad teisėsaugos pareigūnų mokymai ES lygmeniu turi atspindėti ES prioritetus ir turi atitikti valstybių narių mokymo poreikius, be to, jais turi būti remiamas ES atsakas į sunkų ir organizuotą nusikalstamumą bei kitas grėsmes vidaus saugumui, o CEPOL </w:t>
      </w:r>
      <w:r>
        <w:lastRenderedPageBreak/>
        <w:t xml:space="preserve">mokymų veiklos pagrindinis ramstis turėtų būti pagrindinių teisių apsauga; atkreipia dėmesį į mokymo veiklą kovos su terorizmu srityje, įskaitant tokias temas kaip terorizmo finansavimas, terorizmas ir šaunamieji ginklai, užsienio teroristai kovotojai ir prieš ekstremizmą bei radikalizaciją nukreipta veikla; ragina organizuoti daugiau mokymų tokiose srityse kaip kibernetiniai nusikaltimai, kibernetinė kriminalistika, dirbtinis intelektas, duomenų apsauga, pagrindinės teisės ir kova su rasizmu ES lygmeniu; ragina CEPOL visoje savo veikloje, ypač veikloje, vykdomoje su trečiosiomis šalimis, užtikrinti visišką skaidrumą ir visišką pagarbą pagrindinėms teisėms ir tarptautinei teisei; </w:t>
      </w:r>
    </w:p>
    <w:p w:rsidR="00F24064" w:rsidRPr="003F701A" w:rsidRDefault="00F24064" w:rsidP="00F24064">
      <w:pPr>
        <w:pStyle w:val="NormalHanging12a"/>
        <w:jc w:val="both"/>
      </w:pPr>
      <w:r>
        <w:t>7.</w:t>
      </w:r>
      <w:r>
        <w:tab/>
        <w:t xml:space="preserve">taip pat teigiamai vertina tai, kad, reaguodama į karą Ukrainoje, CEPOL surengė keletą internetinių seminarų ir atliko specialią </w:t>
      </w:r>
      <w:r>
        <w:rPr>
          <w:i/>
          <w:iCs/>
        </w:rPr>
        <w:t>ad hoc</w:t>
      </w:r>
      <w:r>
        <w:t xml:space="preserve"> mokymo poreikių analizę; džiaugiasi, kad CEPOL padėjo Ukrainos generalinei prokuratūrai parengti atvirųjų šaltinių žvalgybos mokymus ir, kai buvo įmanoma, dalyviams iš Ukrainos parūpino papildomų vietų į organizuojamus mokymus;</w:t>
      </w:r>
    </w:p>
    <w:p w:rsidR="00F24064" w:rsidRPr="003F701A" w:rsidRDefault="00F24064" w:rsidP="00F24064">
      <w:pPr>
        <w:pStyle w:val="NormalHanging12a"/>
        <w:ind w:left="560" w:hanging="560"/>
      </w:pPr>
      <w:r>
        <w:t>8.</w:t>
      </w:r>
      <w:r>
        <w:tab/>
        <w:t>atkreipia dėmesį į glaudų bendradarbiavimą su trečiosiomis šalimis, ES agentūromis, įstaigomis ir tinklais, visų pirma su Europolu, Eurojustu, FRONTEX, ETMT, Europos Komisija, EMCDDA, EUIPO, FRA ir EASO, ir tarptautinėmis organizacijomis, pvz., Interpolu.</w:t>
      </w:r>
    </w:p>
    <w:p w:rsidR="00F24064" w:rsidRDefault="00F24064" w:rsidP="00316D5F">
      <w:pPr>
        <w:sectPr w:rsidR="00F24064" w:rsidSect="00F2406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316D5F" w:rsidRPr="00316D5F" w:rsidRDefault="00316D5F" w:rsidP="00316D5F"/>
    <w:p w:rsidR="00316D5F" w:rsidRDefault="00316D5F" w:rsidP="00316D5F">
      <w:pPr>
        <w:pStyle w:val="PageHeadingNotTOC"/>
      </w:pPr>
      <w:bookmarkStart w:id="1" w:name="ProcPageAD"/>
      <w:r>
        <w:t>INFORMACIJA APIE PRIĖMIMĄ NUOMONĘ TEIKIANČIAME KOMITETE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16D5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6D5F" w:rsidRDefault="00316D5F">
            <w:pPr>
              <w:autoSpaceDE w:val="0"/>
              <w:autoSpaceDN w:val="0"/>
              <w:adjustRightInd w:val="0"/>
              <w:rPr>
                <w:b/>
                <w:bCs/>
                <w:color w:val="000000"/>
                <w:sz w:val="20"/>
              </w:rPr>
            </w:pPr>
            <w:r>
              <w:rPr>
                <w:b/>
                <w:color w:val="000000"/>
                <w:sz w:val="20"/>
              </w:rPr>
              <w:t>Priėmimo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6D5F" w:rsidRDefault="00316D5F">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6D5F" w:rsidRDefault="00316D5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6D5F" w:rsidRDefault="00316D5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6D5F" w:rsidRDefault="00316D5F">
            <w:pPr>
              <w:autoSpaceDE w:val="0"/>
              <w:autoSpaceDN w:val="0"/>
              <w:adjustRightInd w:val="0"/>
              <w:rPr>
                <w:rFonts w:ascii="sans-serif" w:hAnsi="sans-serif" w:cs="sans-serif"/>
                <w:color w:val="000000"/>
                <w:szCs w:val="24"/>
              </w:rPr>
            </w:pPr>
          </w:p>
        </w:tc>
      </w:tr>
      <w:tr w:rsidR="00316D5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6D5F" w:rsidRDefault="00316D5F">
            <w:pPr>
              <w:autoSpaceDE w:val="0"/>
              <w:autoSpaceDN w:val="0"/>
              <w:adjustRightInd w:val="0"/>
              <w:rPr>
                <w:b/>
                <w:bCs/>
                <w:color w:val="000000"/>
                <w:sz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6D5F" w:rsidRDefault="00316D5F">
            <w:pPr>
              <w:autoSpaceDE w:val="0"/>
              <w:autoSpaceDN w:val="0"/>
              <w:adjustRightInd w:val="0"/>
              <w:rPr>
                <w:color w:val="000000"/>
                <w:sz w:val="20"/>
              </w:rPr>
            </w:pPr>
            <w:r>
              <w:rPr>
                <w:color w:val="000000"/>
                <w:sz w:val="20"/>
              </w:rPr>
              <w:t>+:</w:t>
            </w:r>
          </w:p>
          <w:p w:rsidR="00316D5F" w:rsidRDefault="00316D5F">
            <w:pPr>
              <w:autoSpaceDE w:val="0"/>
              <w:autoSpaceDN w:val="0"/>
              <w:adjustRightInd w:val="0"/>
              <w:rPr>
                <w:color w:val="000000"/>
                <w:sz w:val="20"/>
              </w:rPr>
            </w:pPr>
            <w:r>
              <w:rPr>
                <w:color w:val="000000"/>
                <w:sz w:val="20"/>
              </w:rPr>
              <w:t>–:</w:t>
            </w:r>
          </w:p>
          <w:p w:rsidR="00316D5F" w:rsidRDefault="00316D5F">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6D5F" w:rsidRDefault="00316D5F">
            <w:pPr>
              <w:autoSpaceDE w:val="0"/>
              <w:autoSpaceDN w:val="0"/>
              <w:adjustRightInd w:val="0"/>
              <w:rPr>
                <w:color w:val="000000"/>
                <w:sz w:val="20"/>
              </w:rPr>
            </w:pPr>
            <w:r>
              <w:rPr>
                <w:color w:val="000000"/>
                <w:sz w:val="20"/>
              </w:rPr>
              <w:t>51</w:t>
            </w:r>
          </w:p>
          <w:p w:rsidR="00316D5F" w:rsidRDefault="00316D5F">
            <w:pPr>
              <w:autoSpaceDE w:val="0"/>
              <w:autoSpaceDN w:val="0"/>
              <w:adjustRightInd w:val="0"/>
              <w:rPr>
                <w:color w:val="000000"/>
                <w:sz w:val="20"/>
              </w:rPr>
            </w:pPr>
            <w:r>
              <w:rPr>
                <w:color w:val="000000"/>
                <w:sz w:val="20"/>
              </w:rPr>
              <w:t>1</w:t>
            </w:r>
          </w:p>
          <w:p w:rsidR="00316D5F" w:rsidRDefault="00316D5F">
            <w:pPr>
              <w:autoSpaceDE w:val="0"/>
              <w:autoSpaceDN w:val="0"/>
              <w:adjustRightInd w:val="0"/>
              <w:rPr>
                <w:color w:val="000000"/>
                <w:sz w:val="20"/>
              </w:rPr>
            </w:pPr>
            <w:r>
              <w:rPr>
                <w:color w:val="000000"/>
                <w:sz w:val="20"/>
              </w:rPr>
              <w:t>3</w:t>
            </w:r>
          </w:p>
        </w:tc>
      </w:tr>
      <w:tr w:rsidR="00316D5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6D5F" w:rsidRDefault="00316D5F">
            <w:pPr>
              <w:autoSpaceDE w:val="0"/>
              <w:autoSpaceDN w:val="0"/>
              <w:adjustRightInd w:val="0"/>
              <w:rPr>
                <w:b/>
                <w:bCs/>
                <w:color w:val="000000"/>
                <w:sz w:val="20"/>
              </w:rPr>
            </w:pPr>
            <w:r>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6D5F" w:rsidRDefault="00316D5F">
            <w:pPr>
              <w:autoSpaceDE w:val="0"/>
              <w:autoSpaceDN w:val="0"/>
              <w:adjustRightInd w:val="0"/>
              <w:rPr>
                <w:color w:val="000000"/>
                <w:sz w:val="20"/>
              </w:rPr>
            </w:pPr>
            <w:r>
              <w:rPr>
                <w:color w:val="000000"/>
                <w:sz w:val="20"/>
              </w:rPr>
              <w:t>Abir Al-Sahlani, Katarina Barley, Pietro Bartolo, Theresa Bielowski, Patrick Breyer, Saskia Bricmont,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Javier Zarzalejos</w:t>
            </w:r>
          </w:p>
        </w:tc>
      </w:tr>
      <w:tr w:rsidR="00316D5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6D5F" w:rsidRDefault="00316D5F">
            <w:pPr>
              <w:autoSpaceDE w:val="0"/>
              <w:autoSpaceDN w:val="0"/>
              <w:adjustRightInd w:val="0"/>
              <w:rPr>
                <w:b/>
                <w:bCs/>
                <w:color w:val="000000"/>
                <w:sz w:val="20"/>
              </w:rPr>
            </w:pPr>
            <w:r>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6D5F" w:rsidRDefault="00316D5F">
            <w:pPr>
              <w:autoSpaceDE w:val="0"/>
              <w:autoSpaceDN w:val="0"/>
              <w:adjustRightInd w:val="0"/>
              <w:rPr>
                <w:color w:val="000000"/>
                <w:sz w:val="20"/>
              </w:rPr>
            </w:pPr>
            <w:r>
              <w:rPr>
                <w:color w:val="000000"/>
                <w:sz w:val="20"/>
              </w:rPr>
              <w:t>Cyrus Engerer, José Gusmão, Beata Kempa, Leopoldo López Gil, Janina Ochojska, Anne-Sophie Pelletier, Bergur Løkke Rasmussen, Róża Thun und Hohenstein, Maria Walsh, Tomáš Zdechovský</w:t>
            </w:r>
          </w:p>
        </w:tc>
      </w:tr>
      <w:tr w:rsidR="00316D5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6D5F" w:rsidRDefault="00316D5F">
            <w:pPr>
              <w:autoSpaceDE w:val="0"/>
              <w:autoSpaceDN w:val="0"/>
              <w:adjustRightInd w:val="0"/>
              <w:rPr>
                <w:b/>
                <w:bCs/>
                <w:color w:val="000000"/>
                <w:sz w:val="20"/>
              </w:rPr>
            </w:pPr>
            <w:r>
              <w:rPr>
                <w:b/>
                <w:color w:val="000000"/>
                <w:sz w:val="20"/>
              </w:rPr>
              <w:t>Posėdyje per galutinį balsavimą dalyvavę pavaduojantys nariai (209 straipsnio 7 dalis)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6D5F" w:rsidRDefault="00316D5F">
            <w:pPr>
              <w:autoSpaceDE w:val="0"/>
              <w:autoSpaceDN w:val="0"/>
              <w:adjustRightInd w:val="0"/>
              <w:rPr>
                <w:color w:val="000000"/>
                <w:sz w:val="20"/>
              </w:rPr>
            </w:pPr>
            <w:r>
              <w:rPr>
                <w:color w:val="000000"/>
                <w:sz w:val="20"/>
              </w:rPr>
              <w:t>Andrus Ansip, Hildegard Bentele, Maria da Graça Carvalho, Marisa Matias, Caroline Nagtegaal</w:t>
            </w:r>
          </w:p>
        </w:tc>
      </w:tr>
    </w:tbl>
    <w:p w:rsidR="00316D5F" w:rsidRDefault="00316D5F"/>
    <w:bookmarkEnd w:id="1"/>
    <w:p w:rsidR="00F24064" w:rsidRDefault="00F24064" w:rsidP="00F24064">
      <w:pPr>
        <w:pStyle w:val="PageHeadingNotTOC"/>
        <w:rPr>
          <w:noProof/>
        </w:rPr>
      </w:pPr>
      <w:r>
        <w:br w:type="page"/>
      </w:r>
      <w:bookmarkStart w:id="2" w:name="FootprintPageAD"/>
      <w:r>
        <w:lastRenderedPageBreak/>
        <w:t>PRIEDAS. SUBJEKTAI AR ASMENYS,</w:t>
      </w:r>
      <w:r>
        <w:br/>
        <w:t>IŠ KURIŲ NUOMONĖS REFERENTAS GAVO INFORMACIJOS</w:t>
      </w:r>
    </w:p>
    <w:p w:rsidR="00F24064" w:rsidRPr="0099178F" w:rsidRDefault="00F24064" w:rsidP="00F24064">
      <w:pPr>
        <w:pStyle w:val="Normal24a"/>
      </w:pPr>
      <w:r>
        <w:rPr>
          <w:rStyle w:val="HideTWBExt"/>
        </w:rPr>
        <w:t>&lt;FootprintIntro&gt;</w:t>
      </w:r>
      <w:r>
        <w:t>Nuomonės referentas, prisiimdamas visą atsakomybę, pareiškia, kad negavo informacijos iš jokio subjekto ar asmens, kuris turi būti nurodytas šiame priede pagal Darbo tvarkos taisyklių I priedo 8 straipsnį.</w:t>
      </w:r>
      <w:r>
        <w:rPr>
          <w:rStyle w:val="HideTWBExt"/>
        </w:rPr>
        <w:t>&lt;/FootprintIntro&gt;</w:t>
      </w:r>
    </w:p>
    <w:p w:rsidR="00F24064" w:rsidRDefault="00F24064" w:rsidP="00F24064"/>
    <w:p w:rsidR="00F24064" w:rsidRPr="00F24064" w:rsidRDefault="00F24064" w:rsidP="00F24064"/>
    <w:bookmarkEnd w:id="2"/>
    <w:p w:rsidR="00F24064" w:rsidRDefault="00F24064">
      <w:pPr>
        <w:widowControl/>
        <w:sectPr w:rsidR="00F24064" w:rsidSect="00F2406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24064" w:rsidRDefault="00F24064">
      <w:pPr>
        <w:widowControl/>
      </w:pPr>
    </w:p>
    <w:p w:rsidR="00F24064" w:rsidRPr="00F24064" w:rsidRDefault="00F24064" w:rsidP="00F24064"/>
    <w:p w:rsidR="00F24064" w:rsidRPr="0099178F" w:rsidRDefault="00F24064" w:rsidP="00C36610">
      <w:pPr>
        <w:pStyle w:val="PageHeadingNotTOC"/>
      </w:pPr>
      <w:bookmarkStart w:id="3" w:name="RollCallPageAD"/>
      <w:bookmarkStart w:id="4" w:name="_GoBack"/>
      <w:bookmarkEnd w:id="4"/>
      <w:r>
        <w:t>GALUTINIS VARDINIS BALSAVIMAS 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24064" w:rsidRPr="003F701A" w:rsidTr="009E604E">
        <w:trPr>
          <w:cantSplit/>
        </w:trPr>
        <w:tc>
          <w:tcPr>
            <w:tcW w:w="1701" w:type="dxa"/>
            <w:shd w:val="pct10" w:color="000000" w:fill="FFFFFF"/>
            <w:vAlign w:val="center"/>
          </w:tcPr>
          <w:p w:rsidR="00F24064" w:rsidRPr="003F701A" w:rsidRDefault="00F24064" w:rsidP="009E604E">
            <w:pPr>
              <w:pStyle w:val="RollCallVotes"/>
            </w:pPr>
            <w:r>
              <w:t>51</w:t>
            </w:r>
          </w:p>
        </w:tc>
        <w:tc>
          <w:tcPr>
            <w:tcW w:w="7371" w:type="dxa"/>
            <w:shd w:val="pct10" w:color="000000" w:fill="FFFFFF"/>
          </w:tcPr>
          <w:p w:rsidR="00F24064" w:rsidRPr="003F701A" w:rsidRDefault="00F24064" w:rsidP="009E604E">
            <w:pPr>
              <w:pStyle w:val="RollCallSymbols14pt"/>
            </w:pPr>
            <w:r>
              <w:t>+</w:t>
            </w:r>
          </w:p>
        </w:tc>
      </w:tr>
      <w:tr w:rsidR="00F24064" w:rsidRPr="003F701A" w:rsidTr="009E604E">
        <w:trPr>
          <w:cantSplit/>
        </w:trPr>
        <w:tc>
          <w:tcPr>
            <w:tcW w:w="1701" w:type="dxa"/>
            <w:shd w:val="clear" w:color="auto" w:fill="FFFFFF"/>
          </w:tcPr>
          <w:p w:rsidR="00F24064" w:rsidRPr="003F701A" w:rsidRDefault="00F24064" w:rsidP="009E604E">
            <w:pPr>
              <w:pStyle w:val="RollCallTable"/>
            </w:pPr>
            <w:r>
              <w:t>ECR</w:t>
            </w:r>
          </w:p>
        </w:tc>
        <w:tc>
          <w:tcPr>
            <w:tcW w:w="7371" w:type="dxa"/>
            <w:shd w:val="clear" w:color="auto" w:fill="FFFFFF"/>
          </w:tcPr>
          <w:p w:rsidR="00F24064" w:rsidRPr="003F701A" w:rsidRDefault="00F24064" w:rsidP="009E604E">
            <w:pPr>
              <w:pStyle w:val="RollCallTable"/>
            </w:pPr>
            <w:r>
              <w:t>Jorge Buxadé Villalba, Patryk Jaki, Assita Kanko, Beata Kempa, Vincenzo Sofo</w:t>
            </w:r>
          </w:p>
        </w:tc>
      </w:tr>
      <w:tr w:rsidR="00F24064" w:rsidRPr="003F701A" w:rsidTr="009E604E">
        <w:trPr>
          <w:cantSplit/>
        </w:trPr>
        <w:tc>
          <w:tcPr>
            <w:tcW w:w="1701" w:type="dxa"/>
            <w:shd w:val="clear" w:color="auto" w:fill="FFFFFF"/>
          </w:tcPr>
          <w:p w:rsidR="00F24064" w:rsidRPr="003F701A" w:rsidRDefault="00F24064" w:rsidP="009E604E">
            <w:pPr>
              <w:pStyle w:val="RollCallTable"/>
            </w:pPr>
            <w:r>
              <w:t>NI</w:t>
            </w:r>
          </w:p>
        </w:tc>
        <w:tc>
          <w:tcPr>
            <w:tcW w:w="7371" w:type="dxa"/>
            <w:shd w:val="clear" w:color="auto" w:fill="FFFFFF"/>
          </w:tcPr>
          <w:p w:rsidR="00F24064" w:rsidRPr="003F701A" w:rsidRDefault="00F24064" w:rsidP="009E604E">
            <w:pPr>
              <w:pStyle w:val="RollCallTable"/>
            </w:pPr>
            <w:r>
              <w:t>Laura Ferrara</w:t>
            </w:r>
          </w:p>
        </w:tc>
      </w:tr>
      <w:tr w:rsidR="00F24064" w:rsidRPr="003F701A" w:rsidTr="009E604E">
        <w:trPr>
          <w:cantSplit/>
        </w:trPr>
        <w:tc>
          <w:tcPr>
            <w:tcW w:w="1701" w:type="dxa"/>
            <w:shd w:val="clear" w:color="auto" w:fill="FFFFFF"/>
          </w:tcPr>
          <w:p w:rsidR="00F24064" w:rsidRPr="003F701A" w:rsidRDefault="00F24064" w:rsidP="009E604E">
            <w:pPr>
              <w:pStyle w:val="RollCallTable"/>
            </w:pPr>
            <w:r>
              <w:t>PPE</w:t>
            </w:r>
          </w:p>
        </w:tc>
        <w:tc>
          <w:tcPr>
            <w:tcW w:w="7371" w:type="dxa"/>
            <w:shd w:val="clear" w:color="auto" w:fill="FFFFFF"/>
          </w:tcPr>
          <w:p w:rsidR="00F24064" w:rsidRPr="003F701A" w:rsidRDefault="00F24064" w:rsidP="009E604E">
            <w:pPr>
              <w:pStyle w:val="RollCallTable"/>
            </w:pPr>
            <w:r>
              <w:t>Hildegard Bentele, Maria da Graça Carvalho, Lena Düpont, Andrzej Halicki, Jeroen Lenaers, Leopoldo López Gil, Janina Ochojska, Elissavet Vozemberg-Vrionidi, Maria Walsh, Javier Zarzalejos, Tomáš Zdechovský</w:t>
            </w:r>
          </w:p>
        </w:tc>
      </w:tr>
      <w:tr w:rsidR="00F24064" w:rsidRPr="003F701A" w:rsidTr="009E604E">
        <w:trPr>
          <w:cantSplit/>
        </w:trPr>
        <w:tc>
          <w:tcPr>
            <w:tcW w:w="1701" w:type="dxa"/>
            <w:shd w:val="clear" w:color="auto" w:fill="FFFFFF"/>
          </w:tcPr>
          <w:p w:rsidR="00F24064" w:rsidRPr="003F701A" w:rsidRDefault="00F24064" w:rsidP="009E604E">
            <w:pPr>
              <w:pStyle w:val="RollCallTable"/>
            </w:pPr>
            <w:r>
              <w:t>Renew</w:t>
            </w:r>
          </w:p>
        </w:tc>
        <w:tc>
          <w:tcPr>
            <w:tcW w:w="7371" w:type="dxa"/>
            <w:shd w:val="clear" w:color="auto" w:fill="FFFFFF"/>
          </w:tcPr>
          <w:p w:rsidR="00F24064" w:rsidRPr="003F701A" w:rsidRDefault="00F24064" w:rsidP="009E604E">
            <w:pPr>
              <w:pStyle w:val="RollCallTable"/>
            </w:pPr>
            <w:r>
              <w:t>Abir Al-Sahlani, Andrus Ansip, Lucia Ďuriš Nicholsonová, Sophia in 't Veld, Moritz Körner, Caroline Nagtegaal, Maite Pagazaurtundúa, Bergur Løkke Rasmussen, Róża Thun und Hohenstein, Jana Toom</w:t>
            </w:r>
          </w:p>
        </w:tc>
      </w:tr>
      <w:tr w:rsidR="00F24064" w:rsidRPr="003F701A" w:rsidTr="009E604E">
        <w:trPr>
          <w:cantSplit/>
        </w:trPr>
        <w:tc>
          <w:tcPr>
            <w:tcW w:w="1701" w:type="dxa"/>
            <w:shd w:val="clear" w:color="auto" w:fill="FFFFFF"/>
          </w:tcPr>
          <w:p w:rsidR="00F24064" w:rsidRPr="003F701A" w:rsidRDefault="00F24064" w:rsidP="009E604E">
            <w:pPr>
              <w:pStyle w:val="RollCallTable"/>
            </w:pPr>
            <w:r>
              <w:t>S&amp;D</w:t>
            </w:r>
          </w:p>
        </w:tc>
        <w:tc>
          <w:tcPr>
            <w:tcW w:w="7371" w:type="dxa"/>
            <w:shd w:val="clear" w:color="auto" w:fill="FFFFFF"/>
          </w:tcPr>
          <w:p w:rsidR="00F24064" w:rsidRPr="003F701A" w:rsidRDefault="00F24064" w:rsidP="009E604E">
            <w:pPr>
              <w:pStyle w:val="RollCallTable"/>
            </w:pPr>
            <w:r>
              <w:t>Katarina Barley, Pietro Bartolo, Theresa Bielowski, Cyrus Engerer, Maria Grapini, Sylvie Guillaume, Evin Incir, Marina Kaljurand, Łukasz Kohut, Juan Fernando López Aguilar, Javier Moreno Sánchez, Isabel Santos, Birgit Sippel</w:t>
            </w:r>
          </w:p>
        </w:tc>
      </w:tr>
      <w:tr w:rsidR="00F24064" w:rsidRPr="003F701A" w:rsidTr="009E604E">
        <w:trPr>
          <w:cantSplit/>
        </w:trPr>
        <w:tc>
          <w:tcPr>
            <w:tcW w:w="1701" w:type="dxa"/>
            <w:shd w:val="clear" w:color="auto" w:fill="FFFFFF"/>
          </w:tcPr>
          <w:p w:rsidR="00F24064" w:rsidRPr="003F701A" w:rsidRDefault="00F24064" w:rsidP="009E604E">
            <w:pPr>
              <w:pStyle w:val="RollCallTable"/>
            </w:pPr>
            <w:r>
              <w:t>The Left</w:t>
            </w:r>
          </w:p>
        </w:tc>
        <w:tc>
          <w:tcPr>
            <w:tcW w:w="7371" w:type="dxa"/>
            <w:shd w:val="clear" w:color="auto" w:fill="FFFFFF"/>
          </w:tcPr>
          <w:p w:rsidR="00F24064" w:rsidRPr="003F701A" w:rsidRDefault="00F24064" w:rsidP="009E604E">
            <w:pPr>
              <w:pStyle w:val="RollCallTable"/>
            </w:pPr>
            <w:r>
              <w:t>Cornelia Ernst, José Gusmão, Marisa Matias, Anne-Sophie Pelletier</w:t>
            </w:r>
          </w:p>
        </w:tc>
      </w:tr>
      <w:tr w:rsidR="00F24064" w:rsidRPr="003F701A" w:rsidTr="009E604E">
        <w:trPr>
          <w:cantSplit/>
        </w:trPr>
        <w:tc>
          <w:tcPr>
            <w:tcW w:w="1701" w:type="dxa"/>
            <w:shd w:val="clear" w:color="auto" w:fill="FFFFFF"/>
          </w:tcPr>
          <w:p w:rsidR="00F24064" w:rsidRPr="003F701A" w:rsidRDefault="00F24064" w:rsidP="009E604E">
            <w:pPr>
              <w:pStyle w:val="RollCallTable"/>
            </w:pPr>
            <w:r>
              <w:t>Verts/ALE</w:t>
            </w:r>
          </w:p>
        </w:tc>
        <w:tc>
          <w:tcPr>
            <w:tcW w:w="7371" w:type="dxa"/>
            <w:shd w:val="clear" w:color="auto" w:fill="FFFFFF"/>
          </w:tcPr>
          <w:p w:rsidR="00F24064" w:rsidRPr="003F701A" w:rsidRDefault="00F24064" w:rsidP="009E604E">
            <w:pPr>
              <w:pStyle w:val="RollCallTable"/>
            </w:pPr>
            <w:r>
              <w:t>Patrick Breyer, Saskia Bricmont, Damien Carême, Alice Kuhnke, Erik Marquardt, Diana Riba i Giner, Tineke Strik</w:t>
            </w:r>
          </w:p>
        </w:tc>
      </w:tr>
    </w:tbl>
    <w:p w:rsidR="00F24064" w:rsidRPr="003F701A" w:rsidRDefault="00F24064" w:rsidP="00F2406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24064" w:rsidRPr="003F701A" w:rsidTr="009E604E">
        <w:trPr>
          <w:cantSplit/>
        </w:trPr>
        <w:tc>
          <w:tcPr>
            <w:tcW w:w="1701" w:type="dxa"/>
            <w:shd w:val="pct10" w:color="000000" w:fill="FFFFFF"/>
            <w:vAlign w:val="center"/>
          </w:tcPr>
          <w:p w:rsidR="00F24064" w:rsidRPr="003F701A" w:rsidRDefault="00F24064" w:rsidP="009E604E">
            <w:pPr>
              <w:pStyle w:val="RollCallVotes"/>
            </w:pPr>
            <w:r>
              <w:t>1</w:t>
            </w:r>
          </w:p>
        </w:tc>
        <w:tc>
          <w:tcPr>
            <w:tcW w:w="7371" w:type="dxa"/>
            <w:shd w:val="pct10" w:color="000000" w:fill="FFFFFF"/>
          </w:tcPr>
          <w:p w:rsidR="00F24064" w:rsidRPr="003F701A" w:rsidRDefault="00F24064" w:rsidP="009E604E">
            <w:pPr>
              <w:pStyle w:val="RollCallSymbols14pt"/>
            </w:pPr>
            <w:r>
              <w:t>-</w:t>
            </w:r>
          </w:p>
        </w:tc>
      </w:tr>
      <w:tr w:rsidR="00F24064" w:rsidRPr="003F701A" w:rsidTr="009E604E">
        <w:trPr>
          <w:cantSplit/>
        </w:trPr>
        <w:tc>
          <w:tcPr>
            <w:tcW w:w="1701" w:type="dxa"/>
            <w:shd w:val="clear" w:color="auto" w:fill="FFFFFF"/>
          </w:tcPr>
          <w:p w:rsidR="00F24064" w:rsidRPr="003F701A" w:rsidRDefault="00F24064" w:rsidP="009E604E">
            <w:pPr>
              <w:pStyle w:val="RollCallTable"/>
            </w:pPr>
            <w:r>
              <w:t>NI</w:t>
            </w:r>
          </w:p>
        </w:tc>
        <w:tc>
          <w:tcPr>
            <w:tcW w:w="7371" w:type="dxa"/>
            <w:shd w:val="clear" w:color="auto" w:fill="FFFFFF"/>
          </w:tcPr>
          <w:p w:rsidR="00F24064" w:rsidRPr="003F701A" w:rsidRDefault="00F24064" w:rsidP="009E604E">
            <w:pPr>
              <w:pStyle w:val="RollCallTable"/>
            </w:pPr>
            <w:r>
              <w:t>Milan Uhrík</w:t>
            </w:r>
          </w:p>
        </w:tc>
      </w:tr>
    </w:tbl>
    <w:p w:rsidR="00F24064" w:rsidRPr="003F701A" w:rsidRDefault="00F24064" w:rsidP="00F2406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24064" w:rsidRPr="003F701A" w:rsidTr="009E604E">
        <w:trPr>
          <w:cantSplit/>
        </w:trPr>
        <w:tc>
          <w:tcPr>
            <w:tcW w:w="1701" w:type="dxa"/>
            <w:shd w:val="pct10" w:color="000000" w:fill="FFFFFF"/>
            <w:vAlign w:val="center"/>
          </w:tcPr>
          <w:p w:rsidR="00F24064" w:rsidRPr="003F701A" w:rsidRDefault="00F24064" w:rsidP="009E604E">
            <w:pPr>
              <w:pStyle w:val="RollCallVotes"/>
            </w:pPr>
            <w:r>
              <w:t>3</w:t>
            </w:r>
          </w:p>
        </w:tc>
        <w:tc>
          <w:tcPr>
            <w:tcW w:w="7371" w:type="dxa"/>
            <w:shd w:val="pct10" w:color="000000" w:fill="FFFFFF"/>
          </w:tcPr>
          <w:p w:rsidR="00F24064" w:rsidRPr="003F701A" w:rsidRDefault="00F24064" w:rsidP="009E604E">
            <w:pPr>
              <w:pStyle w:val="RollCallSymbols14pt"/>
            </w:pPr>
            <w:r>
              <w:t>0</w:t>
            </w:r>
          </w:p>
        </w:tc>
      </w:tr>
      <w:tr w:rsidR="00F24064" w:rsidRPr="003F701A" w:rsidTr="009E604E">
        <w:trPr>
          <w:cantSplit/>
        </w:trPr>
        <w:tc>
          <w:tcPr>
            <w:tcW w:w="1701" w:type="dxa"/>
            <w:shd w:val="clear" w:color="auto" w:fill="FFFFFF"/>
          </w:tcPr>
          <w:p w:rsidR="00F24064" w:rsidRPr="003F701A" w:rsidRDefault="00F24064" w:rsidP="009E604E">
            <w:pPr>
              <w:pStyle w:val="RollCallTable"/>
            </w:pPr>
            <w:r>
              <w:t>ID</w:t>
            </w:r>
          </w:p>
        </w:tc>
        <w:tc>
          <w:tcPr>
            <w:tcW w:w="7371" w:type="dxa"/>
            <w:shd w:val="clear" w:color="auto" w:fill="FFFFFF"/>
          </w:tcPr>
          <w:p w:rsidR="00F24064" w:rsidRPr="003F701A" w:rsidRDefault="00F24064" w:rsidP="009E604E">
            <w:pPr>
              <w:pStyle w:val="RollCallTable"/>
            </w:pPr>
            <w:r>
              <w:t>Patricia Chagnon, Nicolaus Fest, Tom Vandendriessche</w:t>
            </w:r>
          </w:p>
        </w:tc>
      </w:tr>
    </w:tbl>
    <w:p w:rsidR="00F24064" w:rsidRDefault="00F24064" w:rsidP="00147FBF">
      <w:pPr>
        <w:pStyle w:val="Normal12a"/>
      </w:pPr>
    </w:p>
    <w:p w:rsidR="00F24064" w:rsidRDefault="00F24064" w:rsidP="00B735E3">
      <w:r>
        <w:t>Sutartiniai ženklai:</w:t>
      </w:r>
    </w:p>
    <w:p w:rsidR="00F24064" w:rsidRDefault="00F24064" w:rsidP="003858C5">
      <w:pPr>
        <w:pStyle w:val="RollCallTabs"/>
      </w:pPr>
      <w:r>
        <w:t>+</w:t>
      </w:r>
      <w:r>
        <w:tab/>
        <w:t>:</w:t>
      </w:r>
      <w:r>
        <w:tab/>
        <w:t>už</w:t>
      </w:r>
    </w:p>
    <w:p w:rsidR="00F24064" w:rsidRDefault="00F24064" w:rsidP="003858C5">
      <w:pPr>
        <w:pStyle w:val="RollCallTabs"/>
      </w:pPr>
      <w:r>
        <w:t>-</w:t>
      </w:r>
      <w:r>
        <w:tab/>
        <w:t>:</w:t>
      </w:r>
      <w:r>
        <w:tab/>
        <w:t>prieš</w:t>
      </w:r>
    </w:p>
    <w:p w:rsidR="00F24064" w:rsidRDefault="00F24064" w:rsidP="003858C5">
      <w:pPr>
        <w:pStyle w:val="RollCallTabs"/>
      </w:pPr>
      <w:r>
        <w:t>0</w:t>
      </w:r>
      <w:r>
        <w:tab/>
        <w:t>:</w:t>
      </w:r>
      <w:r>
        <w:tab/>
        <w:t>susilaikė</w:t>
      </w:r>
    </w:p>
    <w:p w:rsidR="00F24064" w:rsidRDefault="00F24064" w:rsidP="00207509"/>
    <w:bookmarkEnd w:id="3"/>
    <w:p w:rsidR="00DB6E76" w:rsidRPr="00F24064" w:rsidRDefault="00DB6E76" w:rsidP="00F24064"/>
    <w:sectPr w:rsidR="00DB6E76" w:rsidRPr="00F24064" w:rsidSect="00F2406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215" w:rsidRPr="00DB6E76" w:rsidRDefault="004A0215">
      <w:r w:rsidRPr="00DB6E76">
        <w:separator/>
      </w:r>
    </w:p>
  </w:endnote>
  <w:endnote w:type="continuationSeparator" w:id="0">
    <w:p w:rsidR="004A0215" w:rsidRPr="00DB6E76" w:rsidRDefault="004A0215">
      <w:r w:rsidRPr="00DB6E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D5F" w:rsidRDefault="00316D5F" w:rsidP="00316D5F">
    <w:pPr>
      <w:pStyle w:val="EPFooter"/>
    </w:pPr>
    <w:r>
      <w:t>PE</w:t>
    </w:r>
    <w:r w:rsidRPr="00316D5F">
      <w:rPr>
        <w:rStyle w:val="HideTWBExt"/>
      </w:rPr>
      <w:t>&lt;NoPE&gt;</w:t>
    </w:r>
    <w:r>
      <w:t>756.191</w:t>
    </w:r>
    <w:r w:rsidRPr="00316D5F">
      <w:rPr>
        <w:rStyle w:val="HideTWBExt"/>
      </w:rPr>
      <w:t>&lt;/NoPE&gt;&lt;Version&gt;</w:t>
    </w:r>
    <w:r>
      <w:t>v02-00</w:t>
    </w:r>
    <w:r w:rsidRPr="00316D5F">
      <w:rPr>
        <w:rStyle w:val="HideTWBExt"/>
      </w:rPr>
      <w:t>&lt;/Version&gt;</w:t>
    </w:r>
    <w:r>
      <w:tab/>
    </w:r>
    <w:r>
      <w:fldChar w:fldCharType="begin"/>
    </w:r>
    <w:r>
      <w:instrText xml:space="preserve"> PAGE  \* MERGEFORMAT </w:instrText>
    </w:r>
    <w:r>
      <w:fldChar w:fldCharType="separate"/>
    </w:r>
    <w:r w:rsidR="000F0257">
      <w:rPr>
        <w:noProof/>
      </w:rPr>
      <w:t>6</w:t>
    </w:r>
    <w:r>
      <w:fldChar w:fldCharType="end"/>
    </w:r>
    <w:r>
      <w:t>/</w:t>
    </w:r>
    <w:r w:rsidR="000F0257">
      <w:fldChar w:fldCharType="begin"/>
    </w:r>
    <w:r w:rsidR="000F0257">
      <w:instrText xml:space="preserve"> NUMPAGES  \* MERGEFORMAT </w:instrText>
    </w:r>
    <w:r w:rsidR="000F0257">
      <w:fldChar w:fldCharType="separate"/>
    </w:r>
    <w:r w:rsidR="000F0257">
      <w:rPr>
        <w:noProof/>
      </w:rPr>
      <w:t>7</w:t>
    </w:r>
    <w:r w:rsidR="000F0257">
      <w:rPr>
        <w:noProof/>
      </w:rPr>
      <w:fldChar w:fldCharType="end"/>
    </w:r>
    <w:r>
      <w:tab/>
    </w:r>
    <w:r w:rsidRPr="00316D5F">
      <w:rPr>
        <w:rStyle w:val="HideTWBExt"/>
      </w:rPr>
      <w:t>&lt;PathFdR&gt;</w:t>
    </w:r>
    <w:r>
      <w:t>AD\1295224LT.docx</w:t>
    </w:r>
    <w:r w:rsidRPr="00316D5F">
      <w:rPr>
        <w:rStyle w:val="HideTWBExt"/>
      </w:rPr>
      <w:t>&lt;/PathFdR&gt;</w:t>
    </w:r>
  </w:p>
  <w:p w:rsidR="002E2F2E" w:rsidRPr="00DB6E76" w:rsidRDefault="00316D5F" w:rsidP="00316D5F">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D5F" w:rsidRDefault="00316D5F" w:rsidP="00316D5F">
    <w:pPr>
      <w:pStyle w:val="EPFooter"/>
    </w:pPr>
    <w:r w:rsidRPr="00316D5F">
      <w:rPr>
        <w:rStyle w:val="HideTWBExt"/>
      </w:rPr>
      <w:t>&lt;PathFdR&gt;</w:t>
    </w:r>
    <w:r>
      <w:t>AD\1295224LT.docx</w:t>
    </w:r>
    <w:r w:rsidRPr="00316D5F">
      <w:rPr>
        <w:rStyle w:val="HideTWBExt"/>
      </w:rPr>
      <w:t>&lt;/PathFdR&gt;</w:t>
    </w:r>
    <w:r>
      <w:tab/>
    </w:r>
    <w:r>
      <w:fldChar w:fldCharType="begin"/>
    </w:r>
    <w:r>
      <w:instrText xml:space="preserve"> PAGE  \* MERGEFORMAT </w:instrText>
    </w:r>
    <w:r>
      <w:fldChar w:fldCharType="separate"/>
    </w:r>
    <w:r w:rsidR="000F0257">
      <w:rPr>
        <w:noProof/>
      </w:rPr>
      <w:t>7</w:t>
    </w:r>
    <w:r>
      <w:fldChar w:fldCharType="end"/>
    </w:r>
    <w:r>
      <w:t>/</w:t>
    </w:r>
    <w:r w:rsidR="000F0257">
      <w:fldChar w:fldCharType="begin"/>
    </w:r>
    <w:r w:rsidR="000F0257">
      <w:instrText xml:space="preserve"> NUMPAGES  \* MERGEFORMAT </w:instrText>
    </w:r>
    <w:r w:rsidR="000F0257">
      <w:fldChar w:fldCharType="separate"/>
    </w:r>
    <w:r w:rsidR="000F0257">
      <w:rPr>
        <w:noProof/>
      </w:rPr>
      <w:t>7</w:t>
    </w:r>
    <w:r w:rsidR="000F0257">
      <w:rPr>
        <w:noProof/>
      </w:rPr>
      <w:fldChar w:fldCharType="end"/>
    </w:r>
    <w:r>
      <w:tab/>
      <w:t>PE</w:t>
    </w:r>
    <w:r w:rsidRPr="00316D5F">
      <w:rPr>
        <w:rStyle w:val="HideTWBExt"/>
      </w:rPr>
      <w:t>&lt;NoPE&gt;</w:t>
    </w:r>
    <w:r>
      <w:t>756.191</w:t>
    </w:r>
    <w:r w:rsidRPr="00316D5F">
      <w:rPr>
        <w:rStyle w:val="HideTWBExt"/>
      </w:rPr>
      <w:t>&lt;/NoPE&gt;&lt;Version&gt;</w:t>
    </w:r>
    <w:r>
      <w:t>v02-00</w:t>
    </w:r>
    <w:r w:rsidRPr="00316D5F">
      <w:rPr>
        <w:rStyle w:val="HideTWBExt"/>
      </w:rPr>
      <w:t>&lt;/Version&gt;</w:t>
    </w:r>
  </w:p>
  <w:p w:rsidR="002E2F2E" w:rsidRPr="00DB6E76" w:rsidRDefault="00316D5F" w:rsidP="00316D5F">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D5F" w:rsidRDefault="00316D5F" w:rsidP="00316D5F">
    <w:pPr>
      <w:pStyle w:val="EPFooter"/>
    </w:pPr>
    <w:r w:rsidRPr="00316D5F">
      <w:rPr>
        <w:rStyle w:val="HideTWBExt"/>
      </w:rPr>
      <w:t>&lt;PathFdR&gt;</w:t>
    </w:r>
    <w:r>
      <w:t>AD\1295224LT.docx</w:t>
    </w:r>
    <w:r w:rsidRPr="00316D5F">
      <w:rPr>
        <w:rStyle w:val="HideTWBExt"/>
      </w:rPr>
      <w:t>&lt;/PathFdR&gt;</w:t>
    </w:r>
    <w:r>
      <w:tab/>
    </w:r>
    <w:r>
      <w:tab/>
      <w:t>PE</w:t>
    </w:r>
    <w:r w:rsidRPr="00316D5F">
      <w:rPr>
        <w:rStyle w:val="HideTWBExt"/>
      </w:rPr>
      <w:t>&lt;NoPE&gt;</w:t>
    </w:r>
    <w:r>
      <w:t>756.191</w:t>
    </w:r>
    <w:r w:rsidRPr="00316D5F">
      <w:rPr>
        <w:rStyle w:val="HideTWBExt"/>
      </w:rPr>
      <w:t>&lt;/NoPE&gt;&lt;Version&gt;</w:t>
    </w:r>
    <w:r>
      <w:t>v02-00</w:t>
    </w:r>
    <w:r w:rsidRPr="00316D5F">
      <w:rPr>
        <w:rStyle w:val="HideTWBExt"/>
      </w:rPr>
      <w:t>&lt;/Version&gt;</w:t>
    </w:r>
  </w:p>
  <w:p w:rsidR="002E2F2E" w:rsidRPr="00DB6E76" w:rsidRDefault="00316D5F" w:rsidP="00316D5F">
    <w:pPr>
      <w:pStyle w:val="EPFooter2"/>
    </w:pPr>
    <w:r>
      <w:t>LT</w:t>
    </w:r>
    <w:r>
      <w:tab/>
    </w:r>
    <w:r w:rsidRPr="00316D5F">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215" w:rsidRPr="00DB6E76" w:rsidRDefault="004A0215">
      <w:r w:rsidRPr="00DB6E76">
        <w:separator/>
      </w:r>
    </w:p>
  </w:footnote>
  <w:footnote w:type="continuationSeparator" w:id="0">
    <w:p w:rsidR="004A0215" w:rsidRPr="00DB6E76" w:rsidRDefault="004A0215">
      <w:r w:rsidRPr="00DB6E7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064" w:rsidRDefault="00F240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064" w:rsidRDefault="00F240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064" w:rsidRDefault="00F240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CAPSFMNU" w:val=" 1"/>
    <w:docVar w:name="CJMNU" w:val="1"/>
    <w:docVar w:name="CODEMNU" w:val=" 7"/>
    <w:docVar w:name="COM2KEY" w:val="CONT"/>
    <w:docVar w:name="COMKEY" w:val="LIBE"/>
    <w:docVar w:name="CONTRIBUTIONMNU" w:val=" 2"/>
    <w:docVar w:name="FONCTIONMNU" w:val=" 1"/>
    <w:docVar w:name="LastEditedSection" w:val=" 4"/>
    <w:docVar w:name="RepeatBlock-Amend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643824 HideTWBInt;}{_x000d__x000a_\s18\ql \fi-567\li567\ri0\sa240\nowidctlpar\wrapdefault\aspalpha\aspnum\faauto\adjustright\rin0\lin567\itap0 \rtlch\fcs1 \af0\afs20\alang1025 \ltrch\fcs0 \fs24\lang1063\langfe2057\cgrid\langnp1063\langfenp2057 _x000d__x000a_\sbasedon0 \snext18 \spriority0 \styrsid14643824 NormalHanging12a;}}{\*\rsidtbl \rsid24658\rsid223860\rsid735077\rsid1718133\rsid2892074\rsid3565327\rsid4666813\rsid6641733\rsid7823322\rsid9636012\rsid10377208\rsid11215221\rsid11549030\rsid11669391_x000d__x000a_\rsid12154954\rsid14382809\rsid14424199\rsid14643824\rsid15204470\rsid15285974\rsid15950462\rsid16324206\rsid16662270}{\mmathPr\mmathFont34\mbrkBin0\mbrkBinSub0\msmallFrac0\mdispDef1\mlMargin0\mrMargin0\mdefJc1\mwrapIndent1440\mintLim0\mnaryLim1}{\info_x000d__x000a_{\author MANCIUNSKAS Dalius}{\operator MANCIUNSKAS Dalius}{\creatim\yr2024\mo2\dy5\hr11\min26}{\revtim\yr2024\mo2\dy5\hr11\min26}{\version1}{\edmins0}{\nofpages1}{\nofwords2}{\nofchars18}{\nofcharsws19}{\vern109}}{\*\xmlnstbl {\xmlns1 http://schemas.micro_x000d__x000a_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43824\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11669391 \chftnsep _x000d__x000a_\par }}{\*\ftnsepc \ltrpar \pard\plain \ltrpar\ql \li0\ri0\widctlpar\wrapdefault\aspalpha\aspnum\faauto\adjustright\rin0\lin0\itap0 \rtlch\fcs1 \af0\afs20\alang1025 \ltrch\fcs0 \fs24\lang2057\langfe2057\cgrid\langnp2057\langfenp2057 {\rtlch\fcs1 \af0 _x000d__x000a_\ltrch\fcs0 \insrsid11669391 \chftnsepc _x000d__x000a_\par }}{\*\aftnsep \ltrpar \pard\plain \ltrpar\ql \li0\ri0\widctlpar\wrapdefault\aspalpha\aspnum\faauto\adjustright\rin0\lin0\itap0 \rtlch\fcs1 \af0\afs20\alang1025 \ltrch\fcs0 \fs24\lang2057\langfe2057\cgrid\langnp2057\langfenp2057 {\rtlch\fcs1 \af0 _x000d__x000a_\ltrch\fcs0 \insrsid11669391 \chftnsep _x000d__x000a_\par }}{\*\aftnsepc \ltrpar \pard\plain \ltrpar\ql \li0\ri0\widctlpar\wrapdefault\aspalpha\aspnum\faauto\adjustright\rin0\lin0\itap0 \rtlch\fcs1 \af0\afs20\alang1025 \ltrch\fcs0 \fs24\lang2057\langfe2057\cgrid\langnp2057\langfenp2057 {\rtlch\fcs1 \af0 _x000d__x000a_\ltrch\fcs0 \insrsid116693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4643824 \rtlch\fcs1 \af0\afs20\alang1025 \ltrch\fcs0 \fs24\lang1063\langfe2057\cgrid\langnp1063\langfenp2057 {\rtlch\fcs1 \af0 _x000d__x000a_\ltrch\fcs0 \insrsid14643824\charrsid11679887 {\*\bkmkstart restart}#}{\rtlch\fcs1 \af1 \ltrch\fcs0 \cs17\v\f1\fs20\cf15\insrsid14643824\charrsid11679887 NRMSG}{\rtlch\fcs1 \af0 \ltrch\fcs0 \insrsid14643824\charrsid11679887 #.\tab #}{\rtlch\fcs1 \af1 _x000d__x000a_\ltrch\fcs0 \cs17\v\f1\fs20\cf15\insrsid14643824\charrsid11679887 Tekstas}{\rtlch\fcs1 \af0 \ltrch\fcs0 \insrsid14643824\charrsid11679887 #}{\rtlch\fcs1 \af0 \ltrch\fcs0 \insrsid1464382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94_x000d__x000a_f2c01d58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7306769 NormalHanging12a;}}{\*\rsidtbl \rsid24658\rsid223860\rsid735077\rsid1718133\rsid2581432\rsid2892074\rsid3565327\rsid4666813\rsid6641733\rsid7306769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MANCIUNSKAS Dalius}{\operator MANCIUNSKAS Dalius}{\creatim\yr2024\mo2\dy5\hr11\min26}{\revtim\yr2024\mo2\dy5\hr11\min26}{\version1}{\edmins0}{\nofpages1}{\nofwords4}{\nofchars31}{\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306769\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2581432 \chftnsep _x000d__x000a_\par }}{\*\ftnsepc \ltrpar \pard\plain \ltrpar\ql \li0\ri0\widctlpar\wrapdefault\aspalpha\aspnum\faauto\adjustright\rin0\lin0\itap0 \rtlch\fcs1 \af0\afs20\alang1025 \ltrch\fcs0 \fs24\lang2057\langfe2057\cgrid\langnp2057\langfenp2057 {\rtlch\fcs1 \af0 _x000d__x000a_\ltrch\fcs0 \insrsid2581432 \chftnsepc _x000d__x000a_\par }}{\*\aftnsep \ltrpar \pard\plain \ltrpar\ql \li0\ri0\widctlpar\wrapdefault\aspalpha\aspnum\faauto\adjustright\rin0\lin0\itap0 \rtlch\fcs1 \af0\afs20\alang1025 \ltrch\fcs0 \fs24\lang2057\langfe2057\cgrid\langnp2057\langfenp2057 {\rtlch\fcs1 \af0 _x000d__x000a_\ltrch\fcs0 \insrsid2581432 \chftnsep _x000d__x000a_\par }}{\*\aftnsepc \ltrpar \pard\plain \ltrpar\ql \li0\ri0\widctlpar\wrapdefault\aspalpha\aspnum\faauto\adjustright\rin0\lin0\itap0 \rtlch\fcs1 \af0\afs20\alang1025 \ltrch\fcs0 \fs24\lang2057\langfe2057\cgrid\langnp2057\langfenp2057 {\rtlch\fcs1 \af0 _x000d__x000a_\ltrch\fcs0 \insrsid25814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7306769 \rtlch\fcs1 \af0\afs20\alang1025 \ltrch\fcs0 \fs24\lang2057\langfe2057\cgrid\langnp2057\langfenp2057 {\rtlch\fcs1 \af0 _x000d__x000a_\ltrch\fcs0 \insrsid7306769\charrsid1525456 {\*\bkmkstart restart}[ZSUGGESTIONNR]\tab [ZSUGGESTIONTEXT]}{\rtlch\fcs1 \af0 \ltrch\fcs0 \insrsid730676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f6_x000d__x000a_31c61d58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LT"/>
    <w:docVar w:name="TXTLANGUEMIN" w:val="lt"/>
    <w:docVar w:name="TXTNRPE" w:val="756.191"/>
    <w:docVar w:name="TXTNRPROC" w:val="2023/2144"/>
    <w:docVar w:name="TXTPEorAP" w:val="PE"/>
    <w:docVar w:name="TXTROUTE" w:val="AD\1295224LT.docx"/>
    <w:docVar w:name="TXTVERSION" w:val="02-00"/>
  </w:docVars>
  <w:rsids>
    <w:rsidRoot w:val="004A0215"/>
    <w:rsid w:val="000E7EBF"/>
    <w:rsid w:val="000F0257"/>
    <w:rsid w:val="00124F60"/>
    <w:rsid w:val="00135121"/>
    <w:rsid w:val="00140BE6"/>
    <w:rsid w:val="00147F4E"/>
    <w:rsid w:val="0016635E"/>
    <w:rsid w:val="001746D0"/>
    <w:rsid w:val="001B7393"/>
    <w:rsid w:val="001D2ED9"/>
    <w:rsid w:val="001F21C1"/>
    <w:rsid w:val="002D28A7"/>
    <w:rsid w:val="002E2F2E"/>
    <w:rsid w:val="002E6F98"/>
    <w:rsid w:val="00316D5F"/>
    <w:rsid w:val="00325BCB"/>
    <w:rsid w:val="00331944"/>
    <w:rsid w:val="00332AD9"/>
    <w:rsid w:val="00347D2C"/>
    <w:rsid w:val="0037356F"/>
    <w:rsid w:val="00390EB2"/>
    <w:rsid w:val="00396A0E"/>
    <w:rsid w:val="003E2402"/>
    <w:rsid w:val="0044287B"/>
    <w:rsid w:val="004A0215"/>
    <w:rsid w:val="004C28FB"/>
    <w:rsid w:val="004C44C0"/>
    <w:rsid w:val="0052544E"/>
    <w:rsid w:val="005940C3"/>
    <w:rsid w:val="00594C48"/>
    <w:rsid w:val="005B2F11"/>
    <w:rsid w:val="005C06F2"/>
    <w:rsid w:val="005C0BDF"/>
    <w:rsid w:val="005D60C6"/>
    <w:rsid w:val="006102E7"/>
    <w:rsid w:val="00640C1B"/>
    <w:rsid w:val="00657AFB"/>
    <w:rsid w:val="006D5BF7"/>
    <w:rsid w:val="00796465"/>
    <w:rsid w:val="008313E7"/>
    <w:rsid w:val="00854CAC"/>
    <w:rsid w:val="008A32C5"/>
    <w:rsid w:val="008C6203"/>
    <w:rsid w:val="008D61E7"/>
    <w:rsid w:val="008F7002"/>
    <w:rsid w:val="0099493F"/>
    <w:rsid w:val="00A16BEA"/>
    <w:rsid w:val="00A312B3"/>
    <w:rsid w:val="00A72C35"/>
    <w:rsid w:val="00AE180F"/>
    <w:rsid w:val="00B362F7"/>
    <w:rsid w:val="00B5456B"/>
    <w:rsid w:val="00B74B53"/>
    <w:rsid w:val="00BC26E4"/>
    <w:rsid w:val="00BD1EAA"/>
    <w:rsid w:val="00C52739"/>
    <w:rsid w:val="00C827FF"/>
    <w:rsid w:val="00CD34AC"/>
    <w:rsid w:val="00DB6E76"/>
    <w:rsid w:val="00DE19FF"/>
    <w:rsid w:val="00E81BA6"/>
    <w:rsid w:val="00E856D2"/>
    <w:rsid w:val="00E929A7"/>
    <w:rsid w:val="00F24064"/>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chartTrackingRefBased/>
  <w15:docId w15:val="{9CD25163-6E1E-4014-9F37-B7D6F3494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5C06F2"/>
    <w:pPr>
      <w:tabs>
        <w:tab w:val="center" w:pos="4513"/>
        <w:tab w:val="right" w:pos="9026"/>
      </w:tabs>
    </w:pPr>
  </w:style>
  <w:style w:type="character" w:customStyle="1" w:styleId="FooterChar">
    <w:name w:val="Footer Char"/>
    <w:basedOn w:val="DefaultParagraphFont"/>
    <w:link w:val="Footer"/>
    <w:semiHidden/>
    <w:rsid w:val="005C06F2"/>
    <w:rPr>
      <w:sz w:val="24"/>
      <w:lang w:val="lt-LT"/>
    </w:rPr>
  </w:style>
  <w:style w:type="paragraph" w:customStyle="1" w:styleId="Normal24a">
    <w:name w:val="Normal24a"/>
    <w:basedOn w:val="Normal"/>
    <w:rsid w:val="00F24064"/>
    <w:pPr>
      <w:spacing w:after="480"/>
    </w:pPr>
  </w:style>
  <w:style w:type="paragraph" w:customStyle="1" w:styleId="NormalBoldCenter">
    <w:name w:val="NormalBoldCenter"/>
    <w:basedOn w:val="Normal"/>
    <w:rsid w:val="00F24064"/>
    <w:pPr>
      <w:jc w:val="center"/>
    </w:pPr>
    <w:rPr>
      <w:b/>
    </w:rPr>
  </w:style>
  <w:style w:type="paragraph" w:customStyle="1" w:styleId="RollCallSymbols14pt">
    <w:name w:val="RollCallSymbols14pt"/>
    <w:basedOn w:val="Normal"/>
    <w:rsid w:val="00F2406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24064"/>
    <w:pPr>
      <w:tabs>
        <w:tab w:val="center" w:pos="284"/>
        <w:tab w:val="left" w:pos="426"/>
      </w:tabs>
    </w:pPr>
    <w:rPr>
      <w:snapToGrid w:val="0"/>
      <w:lang w:eastAsia="en-US"/>
    </w:rPr>
  </w:style>
  <w:style w:type="paragraph" w:customStyle="1" w:styleId="RollCallVotes">
    <w:name w:val="RollCallVotes"/>
    <w:basedOn w:val="Normal"/>
    <w:rsid w:val="00F24064"/>
    <w:pPr>
      <w:spacing w:before="120" w:after="120"/>
      <w:jc w:val="center"/>
    </w:pPr>
    <w:rPr>
      <w:b/>
      <w:bCs/>
      <w:snapToGrid w:val="0"/>
      <w:sz w:val="16"/>
      <w:lang w:eastAsia="en-US"/>
    </w:rPr>
  </w:style>
  <w:style w:type="paragraph" w:customStyle="1" w:styleId="RollCallTable">
    <w:name w:val="RollCallTable"/>
    <w:basedOn w:val="Normal"/>
    <w:rsid w:val="00F24064"/>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994</Words>
  <Characters>6573</Characters>
  <Application>Microsoft Office Word</Application>
  <DocSecurity>0</DocSecurity>
  <Lines>165</Lines>
  <Paragraphs>69</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2024-02-08T16:08:00Z</dcterms:created>
  <dcterms:modified xsi:type="dcterms:W3CDTF">2024-02-08T16:08:00Z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9.16.1 Build [20230915]</vt:lpwstr>
  </property>
  <property fmtid="{D5CDD505-2E9C-101B-9397-08002B2CF9AE}" pid="4" name="LastEdited with">
    <vt:lpwstr>9.17.1 Build [20240111]</vt:lpwstr>
  </property>
  <property fmtid="{D5CDD505-2E9C-101B-9397-08002B2CF9AE}" pid="5" name="&lt;FdR&gt;">
    <vt:lpwstr>1295224</vt:lpwstr>
  </property>
  <property fmtid="{D5CDD505-2E9C-101B-9397-08002B2CF9AE}" pid="6" name="&lt;Type&gt;">
    <vt:lpwstr>AD</vt:lpwstr>
  </property>
  <property fmtid="{D5CDD505-2E9C-101B-9397-08002B2CF9AE}" pid="7" name="&lt;ModelCod&gt;">
    <vt:lpwstr>\\eiciLUXpr1\pdocep$\DocEP\DOCS\General\PA\PA_NonLeg\PA_NonLeg.dotx(18/09/2023 10:25:02)</vt:lpwstr>
  </property>
  <property fmtid="{D5CDD505-2E9C-101B-9397-08002B2CF9AE}" pid="8" name="&lt;ModelTra&gt;">
    <vt:lpwstr>\\eiciLUXpr1\pdocep$\DocEP\TRANSFIL\LT\PA_NonLeg.LT(18/09/2023 10:08:02)</vt:lpwstr>
  </property>
  <property fmtid="{D5CDD505-2E9C-101B-9397-08002B2CF9AE}" pid="9" name="&lt;Model&gt;">
    <vt:lpwstr>PA_NonLeg</vt:lpwstr>
  </property>
  <property fmtid="{D5CDD505-2E9C-101B-9397-08002B2CF9AE}" pid="10" name="FooterPath">
    <vt:lpwstr>AD\1295224LT.docx</vt:lpwstr>
  </property>
  <property fmtid="{D5CDD505-2E9C-101B-9397-08002B2CF9AE}" pid="11" name="PE number">
    <vt:lpwstr>756.191</vt:lpwstr>
  </property>
  <property fmtid="{D5CDD505-2E9C-101B-9397-08002B2CF9AE}" pid="12" name="Bookout">
    <vt:lpwstr>OK - 2024/02/08 17:08</vt:lpwstr>
  </property>
  <property fmtid="{D5CDD505-2E9C-101B-9397-08002B2CF9AE}" pid="13" name="SDLStudio">
    <vt:lpwstr/>
  </property>
</Properties>
</file>