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382992" w:rsidTr="00C85D0F">
        <w:trPr>
          <w:trHeight w:hRule="exact" w:val="1418"/>
        </w:trPr>
        <w:tc>
          <w:tcPr>
            <w:tcW w:w="6804" w:type="dxa"/>
            <w:shd w:val="clear" w:color="auto" w:fill="auto"/>
            <w:vAlign w:val="center"/>
          </w:tcPr>
          <w:p w:rsidR="00854CAC" w:rsidRPr="00382992" w:rsidRDefault="00C70BAC" w:rsidP="00C85D0F">
            <w:pPr>
              <w:pStyle w:val="EPName"/>
            </w:pPr>
            <w:bookmarkStart w:id="0" w:name="_GoBack"/>
            <w:bookmarkEnd w:id="0"/>
            <w:r w:rsidRPr="00382992">
              <w:t>Parlament Europejski</w:t>
            </w:r>
          </w:p>
          <w:p w:rsidR="00854CAC" w:rsidRPr="00382992" w:rsidRDefault="00A868C4" w:rsidP="00A868C4">
            <w:pPr>
              <w:pStyle w:val="EPTerm"/>
            </w:pPr>
            <w:r w:rsidRPr="00382992">
              <w:t>2019-2024</w:t>
            </w:r>
          </w:p>
        </w:tc>
        <w:tc>
          <w:tcPr>
            <w:tcW w:w="2268" w:type="dxa"/>
            <w:shd w:val="clear" w:color="auto" w:fill="auto"/>
          </w:tcPr>
          <w:p w:rsidR="00854CAC" w:rsidRPr="00382992" w:rsidRDefault="00854CAC" w:rsidP="00C85D0F">
            <w:pPr>
              <w:pStyle w:val="EPLogo"/>
            </w:pPr>
            <w:r w:rsidRPr="00382992">
              <w:rPr>
                <w:noProof/>
                <w:lang w:eastAsia="fr-FR"/>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382992" w:rsidRDefault="001746D0" w:rsidP="001746D0">
      <w:pPr>
        <w:pStyle w:val="LineTop"/>
      </w:pPr>
    </w:p>
    <w:p w:rsidR="001746D0" w:rsidRPr="00382992" w:rsidRDefault="001746D0" w:rsidP="001746D0">
      <w:pPr>
        <w:pStyle w:val="EPBody"/>
      </w:pPr>
      <w:r w:rsidRPr="00382992">
        <w:rPr>
          <w:rStyle w:val="HideTWBExt"/>
        </w:rPr>
        <w:t>&lt;</w:t>
      </w:r>
      <w:r w:rsidRPr="00382992">
        <w:rPr>
          <w:rStyle w:val="HideTWBExt"/>
          <w:i w:val="0"/>
        </w:rPr>
        <w:t>Commission</w:t>
      </w:r>
      <w:r w:rsidRPr="00382992">
        <w:rPr>
          <w:rStyle w:val="HideTWBExt"/>
        </w:rPr>
        <w:t>&gt;</w:t>
      </w:r>
      <w:r w:rsidRPr="00382992">
        <w:rPr>
          <w:rStyle w:val="HideTWBInt"/>
        </w:rPr>
        <w:t>{LIBE}</w:t>
      </w:r>
      <w:r w:rsidRPr="00382992">
        <w:t>Komisja Wolności Obywatelskich, Sprawiedliwości i Spraw Wewnętrznych</w:t>
      </w:r>
      <w:r w:rsidRPr="00382992">
        <w:rPr>
          <w:rStyle w:val="HideTWBExt"/>
        </w:rPr>
        <w:t>&lt;/</w:t>
      </w:r>
      <w:r w:rsidRPr="00382992">
        <w:rPr>
          <w:rStyle w:val="HideTWBExt"/>
          <w:i w:val="0"/>
        </w:rPr>
        <w:t>Commission</w:t>
      </w:r>
      <w:r w:rsidRPr="00382992">
        <w:rPr>
          <w:rStyle w:val="HideTWBExt"/>
        </w:rPr>
        <w:t>&gt;</w:t>
      </w:r>
    </w:p>
    <w:p w:rsidR="001746D0" w:rsidRPr="00382992" w:rsidRDefault="001746D0" w:rsidP="001746D0">
      <w:pPr>
        <w:pStyle w:val="LineBottom"/>
      </w:pPr>
    </w:p>
    <w:p w:rsidR="002E2F2E" w:rsidRPr="00382992" w:rsidRDefault="002E2F2E">
      <w:pPr>
        <w:pStyle w:val="CoverReference"/>
      </w:pPr>
      <w:r w:rsidRPr="00382992">
        <w:rPr>
          <w:rStyle w:val="HideTWBExt"/>
          <w:b w:val="0"/>
        </w:rPr>
        <w:t>&lt;RefProc&gt;</w:t>
      </w:r>
      <w:r w:rsidRPr="00382992">
        <w:t>2023/2144</w:t>
      </w:r>
      <w:r w:rsidRPr="00382992">
        <w:rPr>
          <w:rStyle w:val="HideTWBExt"/>
          <w:b w:val="0"/>
        </w:rPr>
        <w:t>&lt;/RefProc&gt;&lt;RefTypeProc&gt;</w:t>
      </w:r>
      <w:r w:rsidRPr="00382992">
        <w:t>(DEC)</w:t>
      </w:r>
      <w:r w:rsidRPr="00382992">
        <w:rPr>
          <w:rStyle w:val="HideTWBExt"/>
          <w:b w:val="0"/>
        </w:rPr>
        <w:t>&lt;/RefTypeProc&gt;</w:t>
      </w:r>
    </w:p>
    <w:p w:rsidR="002E2F2E" w:rsidRPr="00382992" w:rsidRDefault="002E2F2E">
      <w:pPr>
        <w:pStyle w:val="CoverDate"/>
      </w:pPr>
      <w:r w:rsidRPr="00382992">
        <w:rPr>
          <w:rStyle w:val="HideTWBExt"/>
        </w:rPr>
        <w:t>&lt;Date&gt;</w:t>
      </w:r>
      <w:r w:rsidRPr="00382992">
        <w:rPr>
          <w:rStyle w:val="HideTWBInt"/>
        </w:rPr>
        <w:t>{24/01/2024}</w:t>
      </w:r>
      <w:r w:rsidRPr="00382992">
        <w:t>24.1.2024</w:t>
      </w:r>
      <w:r w:rsidRPr="00382992">
        <w:rPr>
          <w:rStyle w:val="HideTWBExt"/>
        </w:rPr>
        <w:t>&lt;/Date&gt;</w:t>
      </w:r>
    </w:p>
    <w:p w:rsidR="002E2F2E" w:rsidRPr="00382992" w:rsidRDefault="002E2F2E">
      <w:pPr>
        <w:pStyle w:val="CoverDocType24a"/>
      </w:pPr>
      <w:r w:rsidRPr="00382992">
        <w:rPr>
          <w:rStyle w:val="HideTWBExt"/>
          <w:b w:val="0"/>
        </w:rPr>
        <w:t>&lt;TitreType&gt;</w:t>
      </w:r>
      <w:r w:rsidRPr="00382992">
        <w:t>OPINIA</w:t>
      </w:r>
      <w:r w:rsidRPr="00382992">
        <w:rPr>
          <w:rStyle w:val="HideTWBExt"/>
          <w:b w:val="0"/>
        </w:rPr>
        <w:t>&lt;/TitreType&gt;</w:t>
      </w:r>
    </w:p>
    <w:p w:rsidR="002E2F2E" w:rsidRPr="00382992" w:rsidRDefault="002E2F2E">
      <w:pPr>
        <w:pStyle w:val="CoverNormal24a"/>
      </w:pPr>
      <w:r w:rsidRPr="00382992">
        <w:rPr>
          <w:rStyle w:val="HideTWBExt"/>
        </w:rPr>
        <w:t>&lt;CommissionResp&gt;</w:t>
      </w:r>
      <w:r w:rsidRPr="00382992">
        <w:t>Komisji Wolności Obywatelskich, Sprawiedliwości i Spraw Wewnętrznych</w:t>
      </w:r>
      <w:r w:rsidRPr="00382992">
        <w:rPr>
          <w:rStyle w:val="HideTWBExt"/>
        </w:rPr>
        <w:t>&lt;/CommissionResp&gt;</w:t>
      </w:r>
    </w:p>
    <w:p w:rsidR="002E2F2E" w:rsidRPr="00382992" w:rsidRDefault="002E2F2E">
      <w:pPr>
        <w:pStyle w:val="CoverNormal24a"/>
      </w:pPr>
      <w:r w:rsidRPr="00382992">
        <w:rPr>
          <w:rStyle w:val="HideTWBExt"/>
        </w:rPr>
        <w:t>&lt;CommissionInt&gt;</w:t>
      </w:r>
      <w:r w:rsidRPr="00382992">
        <w:t>dla Komisji Kontroli Budżetowej</w:t>
      </w:r>
      <w:r w:rsidRPr="00382992">
        <w:rPr>
          <w:rStyle w:val="HideTWBExt"/>
        </w:rPr>
        <w:t>&lt;/CommissionInt&gt;</w:t>
      </w:r>
    </w:p>
    <w:p w:rsidR="002E2F2E" w:rsidRPr="00382992" w:rsidRDefault="002E2F2E">
      <w:pPr>
        <w:pStyle w:val="CoverNormal"/>
      </w:pPr>
      <w:r w:rsidRPr="00382992">
        <w:rPr>
          <w:rStyle w:val="HideTWBExt"/>
        </w:rPr>
        <w:t>&lt;Titre&gt;</w:t>
      </w:r>
      <w:r w:rsidRPr="00382992">
        <w:t>w sprawie absolutorium z wykonania budżetu Agencji Unii Europejskiej ds. Szkolenia w Dziedzinie Ścigania (CEPOL) za rok budżetowy 2022</w:t>
      </w:r>
      <w:r w:rsidRPr="00382992">
        <w:rPr>
          <w:rStyle w:val="HideTWBExt"/>
        </w:rPr>
        <w:t>&lt;/Titre&gt;</w:t>
      </w:r>
    </w:p>
    <w:p w:rsidR="002E2F2E" w:rsidRPr="00382992" w:rsidRDefault="002E2F2E">
      <w:pPr>
        <w:pStyle w:val="CoverNormal24a"/>
      </w:pPr>
      <w:r w:rsidRPr="00382992">
        <w:rPr>
          <w:rStyle w:val="HideTWBExt"/>
        </w:rPr>
        <w:t>&lt;DocRef&gt;</w:t>
      </w:r>
      <w:r w:rsidRPr="00382992">
        <w:t>(2023/2144(DEC))</w:t>
      </w:r>
      <w:r w:rsidRPr="00382992">
        <w:rPr>
          <w:rStyle w:val="HideTWBExt"/>
        </w:rPr>
        <w:t>&lt;/DocRef&gt;</w:t>
      </w:r>
    </w:p>
    <w:p w:rsidR="002E2F2E" w:rsidRPr="00382992" w:rsidRDefault="00C70BAC">
      <w:pPr>
        <w:pStyle w:val="CoverNormal24a"/>
      </w:pPr>
      <w:r w:rsidRPr="00382992">
        <w:t xml:space="preserve">Sprawozdawca komisji opiniodawczej: </w:t>
      </w:r>
      <w:r w:rsidRPr="00382992">
        <w:rPr>
          <w:rStyle w:val="HideTWBExt"/>
        </w:rPr>
        <w:t>&lt;Depute&gt;</w:t>
      </w:r>
      <w:r w:rsidRPr="00382992">
        <w:t>Tomáš Zdechovský</w:t>
      </w:r>
      <w:r w:rsidRPr="00382992">
        <w:rPr>
          <w:rStyle w:val="HideTWBExt"/>
        </w:rPr>
        <w:t>&lt;/Depute&gt;</w:t>
      </w:r>
    </w:p>
    <w:p w:rsidR="00A72C35" w:rsidRPr="00382992" w:rsidRDefault="00A72C35" w:rsidP="00A72C35">
      <w:pPr>
        <w:pStyle w:val="CoverNormal"/>
      </w:pPr>
    </w:p>
    <w:p w:rsidR="002E2F2E" w:rsidRPr="00382992" w:rsidRDefault="002E2F2E" w:rsidP="00E856D2">
      <w:pPr>
        <w:widowControl/>
        <w:tabs>
          <w:tab w:val="center" w:pos="4677"/>
        </w:tabs>
      </w:pPr>
      <w:r w:rsidRPr="00382992">
        <w:br w:type="page"/>
      </w:r>
      <w:r w:rsidRPr="00382992">
        <w:lastRenderedPageBreak/>
        <w:t>PA_NonLeg</w:t>
      </w:r>
    </w:p>
    <w:p w:rsidR="002E2F2E" w:rsidRPr="00382992" w:rsidRDefault="002E2F2E">
      <w:pPr>
        <w:pStyle w:val="PageHeadingNotTOC"/>
      </w:pPr>
      <w:r w:rsidRPr="00382992">
        <w:br w:type="page"/>
      </w:r>
      <w:r w:rsidRPr="00382992">
        <w:lastRenderedPageBreak/>
        <w:t>WSKAZÓWKI</w:t>
      </w:r>
    </w:p>
    <w:p w:rsidR="002E2F2E" w:rsidRPr="00382992" w:rsidRDefault="00C70BAC" w:rsidP="008313E7">
      <w:pPr>
        <w:pStyle w:val="Normal12a"/>
      </w:pPr>
      <w:r w:rsidRPr="00382992">
        <w:t>Komisja Wolności Obywatelskich, Sprawiedliwości i Spraw Wewnętrznych zwraca się do Komisji Kontroli Budżetowej, jako komisji przedmiotowo właściwej, o uwzględnienie w końcowym tekście projektu rezolucji następujących wskazówek:</w:t>
      </w:r>
    </w:p>
    <w:p w:rsidR="002E2F2E" w:rsidRPr="00382992" w:rsidRDefault="00A868C4" w:rsidP="00A868C4">
      <w:pPr>
        <w:pStyle w:val="NormalHanging12a"/>
        <w:jc w:val="both"/>
      </w:pPr>
      <w:bookmarkStart w:id="1" w:name="restart"/>
      <w:r w:rsidRPr="00382992">
        <w:t>1.</w:t>
      </w:r>
      <w:r w:rsidRPr="00382992">
        <w:tab/>
        <w:t>przyjmuje z zadowoleniem fakt, że Trybunał Obrachunkowy (zwany dalej „Trybunałem”) uznał wiarygodność rocznego sprawozdania finansowego Agencji Unii Europejskiej ds. Szkolenia w Dziedzinie Ścigania (CEPOL) za rok budżetowy 2022, stwierdzając, iż jest ono legalne i prawidłowe we wszystkich istotnych aspektach; ubolewa, że łączna kwota 4,2 mln EUR stanowiła wydatki niezgodne z przepisami, które przekroczyły próg istotności określony na potrzeby kontroli, w związku z czym Trybunał wydał opinię z zastrzeżeniem na temat legalności i prawidłowości płatności;</w:t>
      </w:r>
    </w:p>
    <w:p w:rsidR="00063D81" w:rsidRPr="00382992" w:rsidRDefault="00063D81" w:rsidP="00A868C4">
      <w:pPr>
        <w:pStyle w:val="NormalHanging12a"/>
        <w:jc w:val="both"/>
      </w:pPr>
      <w:r w:rsidRPr="00382992">
        <w:t>2.</w:t>
      </w:r>
      <w:r w:rsidRPr="00382992">
        <w:tab/>
        <w:t>z zadowoleniem przyjmuje podjęcie odpowiednich działań naprawczych w celu uwzględnienia większości uwag Trybunału z poprzednich lat; zauważa, że od 2020 r. Trybunał co roku zgłaszał uwagi dotyczące uchybień i nieprawidłowości związanych z zamówieniami publicznymi; zauważa ponadto, że w 2021 r. i 2022 r. uwagi te miały wpływ na płatności; ubolewa, że w odniesieniu do jednej z uwag dotyczącej procedury przetargowej z poprzednich lat działania nadal są w toku;</w:t>
      </w:r>
    </w:p>
    <w:bookmarkEnd w:id="1"/>
    <w:p w:rsidR="00A868C4" w:rsidRPr="00382992" w:rsidRDefault="00063D81" w:rsidP="00A868C4">
      <w:pPr>
        <w:pStyle w:val="NormalHanging12a"/>
        <w:jc w:val="both"/>
      </w:pPr>
      <w:r w:rsidRPr="00382992">
        <w:t>3.</w:t>
      </w:r>
      <w:r w:rsidRPr="00382992">
        <w:tab/>
        <w:t>podkreśla, że CEPOL dociera bezpośrednio jedynie do niewielkiej części swojej grupy docelowej poprzez działania szkoleniowe ze względu na stosunkowo niewielki rozmiar i roczny budżet; zachęca Komisję do przeprowadzenia oceny wykonalności połączenia CEPOL-u z innymi agencjami w ramach tych samych kompetencji;</w:t>
      </w:r>
    </w:p>
    <w:p w:rsidR="00063D81" w:rsidRPr="00382992" w:rsidRDefault="00063D81" w:rsidP="00A868C4">
      <w:pPr>
        <w:pStyle w:val="NormalHanging12a"/>
        <w:jc w:val="both"/>
      </w:pPr>
      <w:r w:rsidRPr="00382992">
        <w:t>4.</w:t>
      </w:r>
      <w:r w:rsidRPr="00382992">
        <w:tab/>
        <w:t>zauważa, że podstawą do wydania przez Trybunał opinii z zastrzeżeniami na temat legalności i prawidłowości płatności leżących u podstaw rozliczeń były wnioski o świadczenie usług i wszystkie powiązane płatności dokonane na podstawie dwóch umów ramowych; przypomina odpowiedź CEPOL-u, że pomimo słabego sformalizowania zobowiązania prawnego służby zostały zamówione zgodnie z potrzebami i kontrolami CEPOL-u oraz że nie poniesiono żadnych strat; odnotowuje ponadto uwagę Trybunału dotyczącą uchybień we wdrażaniu umowy ramowej na usługi redakcyjne w dziedzinie edukacji w 2022 r. i konkluzję, że wszystkie płatności w ramach tej umowy ramowej, które w 2022 r. wyniosły 152 655 EUR, są nieprawidłowe; ubolewa, że ustalenia Trybunału wykazały, że kwota zapłaconej pracy nie odpowiadała kwocie faktycznie wykonanej oraz że brakowało istotnych dowodów kontroli potwierdzających wypłacone kwoty; zauważa, że CEPOL wprowadził środki naprawcze w odniesieniu do stwierdzonych nieprawidłowości;</w:t>
      </w:r>
    </w:p>
    <w:p w:rsidR="00A868C4" w:rsidRPr="00382992" w:rsidRDefault="00063D81" w:rsidP="00A868C4">
      <w:pPr>
        <w:pStyle w:val="NormalHanging12a"/>
        <w:jc w:val="both"/>
      </w:pPr>
      <w:r w:rsidRPr="00382992">
        <w:t>5.</w:t>
      </w:r>
      <w:r w:rsidRPr="00382992">
        <w:tab/>
        <w:t>z zadowoleniem przyjmuje fakt, że w 2022 r. CEPOL przeprowadził 418 szkoleń, w których uczestniczyło 43 838 funkcjonariuszy organów ścigania, i pomyślnie zrealizował 296 wymian; ponadto docenia dokument strategiczny grupy ekspertów ds. praw podstawowych mający na celu uwzględnienie podstawowych aspektów we wszystkich działaniach szkoleniowych; zauważa z zadowoleniem, że w 2022 r. zorganizowano szkolenie ad hoc na temat ochrony dziennikarzy śledczych; z zadowoleniem przyjmuje specjalne szkolenia na tematy związane z przestępstwami z nienawiści i rozpowszechnianie wiedzy na temat skutecznych rozwiązań w zakresie wsparcia ofiar;</w:t>
      </w:r>
    </w:p>
    <w:p w:rsidR="00A868C4" w:rsidRPr="00382992" w:rsidRDefault="00063D81" w:rsidP="00A868C4">
      <w:pPr>
        <w:pStyle w:val="NormalHanging12a"/>
        <w:jc w:val="both"/>
      </w:pPr>
      <w:r w:rsidRPr="00382992">
        <w:lastRenderedPageBreak/>
        <w:t>6.</w:t>
      </w:r>
      <w:r w:rsidRPr="00382992">
        <w:tab/>
        <w:t xml:space="preserve">przypomina, że szkolenia w zakresie egzekwowania prawa na szczeblu UE muszą odzwierciedlać priorytety UE zgodnie z potrzebami szkoleniowymi państw członkowskich oraz wspierać reakcję UE na poważną i zorganizowaną przestępczość oraz inne zagrożenia dla bezpieczeństwa wewnętrznego, a ochrona praw podstawowych powinna być głównym filarem działań szkoleniowych CEPOL-u; odnotowuje działania szkoleniowe w dziedzinie zwalczania terroryzmu, w tym w zakresie finansowania terroryzmu, terroryzmu i broni palnej, zagranicznych bojowników terrorystycznych oraz działania skierowane przeciwko ekstremizmowi i radykalizacji postaw; wzywa do zwiększenia liczby szkoleń na temat cyberprzestępczości, cyberkryminalistyki, sztucznej inteligencji, ochrony danych, praw podstawowych i przeciwdziałania rasizmowi na szczeblu UE; wzywa CEPOL do zapewnienia, we wszystkich jego działaniach, pełnej przejrzystości i pełnego poszanowania praw podstawowych i prawa międzynarodowego, zwłaszcza w działaniach z państwami trzecimi; </w:t>
      </w:r>
    </w:p>
    <w:p w:rsidR="00A868C4" w:rsidRPr="00382992" w:rsidRDefault="00063D81" w:rsidP="00A868C4">
      <w:pPr>
        <w:pStyle w:val="NormalHanging12a"/>
        <w:jc w:val="both"/>
      </w:pPr>
      <w:r w:rsidRPr="00382992">
        <w:t>7.</w:t>
      </w:r>
      <w:r w:rsidRPr="00382992">
        <w:tab/>
        <w:t>ponadto docenia, że CEPOL zorganizował szereg seminariów internetowych w odpowiedzi na wojnę w Ukrainie oraz specjalną analizę doraźnych potrzeb szkoleniowych; docenia, że CEPOL wsparł ukraińską Prokuraturę Generalną w opracowaniu szkolenia w zakresie wywiadu ze źródeł jawnych, a także iż miarę możliwości oferował uczestnikom z Ukrainy dodatkowe miejsca w szkoleniach;</w:t>
      </w:r>
    </w:p>
    <w:p w:rsidR="00A868C4" w:rsidRPr="00382992" w:rsidRDefault="00063D81" w:rsidP="005729E0">
      <w:pPr>
        <w:pStyle w:val="NormalHanging12a"/>
        <w:ind w:left="560" w:hanging="560"/>
      </w:pPr>
      <w:r w:rsidRPr="00382992">
        <w:t>8.</w:t>
      </w:r>
      <w:r w:rsidRPr="00382992">
        <w:tab/>
        <w:t>odnotowuje ścisłą współpracę z państwami trzecimi, agencjami, organami i sieciami UE, w szczególności z Europolem, Eurojustem, Fronteksem, EJTN, Komisją Europejską, EMCDDA, EUIPO, FRA, EASO oraz z organizacjami międzynarodowymi, takimi jak Interpol;</w:t>
      </w:r>
    </w:p>
    <w:p w:rsidR="0009622E" w:rsidRPr="00382992" w:rsidRDefault="0009622E" w:rsidP="005729E0">
      <w:r w:rsidRPr="00382992">
        <w:br w:type="page"/>
      </w:r>
    </w:p>
    <w:p w:rsidR="0009622E" w:rsidRPr="00382992" w:rsidRDefault="0009622E" w:rsidP="0009622E">
      <w:pPr>
        <w:pStyle w:val="PageHeadingNotTOC"/>
      </w:pPr>
      <w:bookmarkStart w:id="2" w:name="ProcPageAD"/>
      <w:r w:rsidRPr="00382992">
        <w:t>INFORMACJE O PRZYJĘCIU W KOMISJI OPINIODAWCZEJ</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9622E" w:rsidRPr="0038299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9622E" w:rsidRPr="00382992" w:rsidRDefault="0009622E">
            <w:pPr>
              <w:autoSpaceDE w:val="0"/>
              <w:autoSpaceDN w:val="0"/>
              <w:adjustRightInd w:val="0"/>
              <w:rPr>
                <w:b/>
                <w:bCs/>
                <w:color w:val="000000"/>
                <w:sz w:val="20"/>
              </w:rPr>
            </w:pPr>
            <w:r w:rsidRPr="00382992">
              <w:rPr>
                <w:b/>
                <w:color w:val="000000"/>
                <w:sz w:val="20"/>
              </w:rPr>
              <w:t>Data przyjęcia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9622E" w:rsidRPr="00382992" w:rsidRDefault="0009622E">
            <w:pPr>
              <w:autoSpaceDE w:val="0"/>
              <w:autoSpaceDN w:val="0"/>
              <w:adjustRightInd w:val="0"/>
              <w:rPr>
                <w:color w:val="000000"/>
                <w:sz w:val="20"/>
              </w:rPr>
            </w:pPr>
            <w:r w:rsidRPr="00382992">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9622E" w:rsidRPr="00382992" w:rsidRDefault="0009622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9622E" w:rsidRPr="00382992" w:rsidRDefault="0009622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9622E" w:rsidRPr="00382992" w:rsidRDefault="0009622E">
            <w:pPr>
              <w:autoSpaceDE w:val="0"/>
              <w:autoSpaceDN w:val="0"/>
              <w:adjustRightInd w:val="0"/>
              <w:rPr>
                <w:rFonts w:ascii="sans-serif" w:hAnsi="sans-serif" w:cs="sans-serif"/>
                <w:color w:val="000000"/>
                <w:szCs w:val="24"/>
              </w:rPr>
            </w:pPr>
          </w:p>
        </w:tc>
      </w:tr>
      <w:tr w:rsidR="0009622E" w:rsidRPr="0038299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9622E" w:rsidRPr="00382992" w:rsidRDefault="0009622E">
            <w:pPr>
              <w:autoSpaceDE w:val="0"/>
              <w:autoSpaceDN w:val="0"/>
              <w:adjustRightInd w:val="0"/>
              <w:rPr>
                <w:b/>
                <w:bCs/>
                <w:color w:val="000000"/>
                <w:sz w:val="20"/>
              </w:rPr>
            </w:pPr>
            <w:r w:rsidRPr="00382992">
              <w:rPr>
                <w:b/>
                <w:color w:val="000000"/>
                <w:sz w:val="20"/>
              </w:rPr>
              <w:t>Wynik głosowania końcowego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9622E" w:rsidRPr="00382992" w:rsidRDefault="0009622E">
            <w:pPr>
              <w:autoSpaceDE w:val="0"/>
              <w:autoSpaceDN w:val="0"/>
              <w:adjustRightInd w:val="0"/>
              <w:rPr>
                <w:color w:val="000000"/>
                <w:sz w:val="20"/>
              </w:rPr>
            </w:pPr>
            <w:r w:rsidRPr="00382992">
              <w:rPr>
                <w:color w:val="000000"/>
                <w:sz w:val="20"/>
              </w:rPr>
              <w:t>+:</w:t>
            </w:r>
          </w:p>
          <w:p w:rsidR="0009622E" w:rsidRPr="00382992" w:rsidRDefault="0009622E">
            <w:pPr>
              <w:autoSpaceDE w:val="0"/>
              <w:autoSpaceDN w:val="0"/>
              <w:adjustRightInd w:val="0"/>
              <w:rPr>
                <w:color w:val="000000"/>
                <w:sz w:val="20"/>
              </w:rPr>
            </w:pPr>
            <w:r w:rsidRPr="00382992">
              <w:rPr>
                <w:color w:val="000000"/>
                <w:sz w:val="20"/>
              </w:rPr>
              <w:t>–:</w:t>
            </w:r>
          </w:p>
          <w:p w:rsidR="0009622E" w:rsidRPr="00382992" w:rsidRDefault="0009622E">
            <w:pPr>
              <w:autoSpaceDE w:val="0"/>
              <w:autoSpaceDN w:val="0"/>
              <w:adjustRightInd w:val="0"/>
              <w:rPr>
                <w:color w:val="000000"/>
                <w:sz w:val="20"/>
              </w:rPr>
            </w:pPr>
            <w:r w:rsidRPr="00382992">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9622E" w:rsidRPr="00382992" w:rsidRDefault="0009622E">
            <w:pPr>
              <w:autoSpaceDE w:val="0"/>
              <w:autoSpaceDN w:val="0"/>
              <w:adjustRightInd w:val="0"/>
              <w:rPr>
                <w:color w:val="000000"/>
                <w:sz w:val="20"/>
              </w:rPr>
            </w:pPr>
            <w:r w:rsidRPr="00382992">
              <w:rPr>
                <w:color w:val="000000"/>
                <w:sz w:val="20"/>
              </w:rPr>
              <w:t>51</w:t>
            </w:r>
          </w:p>
          <w:p w:rsidR="0009622E" w:rsidRPr="00382992" w:rsidRDefault="0009622E">
            <w:pPr>
              <w:autoSpaceDE w:val="0"/>
              <w:autoSpaceDN w:val="0"/>
              <w:adjustRightInd w:val="0"/>
              <w:rPr>
                <w:color w:val="000000"/>
                <w:sz w:val="20"/>
              </w:rPr>
            </w:pPr>
            <w:r w:rsidRPr="00382992">
              <w:rPr>
                <w:color w:val="000000"/>
                <w:sz w:val="20"/>
              </w:rPr>
              <w:t>1</w:t>
            </w:r>
          </w:p>
          <w:p w:rsidR="0009622E" w:rsidRPr="00382992" w:rsidRDefault="0009622E">
            <w:pPr>
              <w:autoSpaceDE w:val="0"/>
              <w:autoSpaceDN w:val="0"/>
              <w:adjustRightInd w:val="0"/>
              <w:rPr>
                <w:color w:val="000000"/>
                <w:sz w:val="20"/>
              </w:rPr>
            </w:pPr>
            <w:r w:rsidRPr="00382992">
              <w:rPr>
                <w:color w:val="000000"/>
                <w:sz w:val="20"/>
              </w:rPr>
              <w:t>3</w:t>
            </w:r>
          </w:p>
        </w:tc>
      </w:tr>
      <w:tr w:rsidR="0009622E" w:rsidRPr="0038299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9622E" w:rsidRPr="00382992" w:rsidRDefault="0009622E">
            <w:pPr>
              <w:autoSpaceDE w:val="0"/>
              <w:autoSpaceDN w:val="0"/>
              <w:adjustRightInd w:val="0"/>
              <w:rPr>
                <w:b/>
                <w:bCs/>
                <w:color w:val="000000"/>
                <w:sz w:val="20"/>
              </w:rPr>
            </w:pPr>
            <w:r w:rsidRPr="00382992">
              <w:rPr>
                <w:b/>
                <w:color w:val="000000"/>
                <w:sz w:val="20"/>
              </w:rPr>
              <w:t>Posłowie obecni podczas głosowania końcowego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9622E" w:rsidRPr="00382992" w:rsidRDefault="0009622E">
            <w:pPr>
              <w:autoSpaceDE w:val="0"/>
              <w:autoSpaceDN w:val="0"/>
              <w:adjustRightInd w:val="0"/>
              <w:rPr>
                <w:color w:val="000000"/>
                <w:sz w:val="20"/>
              </w:rPr>
            </w:pPr>
            <w:r w:rsidRPr="00382992">
              <w:rPr>
                <w:color w:val="000000"/>
                <w:sz w:val="20"/>
              </w:rPr>
              <w:t>Abir Al-Sahlani, Katarina Barley, Pietro Bartolo, Theresa Bielowski, Patrick Breyer, Saskia Bricmont, Jorge Buxadé Villalba, Damien Carême, Patricia Chagnon, Lena Düpont, Lucia Ďuriš Nicholsonová, Cornelia Ernst, Laura Ferrara, Nicolaus Fest, Maria Grapini, Sylvie Guillaume, Andrzej Halicki, Evin Incir, Sophia in ‘t Veld, Patryk Jaki, Marina Kaljurand, Assita Kanko, Łukasz Kohut, Moritz Körner, Alice Kuhnke, Jeroen Lenaers, Juan Fernando López Aguilar, Erik Marquardt, Javier Moreno Sánchez, Maite Pagazaurtundúa, Diana Riba i Giner, Isabel Santos, Birgit Sippel, Vincenzo Sofo, Tineke Strik, Jana Toom, Milan Uhrík, Tom Vandendriessche, Elissavet Vozemberg-Vrionidi, Javier Zarzalejos</w:t>
            </w:r>
          </w:p>
        </w:tc>
      </w:tr>
      <w:tr w:rsidR="0009622E" w:rsidRPr="0038299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9622E" w:rsidRPr="00382992" w:rsidRDefault="0009622E">
            <w:pPr>
              <w:autoSpaceDE w:val="0"/>
              <w:autoSpaceDN w:val="0"/>
              <w:adjustRightInd w:val="0"/>
              <w:rPr>
                <w:b/>
                <w:bCs/>
                <w:color w:val="000000"/>
                <w:sz w:val="20"/>
              </w:rPr>
            </w:pPr>
            <w:r w:rsidRPr="00382992">
              <w:rPr>
                <w:b/>
                <w:color w:val="000000"/>
                <w:sz w:val="20"/>
              </w:rPr>
              <w:t>Zastępcy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9622E" w:rsidRPr="00382992" w:rsidRDefault="0009622E">
            <w:pPr>
              <w:autoSpaceDE w:val="0"/>
              <w:autoSpaceDN w:val="0"/>
              <w:adjustRightInd w:val="0"/>
              <w:rPr>
                <w:color w:val="000000"/>
                <w:sz w:val="20"/>
              </w:rPr>
            </w:pPr>
            <w:r w:rsidRPr="00382992">
              <w:rPr>
                <w:color w:val="000000"/>
                <w:sz w:val="20"/>
              </w:rPr>
              <w:t>Cyrus Engerer, José Gusmão, Beata Kempa, Leopoldo López Gil, Janina Ochojska, Anne-Sophie Pelletier, Bergur Løkke Rasmussen, Róża Thun und Hohenstein, Maria Walsh, Tomáš Zdechovský</w:t>
            </w:r>
          </w:p>
        </w:tc>
      </w:tr>
      <w:tr w:rsidR="0009622E" w:rsidRPr="0038299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9622E" w:rsidRPr="00382992" w:rsidRDefault="0009622E">
            <w:pPr>
              <w:autoSpaceDE w:val="0"/>
              <w:autoSpaceDN w:val="0"/>
              <w:adjustRightInd w:val="0"/>
              <w:rPr>
                <w:b/>
                <w:bCs/>
                <w:color w:val="000000"/>
                <w:sz w:val="20"/>
              </w:rPr>
            </w:pPr>
            <w:r w:rsidRPr="00382992">
              <w:rPr>
                <w:b/>
                <w:color w:val="000000"/>
                <w:sz w:val="20"/>
              </w:rPr>
              <w:t>Zastępcy (art. 209 ust. 7)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9622E" w:rsidRPr="00382992" w:rsidRDefault="0009622E">
            <w:pPr>
              <w:autoSpaceDE w:val="0"/>
              <w:autoSpaceDN w:val="0"/>
              <w:adjustRightInd w:val="0"/>
              <w:rPr>
                <w:color w:val="000000"/>
                <w:sz w:val="20"/>
              </w:rPr>
            </w:pPr>
            <w:r w:rsidRPr="00382992">
              <w:rPr>
                <w:color w:val="000000"/>
                <w:sz w:val="20"/>
              </w:rPr>
              <w:t>Andrus Ansip, Hildegard Bentele, Maria da Graça Carvalho, Marisa Matias, Caroline Nagtegaal</w:t>
            </w:r>
          </w:p>
        </w:tc>
      </w:tr>
    </w:tbl>
    <w:p w:rsidR="0009622E" w:rsidRPr="00382992" w:rsidRDefault="0009622E"/>
    <w:bookmarkEnd w:id="2"/>
    <w:p w:rsidR="00155807" w:rsidRPr="00382992" w:rsidRDefault="00155807" w:rsidP="0009622E">
      <w:pPr>
        <w:sectPr w:rsidR="00155807" w:rsidRPr="00382992" w:rsidSect="0038299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155807" w:rsidRPr="00382992" w:rsidRDefault="00155807" w:rsidP="002B2C72">
      <w:pPr>
        <w:pStyle w:val="PageHeadingNotTOC"/>
        <w:rPr>
          <w:noProof/>
        </w:rPr>
      </w:pPr>
      <w:bookmarkStart w:id="3" w:name="FootprintPageAD"/>
      <w:r w:rsidRPr="00382992">
        <w:t>ZAŁĄCZNIK: PODMIOTY LUB OSOBY,</w:t>
      </w:r>
      <w:r w:rsidRPr="00382992">
        <w:br/>
        <w:t>OD KTÓRYCH SPRAWOZDAWCA OTRZYMAŁ INFORMACJE</w:t>
      </w:r>
    </w:p>
    <w:p w:rsidR="00155807" w:rsidRPr="00382992" w:rsidRDefault="00155807" w:rsidP="00037518">
      <w:pPr>
        <w:pStyle w:val="Normal24a"/>
      </w:pPr>
      <w:r w:rsidRPr="00382992">
        <w:rPr>
          <w:rStyle w:val="HideTWBExt"/>
        </w:rPr>
        <w:t>&lt;FootprintIntro&gt;</w:t>
      </w:r>
      <w:r w:rsidRPr="00382992">
        <w:t>Sprawozdawca oświadcza w ramach swojej wyłącznej odpowiedzialności, że nie otrzymał żadnych informacji od podmiotu ani osoby, które należałoby wskazać w tym załączniku zgodnie z art. 8 załącznika I do Regulaminu.</w:t>
      </w:r>
      <w:r w:rsidRPr="00382992">
        <w:rPr>
          <w:rStyle w:val="HideTWBExt"/>
        </w:rPr>
        <w:t>&lt;/FootprintIntro&gt;</w:t>
      </w:r>
    </w:p>
    <w:p w:rsidR="00155807" w:rsidRPr="00382992" w:rsidRDefault="00155807" w:rsidP="00AD5932"/>
    <w:p w:rsidR="00155807" w:rsidRPr="00382992" w:rsidRDefault="00155807" w:rsidP="00155807"/>
    <w:bookmarkEnd w:id="3"/>
    <w:p w:rsidR="00155807" w:rsidRPr="00382992" w:rsidRDefault="00155807" w:rsidP="0009622E">
      <w:pPr>
        <w:sectPr w:rsidR="00155807" w:rsidRPr="00382992" w:rsidSect="0015580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80CEB" w:rsidRPr="00382992" w:rsidRDefault="00A262B4" w:rsidP="0009622E">
      <w:pPr>
        <w:pStyle w:val="PageHeadingNotTOC"/>
      </w:pPr>
      <w:bookmarkStart w:id="4" w:name="RollCallPageAD"/>
      <w:r w:rsidRPr="00382992">
        <w:t>GŁOSOWANIE KOŃCOWE W FORMIE GŁOSOWANIA IMIENNEGO W KOMISJI OPINIODAWCZEJ</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80CEB" w:rsidRPr="00382992" w:rsidTr="008920AC">
        <w:trPr>
          <w:cantSplit/>
        </w:trPr>
        <w:tc>
          <w:tcPr>
            <w:tcW w:w="1701" w:type="dxa"/>
            <w:shd w:val="pct10" w:color="000000" w:fill="FFFFFF"/>
            <w:vAlign w:val="center"/>
          </w:tcPr>
          <w:p w:rsidR="00080CEB" w:rsidRPr="00382992" w:rsidRDefault="00080CEB" w:rsidP="003858C5">
            <w:pPr>
              <w:pStyle w:val="RollCallVotes"/>
            </w:pPr>
            <w:r w:rsidRPr="00382992">
              <w:t>51</w:t>
            </w:r>
          </w:p>
        </w:tc>
        <w:tc>
          <w:tcPr>
            <w:tcW w:w="7371" w:type="dxa"/>
            <w:shd w:val="pct10" w:color="000000" w:fill="FFFFFF"/>
          </w:tcPr>
          <w:p w:rsidR="00080CEB" w:rsidRPr="00382992" w:rsidRDefault="00080CEB" w:rsidP="003858C5">
            <w:pPr>
              <w:pStyle w:val="RollCallSymbols14pt"/>
            </w:pPr>
            <w:r w:rsidRPr="00382992">
              <w:t>+</w:t>
            </w:r>
          </w:p>
        </w:tc>
      </w:tr>
      <w:tr w:rsidR="00080CEB" w:rsidRPr="00382992" w:rsidTr="008920AC">
        <w:trPr>
          <w:cantSplit/>
        </w:trPr>
        <w:tc>
          <w:tcPr>
            <w:tcW w:w="1701" w:type="dxa"/>
            <w:shd w:val="clear" w:color="auto" w:fill="FFFFFF"/>
          </w:tcPr>
          <w:p w:rsidR="00080CEB" w:rsidRPr="00382992" w:rsidRDefault="00080CEB" w:rsidP="003858C5">
            <w:pPr>
              <w:pStyle w:val="RollCallTable"/>
            </w:pPr>
            <w:r w:rsidRPr="00382992">
              <w:t>ECR</w:t>
            </w:r>
          </w:p>
        </w:tc>
        <w:tc>
          <w:tcPr>
            <w:tcW w:w="7371" w:type="dxa"/>
            <w:shd w:val="clear" w:color="auto" w:fill="FFFFFF"/>
          </w:tcPr>
          <w:p w:rsidR="00080CEB" w:rsidRPr="00382992" w:rsidRDefault="00080CEB" w:rsidP="003858C5">
            <w:pPr>
              <w:pStyle w:val="RollCallTable"/>
            </w:pPr>
            <w:r w:rsidRPr="00382992">
              <w:t>Jorge Buxadé Villalba, Patryk Jaki, Assita Kanko, Beata Kempa, Vincenzo Sofo</w:t>
            </w:r>
          </w:p>
        </w:tc>
      </w:tr>
      <w:tr w:rsidR="00080CEB" w:rsidRPr="00382992" w:rsidTr="008920AC">
        <w:trPr>
          <w:cantSplit/>
        </w:trPr>
        <w:tc>
          <w:tcPr>
            <w:tcW w:w="1701" w:type="dxa"/>
            <w:shd w:val="clear" w:color="auto" w:fill="FFFFFF"/>
          </w:tcPr>
          <w:p w:rsidR="00080CEB" w:rsidRPr="00382992" w:rsidRDefault="00080CEB" w:rsidP="003858C5">
            <w:pPr>
              <w:pStyle w:val="RollCallTable"/>
            </w:pPr>
            <w:r w:rsidRPr="00382992">
              <w:t>NI</w:t>
            </w:r>
          </w:p>
        </w:tc>
        <w:tc>
          <w:tcPr>
            <w:tcW w:w="7371" w:type="dxa"/>
            <w:shd w:val="clear" w:color="auto" w:fill="FFFFFF"/>
          </w:tcPr>
          <w:p w:rsidR="00080CEB" w:rsidRPr="00382992" w:rsidRDefault="00080CEB" w:rsidP="003858C5">
            <w:pPr>
              <w:pStyle w:val="RollCallTable"/>
            </w:pPr>
            <w:r w:rsidRPr="00382992">
              <w:t>Laura Ferrara</w:t>
            </w:r>
          </w:p>
        </w:tc>
      </w:tr>
      <w:tr w:rsidR="00080CEB" w:rsidRPr="00382992" w:rsidTr="008920AC">
        <w:trPr>
          <w:cantSplit/>
        </w:trPr>
        <w:tc>
          <w:tcPr>
            <w:tcW w:w="1701" w:type="dxa"/>
            <w:shd w:val="clear" w:color="auto" w:fill="FFFFFF"/>
          </w:tcPr>
          <w:p w:rsidR="00080CEB" w:rsidRPr="00382992" w:rsidRDefault="00080CEB" w:rsidP="003858C5">
            <w:pPr>
              <w:pStyle w:val="RollCallTable"/>
            </w:pPr>
            <w:r w:rsidRPr="00382992">
              <w:t>PPE</w:t>
            </w:r>
          </w:p>
        </w:tc>
        <w:tc>
          <w:tcPr>
            <w:tcW w:w="7371" w:type="dxa"/>
            <w:shd w:val="clear" w:color="auto" w:fill="FFFFFF"/>
          </w:tcPr>
          <w:p w:rsidR="00080CEB" w:rsidRPr="00382992" w:rsidRDefault="00080CEB" w:rsidP="003858C5">
            <w:pPr>
              <w:pStyle w:val="RollCallTable"/>
            </w:pPr>
            <w:r w:rsidRPr="00382992">
              <w:t>Hildegard Bentele, Maria da Graça Carvalho, Lena Düpont, Andrzej Halicki, Jeroen Lenaers, Leopoldo López Gil, Janina Ochojska, Elissavet Vozemberg-Vrionidi, Maria Walsh, Javier Zarzalejos, Tomáš Zdechovský</w:t>
            </w:r>
          </w:p>
        </w:tc>
      </w:tr>
      <w:tr w:rsidR="00080CEB" w:rsidRPr="00382992" w:rsidTr="008920AC">
        <w:trPr>
          <w:cantSplit/>
        </w:trPr>
        <w:tc>
          <w:tcPr>
            <w:tcW w:w="1701" w:type="dxa"/>
            <w:shd w:val="clear" w:color="auto" w:fill="FFFFFF"/>
          </w:tcPr>
          <w:p w:rsidR="00080CEB" w:rsidRPr="00382992" w:rsidRDefault="00080CEB" w:rsidP="003858C5">
            <w:pPr>
              <w:pStyle w:val="RollCallTable"/>
            </w:pPr>
            <w:r w:rsidRPr="00382992">
              <w:t>Renew</w:t>
            </w:r>
          </w:p>
        </w:tc>
        <w:tc>
          <w:tcPr>
            <w:tcW w:w="7371" w:type="dxa"/>
            <w:shd w:val="clear" w:color="auto" w:fill="FFFFFF"/>
          </w:tcPr>
          <w:p w:rsidR="00080CEB" w:rsidRPr="00382992" w:rsidRDefault="00080CEB" w:rsidP="003858C5">
            <w:pPr>
              <w:pStyle w:val="RollCallTable"/>
            </w:pPr>
            <w:r w:rsidRPr="00382992">
              <w:t>Abir Al-Sahlani, Andrus Ansip, Lucia Ďuriš Nicholsonová, Sophia in 't Veld, Moritz Körner, Caroline Nagtegaal, Maite Pagazaurtundúa, Bergur Løkke Rasmussen, Róża Thun und Hohenstein, Jana Toom</w:t>
            </w:r>
          </w:p>
        </w:tc>
      </w:tr>
      <w:tr w:rsidR="00080CEB" w:rsidRPr="00382992" w:rsidTr="008920AC">
        <w:trPr>
          <w:cantSplit/>
        </w:trPr>
        <w:tc>
          <w:tcPr>
            <w:tcW w:w="1701" w:type="dxa"/>
            <w:shd w:val="clear" w:color="auto" w:fill="FFFFFF"/>
          </w:tcPr>
          <w:p w:rsidR="00080CEB" w:rsidRPr="00382992" w:rsidRDefault="00080CEB" w:rsidP="003858C5">
            <w:pPr>
              <w:pStyle w:val="RollCallTable"/>
            </w:pPr>
            <w:r w:rsidRPr="00382992">
              <w:t>S&amp;D</w:t>
            </w:r>
          </w:p>
        </w:tc>
        <w:tc>
          <w:tcPr>
            <w:tcW w:w="7371" w:type="dxa"/>
            <w:shd w:val="clear" w:color="auto" w:fill="FFFFFF"/>
          </w:tcPr>
          <w:p w:rsidR="00080CEB" w:rsidRPr="00382992" w:rsidRDefault="00080CEB" w:rsidP="003858C5">
            <w:pPr>
              <w:pStyle w:val="RollCallTable"/>
            </w:pPr>
            <w:r w:rsidRPr="00382992">
              <w:t>Katarina Barley, Pietro Bartolo, Theresa Bielowski, Cyrus Engerer, Maria Grapini, Sylvie Guillaume, Evin Incir, Marina Kaljurand, Łukasz Kohut, Juan Fernando López Aguilar, Javier Moreno Sánchez, Isabel Santos, Birgit Sippel</w:t>
            </w:r>
          </w:p>
        </w:tc>
      </w:tr>
      <w:tr w:rsidR="00080CEB" w:rsidRPr="00382992" w:rsidTr="008920AC">
        <w:trPr>
          <w:cantSplit/>
        </w:trPr>
        <w:tc>
          <w:tcPr>
            <w:tcW w:w="1701" w:type="dxa"/>
            <w:shd w:val="clear" w:color="auto" w:fill="FFFFFF"/>
          </w:tcPr>
          <w:p w:rsidR="00080CEB" w:rsidRPr="00382992" w:rsidRDefault="00080CEB" w:rsidP="003858C5">
            <w:pPr>
              <w:pStyle w:val="RollCallTable"/>
            </w:pPr>
            <w:r w:rsidRPr="00382992">
              <w:t>The Left</w:t>
            </w:r>
          </w:p>
        </w:tc>
        <w:tc>
          <w:tcPr>
            <w:tcW w:w="7371" w:type="dxa"/>
            <w:shd w:val="clear" w:color="auto" w:fill="FFFFFF"/>
          </w:tcPr>
          <w:p w:rsidR="00080CEB" w:rsidRPr="00382992" w:rsidRDefault="00080CEB" w:rsidP="003858C5">
            <w:pPr>
              <w:pStyle w:val="RollCallTable"/>
            </w:pPr>
            <w:r w:rsidRPr="00382992">
              <w:t>Cornelia Ernst, José Gusmão, Marisa Matias, Anne-Sophie Pelletier</w:t>
            </w:r>
          </w:p>
        </w:tc>
      </w:tr>
      <w:tr w:rsidR="00080CEB" w:rsidRPr="00382992" w:rsidTr="008920AC">
        <w:trPr>
          <w:cantSplit/>
        </w:trPr>
        <w:tc>
          <w:tcPr>
            <w:tcW w:w="1701" w:type="dxa"/>
            <w:shd w:val="clear" w:color="auto" w:fill="FFFFFF"/>
          </w:tcPr>
          <w:p w:rsidR="00080CEB" w:rsidRPr="00382992" w:rsidRDefault="00080CEB" w:rsidP="003858C5">
            <w:pPr>
              <w:pStyle w:val="RollCallTable"/>
            </w:pPr>
            <w:r w:rsidRPr="00382992">
              <w:t>Verts/ALE</w:t>
            </w:r>
          </w:p>
        </w:tc>
        <w:tc>
          <w:tcPr>
            <w:tcW w:w="7371" w:type="dxa"/>
            <w:shd w:val="clear" w:color="auto" w:fill="FFFFFF"/>
          </w:tcPr>
          <w:p w:rsidR="00080CEB" w:rsidRPr="00382992" w:rsidRDefault="00080CEB" w:rsidP="003858C5">
            <w:pPr>
              <w:pStyle w:val="RollCallTable"/>
            </w:pPr>
            <w:r w:rsidRPr="00382992">
              <w:t>Patrick Breyer, Saskia Bricmont, Damien Carême, Alice Kuhnke, Erik Marquardt, Diana Riba i Giner, Tineke Strik</w:t>
            </w:r>
          </w:p>
        </w:tc>
      </w:tr>
    </w:tbl>
    <w:p w:rsidR="00080CEB" w:rsidRPr="00382992" w:rsidRDefault="00080CEB"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80CEB" w:rsidRPr="00382992" w:rsidTr="008920AC">
        <w:trPr>
          <w:cantSplit/>
        </w:trPr>
        <w:tc>
          <w:tcPr>
            <w:tcW w:w="1701" w:type="dxa"/>
            <w:shd w:val="pct10" w:color="000000" w:fill="FFFFFF"/>
            <w:vAlign w:val="center"/>
          </w:tcPr>
          <w:p w:rsidR="00080CEB" w:rsidRPr="00382992" w:rsidRDefault="00080CEB" w:rsidP="003858C5">
            <w:pPr>
              <w:pStyle w:val="RollCallVotes"/>
            </w:pPr>
            <w:r w:rsidRPr="00382992">
              <w:t>1</w:t>
            </w:r>
          </w:p>
        </w:tc>
        <w:tc>
          <w:tcPr>
            <w:tcW w:w="7371" w:type="dxa"/>
            <w:shd w:val="pct10" w:color="000000" w:fill="FFFFFF"/>
          </w:tcPr>
          <w:p w:rsidR="00080CEB" w:rsidRPr="00382992" w:rsidRDefault="00080CEB" w:rsidP="003858C5">
            <w:pPr>
              <w:pStyle w:val="RollCallSymbols14pt"/>
            </w:pPr>
            <w:r w:rsidRPr="00382992">
              <w:t>-</w:t>
            </w:r>
          </w:p>
        </w:tc>
      </w:tr>
      <w:tr w:rsidR="00080CEB" w:rsidRPr="00382992" w:rsidTr="008920AC">
        <w:trPr>
          <w:cantSplit/>
        </w:trPr>
        <w:tc>
          <w:tcPr>
            <w:tcW w:w="1701" w:type="dxa"/>
            <w:shd w:val="clear" w:color="auto" w:fill="FFFFFF"/>
          </w:tcPr>
          <w:p w:rsidR="00080CEB" w:rsidRPr="00382992" w:rsidRDefault="00080CEB" w:rsidP="003858C5">
            <w:pPr>
              <w:pStyle w:val="RollCallTable"/>
            </w:pPr>
            <w:r w:rsidRPr="00382992">
              <w:t>NI</w:t>
            </w:r>
          </w:p>
        </w:tc>
        <w:tc>
          <w:tcPr>
            <w:tcW w:w="7371" w:type="dxa"/>
            <w:shd w:val="clear" w:color="auto" w:fill="FFFFFF"/>
          </w:tcPr>
          <w:p w:rsidR="00080CEB" w:rsidRPr="00382992" w:rsidRDefault="00080CEB" w:rsidP="003858C5">
            <w:pPr>
              <w:pStyle w:val="RollCallTable"/>
            </w:pPr>
            <w:r w:rsidRPr="00382992">
              <w:t>Milan Uhrík</w:t>
            </w:r>
          </w:p>
        </w:tc>
      </w:tr>
    </w:tbl>
    <w:p w:rsidR="00080CEB" w:rsidRPr="00382992" w:rsidRDefault="00080CEB"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80CEB" w:rsidRPr="00382992" w:rsidTr="008920AC">
        <w:trPr>
          <w:cantSplit/>
        </w:trPr>
        <w:tc>
          <w:tcPr>
            <w:tcW w:w="1701" w:type="dxa"/>
            <w:shd w:val="pct10" w:color="000000" w:fill="FFFFFF"/>
            <w:vAlign w:val="center"/>
          </w:tcPr>
          <w:p w:rsidR="00080CEB" w:rsidRPr="00382992" w:rsidRDefault="00080CEB" w:rsidP="003858C5">
            <w:pPr>
              <w:pStyle w:val="RollCallVotes"/>
            </w:pPr>
            <w:r w:rsidRPr="00382992">
              <w:t>3</w:t>
            </w:r>
          </w:p>
        </w:tc>
        <w:tc>
          <w:tcPr>
            <w:tcW w:w="7371" w:type="dxa"/>
            <w:shd w:val="pct10" w:color="000000" w:fill="FFFFFF"/>
          </w:tcPr>
          <w:p w:rsidR="00080CEB" w:rsidRPr="00382992" w:rsidRDefault="00080CEB" w:rsidP="003858C5">
            <w:pPr>
              <w:pStyle w:val="RollCallSymbols14pt"/>
            </w:pPr>
            <w:r w:rsidRPr="00382992">
              <w:t>0</w:t>
            </w:r>
          </w:p>
        </w:tc>
      </w:tr>
      <w:tr w:rsidR="00080CEB" w:rsidRPr="00382992" w:rsidTr="008920AC">
        <w:trPr>
          <w:cantSplit/>
        </w:trPr>
        <w:tc>
          <w:tcPr>
            <w:tcW w:w="1701" w:type="dxa"/>
            <w:shd w:val="clear" w:color="auto" w:fill="FFFFFF"/>
          </w:tcPr>
          <w:p w:rsidR="00080CEB" w:rsidRPr="00382992" w:rsidRDefault="00080CEB" w:rsidP="003858C5">
            <w:pPr>
              <w:pStyle w:val="RollCallTable"/>
            </w:pPr>
            <w:r w:rsidRPr="00382992">
              <w:t>ID</w:t>
            </w:r>
          </w:p>
        </w:tc>
        <w:tc>
          <w:tcPr>
            <w:tcW w:w="7371" w:type="dxa"/>
            <w:shd w:val="clear" w:color="auto" w:fill="FFFFFF"/>
          </w:tcPr>
          <w:p w:rsidR="00080CEB" w:rsidRPr="00382992" w:rsidRDefault="00080CEB" w:rsidP="003858C5">
            <w:pPr>
              <w:pStyle w:val="RollCallTable"/>
            </w:pPr>
            <w:r w:rsidRPr="00382992">
              <w:t>Patricia Chagnon, Nicolaus Fest, Tom Vandendriessche</w:t>
            </w:r>
          </w:p>
        </w:tc>
      </w:tr>
    </w:tbl>
    <w:p w:rsidR="00080CEB" w:rsidRPr="00382992" w:rsidRDefault="00080CEB" w:rsidP="00147FBF">
      <w:pPr>
        <w:pStyle w:val="Normal12a"/>
      </w:pPr>
    </w:p>
    <w:p w:rsidR="00A262B4" w:rsidRPr="00382992" w:rsidRDefault="00A262B4" w:rsidP="00A262B4">
      <w:r w:rsidRPr="00382992">
        <w:t>Objaśnienie używanych znaków:</w:t>
      </w:r>
    </w:p>
    <w:p w:rsidR="00A262B4" w:rsidRPr="00382992" w:rsidRDefault="00A262B4" w:rsidP="00A262B4">
      <w:r w:rsidRPr="00382992">
        <w:t>+: za</w:t>
      </w:r>
    </w:p>
    <w:p w:rsidR="00A262B4" w:rsidRPr="00382992" w:rsidRDefault="00A262B4" w:rsidP="00A262B4">
      <w:r w:rsidRPr="00382992">
        <w:t>-: przeciw</w:t>
      </w:r>
    </w:p>
    <w:p w:rsidR="00A262B4" w:rsidRPr="00382992" w:rsidRDefault="00A262B4" w:rsidP="00A262B4">
      <w:r w:rsidRPr="00382992">
        <w:t>0: wstrzymało się</w:t>
      </w:r>
    </w:p>
    <w:p w:rsidR="00A262B4" w:rsidRPr="00382992" w:rsidRDefault="00A262B4" w:rsidP="00A262B4"/>
    <w:bookmarkEnd w:id="4"/>
    <w:p w:rsidR="002E6F98" w:rsidRPr="00382992" w:rsidRDefault="002E6F98" w:rsidP="00080CEB"/>
    <w:sectPr w:rsidR="002E6F98" w:rsidRPr="00382992" w:rsidSect="0015580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0BAC" w:rsidRPr="00382992" w:rsidRDefault="00C70BAC">
      <w:r w:rsidRPr="00382992">
        <w:separator/>
      </w:r>
    </w:p>
  </w:endnote>
  <w:endnote w:type="continuationSeparator" w:id="0">
    <w:p w:rsidR="00C70BAC" w:rsidRPr="00382992" w:rsidRDefault="00C70BAC">
      <w:r w:rsidRPr="003829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992" w:rsidRPr="00382992" w:rsidRDefault="00382992" w:rsidP="00382992">
    <w:pPr>
      <w:pStyle w:val="EPFooter"/>
    </w:pPr>
    <w:r w:rsidRPr="00382992">
      <w:t>PE</w:t>
    </w:r>
    <w:r w:rsidRPr="00382992">
      <w:rPr>
        <w:rStyle w:val="HideTWBExt"/>
      </w:rPr>
      <w:t>&lt;NoPE&gt;</w:t>
    </w:r>
    <w:r w:rsidRPr="00382992">
      <w:t>756.191</w:t>
    </w:r>
    <w:r w:rsidRPr="00382992">
      <w:rPr>
        <w:rStyle w:val="HideTWBExt"/>
      </w:rPr>
      <w:t>&lt;/NoPE&gt;&lt;Version&gt;</w:t>
    </w:r>
    <w:r w:rsidRPr="00382992">
      <w:t>v03-00</w:t>
    </w:r>
    <w:r w:rsidRPr="00382992">
      <w:rPr>
        <w:rStyle w:val="HideTWBExt"/>
      </w:rPr>
      <w:t>&lt;/Version&gt;</w:t>
    </w:r>
    <w:r w:rsidRPr="00382992">
      <w:tab/>
    </w:r>
    <w:r w:rsidRPr="00382992">
      <w:fldChar w:fldCharType="begin"/>
    </w:r>
    <w:r w:rsidRPr="00382992">
      <w:instrText xml:space="preserve"> PAGE  \* MERGEFORMAT </w:instrText>
    </w:r>
    <w:r w:rsidRPr="00382992">
      <w:fldChar w:fldCharType="separate"/>
    </w:r>
    <w:r w:rsidR="005307DE">
      <w:rPr>
        <w:noProof/>
      </w:rPr>
      <w:t>6</w:t>
    </w:r>
    <w:r w:rsidRPr="00382992">
      <w:fldChar w:fldCharType="end"/>
    </w:r>
    <w:r w:rsidRPr="00382992">
      <w:t>/</w:t>
    </w:r>
    <w:fldSimple w:instr=" NUMPAGES  \* MERGEFORMAT ">
      <w:r w:rsidR="005307DE">
        <w:rPr>
          <w:noProof/>
        </w:rPr>
        <w:t>7</w:t>
      </w:r>
    </w:fldSimple>
    <w:r w:rsidRPr="00382992">
      <w:tab/>
    </w:r>
    <w:r w:rsidRPr="00382992">
      <w:rPr>
        <w:rStyle w:val="HideTWBExt"/>
      </w:rPr>
      <w:t>&lt;PathFdR&gt;</w:t>
    </w:r>
    <w:r w:rsidRPr="00382992">
      <w:t>AD\1295224PL.docx</w:t>
    </w:r>
    <w:r w:rsidRPr="00382992">
      <w:rPr>
        <w:rStyle w:val="HideTWBExt"/>
      </w:rPr>
      <w:t>&lt;/PathFdR&gt;</w:t>
    </w:r>
  </w:p>
  <w:p w:rsidR="002E2F2E" w:rsidRPr="00382992" w:rsidRDefault="00382992" w:rsidP="00382992">
    <w:pPr>
      <w:pStyle w:val="EPFooter2"/>
    </w:pPr>
    <w:r w:rsidRPr="00382992">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992" w:rsidRPr="00382992" w:rsidRDefault="00382992" w:rsidP="00382992">
    <w:pPr>
      <w:pStyle w:val="EPFooter"/>
    </w:pPr>
    <w:r w:rsidRPr="00382992">
      <w:rPr>
        <w:rStyle w:val="HideTWBExt"/>
      </w:rPr>
      <w:t>&lt;PathFdR&gt;</w:t>
    </w:r>
    <w:r w:rsidRPr="00382992">
      <w:t>AD\1295224PL.docx</w:t>
    </w:r>
    <w:r w:rsidRPr="00382992">
      <w:rPr>
        <w:rStyle w:val="HideTWBExt"/>
      </w:rPr>
      <w:t>&lt;/PathFdR&gt;</w:t>
    </w:r>
    <w:r w:rsidRPr="00382992">
      <w:tab/>
    </w:r>
    <w:r w:rsidRPr="00382992">
      <w:fldChar w:fldCharType="begin"/>
    </w:r>
    <w:r w:rsidRPr="00382992">
      <w:instrText xml:space="preserve"> PAGE  \* MERGEFORMAT </w:instrText>
    </w:r>
    <w:r w:rsidRPr="00382992">
      <w:fldChar w:fldCharType="separate"/>
    </w:r>
    <w:r w:rsidR="005307DE">
      <w:rPr>
        <w:noProof/>
      </w:rPr>
      <w:t>5</w:t>
    </w:r>
    <w:r w:rsidRPr="00382992">
      <w:fldChar w:fldCharType="end"/>
    </w:r>
    <w:r w:rsidRPr="00382992">
      <w:t>/</w:t>
    </w:r>
    <w:fldSimple w:instr=" NUMPAGES  \* MERGEFORMAT ">
      <w:r w:rsidR="005307DE">
        <w:rPr>
          <w:noProof/>
        </w:rPr>
        <w:t>7</w:t>
      </w:r>
    </w:fldSimple>
    <w:r w:rsidRPr="00382992">
      <w:tab/>
      <w:t>PE</w:t>
    </w:r>
    <w:r w:rsidRPr="00382992">
      <w:rPr>
        <w:rStyle w:val="HideTWBExt"/>
      </w:rPr>
      <w:t>&lt;NoPE&gt;</w:t>
    </w:r>
    <w:r w:rsidRPr="00382992">
      <w:t>756.191</w:t>
    </w:r>
    <w:r w:rsidRPr="00382992">
      <w:rPr>
        <w:rStyle w:val="HideTWBExt"/>
      </w:rPr>
      <w:t>&lt;/NoPE&gt;&lt;Version&gt;</w:t>
    </w:r>
    <w:r w:rsidRPr="00382992">
      <w:t>v03-00</w:t>
    </w:r>
    <w:r w:rsidRPr="00382992">
      <w:rPr>
        <w:rStyle w:val="HideTWBExt"/>
      </w:rPr>
      <w:t>&lt;/Version&gt;</w:t>
    </w:r>
  </w:p>
  <w:p w:rsidR="002E2F2E" w:rsidRPr="00382992" w:rsidRDefault="00382992" w:rsidP="00382992">
    <w:pPr>
      <w:pStyle w:val="EPFooter2"/>
    </w:pPr>
    <w:r w:rsidRPr="00382992">
      <w:tab/>
    </w:r>
    <w:r w:rsidRPr="00382992">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992" w:rsidRPr="00382992" w:rsidRDefault="00382992" w:rsidP="00382992">
    <w:pPr>
      <w:pStyle w:val="EPFooter"/>
    </w:pPr>
    <w:r w:rsidRPr="00382992">
      <w:rPr>
        <w:rStyle w:val="HideTWBExt"/>
      </w:rPr>
      <w:t>&lt;PathFdR&gt;</w:t>
    </w:r>
    <w:r w:rsidRPr="00382992">
      <w:t>AD\1295224PL.docx</w:t>
    </w:r>
    <w:r w:rsidRPr="00382992">
      <w:rPr>
        <w:rStyle w:val="HideTWBExt"/>
      </w:rPr>
      <w:t>&lt;/PathFdR&gt;</w:t>
    </w:r>
    <w:r w:rsidRPr="00382992">
      <w:tab/>
    </w:r>
    <w:r w:rsidRPr="00382992">
      <w:tab/>
      <w:t>PE</w:t>
    </w:r>
    <w:r w:rsidRPr="00382992">
      <w:rPr>
        <w:rStyle w:val="HideTWBExt"/>
      </w:rPr>
      <w:t>&lt;NoPE&gt;</w:t>
    </w:r>
    <w:r w:rsidRPr="00382992">
      <w:t>756.191</w:t>
    </w:r>
    <w:r w:rsidRPr="00382992">
      <w:rPr>
        <w:rStyle w:val="HideTWBExt"/>
      </w:rPr>
      <w:t>&lt;/NoPE&gt;&lt;Version&gt;</w:t>
    </w:r>
    <w:r w:rsidRPr="00382992">
      <w:t>v03-00</w:t>
    </w:r>
    <w:r w:rsidRPr="00382992">
      <w:rPr>
        <w:rStyle w:val="HideTWBExt"/>
      </w:rPr>
      <w:t>&lt;/Version&gt;</w:t>
    </w:r>
  </w:p>
  <w:p w:rsidR="002E2F2E" w:rsidRPr="00382992" w:rsidRDefault="00382992" w:rsidP="00382992">
    <w:pPr>
      <w:pStyle w:val="EPFooter2"/>
    </w:pPr>
    <w:r w:rsidRPr="00382992">
      <w:t>PL</w:t>
    </w:r>
    <w:r w:rsidRPr="00382992">
      <w:tab/>
    </w:r>
    <w:r w:rsidRPr="00382992">
      <w:rPr>
        <w:b w:val="0"/>
        <w:i/>
        <w:color w:val="C0C0C0"/>
        <w:sz w:val="22"/>
      </w:rPr>
      <w:t>Zjednoczona w różnorodności</w:t>
    </w:r>
    <w:r w:rsidRPr="00382992">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0BAC" w:rsidRPr="00382992" w:rsidRDefault="00C70BAC">
      <w:r w:rsidRPr="00382992">
        <w:separator/>
      </w:r>
    </w:p>
  </w:footnote>
  <w:footnote w:type="continuationSeparator" w:id="0">
    <w:p w:rsidR="00C70BAC" w:rsidRPr="00382992" w:rsidRDefault="00C70BAC">
      <w:r w:rsidRPr="0038299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07DE" w:rsidRDefault="005307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07DE" w:rsidRDefault="005307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07DE" w:rsidRDefault="005307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activeWritingStyle w:appName="MSWord" w:lang="fr-FR" w:vendorID="64" w:dllVersion="131078" w:nlCheck="1" w:checkStyle="0"/>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8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CONT"/>
    <w:docVar w:name="COMKEY" w:val="LIBE"/>
    <w:docVar w:name="CONTRIBUTIONMNU" w:val=" 2"/>
    <w:docVar w:name="FONCTIONMNU" w:val=" 1"/>
    <w:docVar w:name="LastEditedSection" w:val=" 1"/>
    <w:docVar w:name="RepeatBlock-Amend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126715 HideTWBInt;}{_x000d__x000a_\s18\ql \fi-567\li567\ri0\sa240\nowidctlpar\wrapdefault\aspalpha\aspnum\faauto\adjustright\rin0\lin567\itap0 \rtlch\fcs1 \af0\afs20\alang1025 \ltrch\fcs0 \fs24\lang2057\langfe2057\cgrid\langnp2057\langfenp2057 _x000d__x000a_\sbasedon0 \snext18 \spriority0 \styrsid5126715 NormalHanging12a;}}{\*\rsidtbl \rsid24658\rsid223860\rsid735077\rsid1718133\rsid2892074\rsid3565327\rsid3674976\rsid4666813\rsid5126715\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CUADRAT SEIX Iban}{\operator CUADRAT SEIX Iban}{\creatim\yr2024\mo1\dy19\hr12\min39}{\revtim\yr2024\mo1\dy19\hr12\min39}{\version1}{\edmins0}{\nofpages1}{\nofwords1}{\nofchars12}{\nofcharsws12}{\vern109}}{\*\xmlnstbl {\xmlns1 http://schemas.micro_x000d__x000a_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126715\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3674976 \chftnsep _x000d__x000a_\par }}{\*\ftnsepc \ltrpar \pard\plain \ltrpar\ql \li0\ri0\widctlpar\wrapdefault\aspalpha\aspnum\faauto\adjustright\rin0\lin0\itap0 \rtlch\fcs1 \af0\afs20\alang1025 \ltrch\fcs0 \fs24\lang2057\langfe2057\cgrid\langnp2057\langfenp2057 {\rtlch\fcs1 \af0 _x000d__x000a_\ltrch\fcs0 \insrsid3674976 \chftnsepc _x000d__x000a_\par }}{\*\aftnsep \ltrpar \pard\plain \ltrpar\ql \li0\ri0\widctlpar\wrapdefault\aspalpha\aspnum\faauto\adjustright\rin0\lin0\itap0 \rtlch\fcs1 \af0\afs20\alang1025 \ltrch\fcs0 \fs24\lang2057\langfe2057\cgrid\langnp2057\langfenp2057 {\rtlch\fcs1 \af0 _x000d__x000a_\ltrch\fcs0 \insrsid3674976 \chftnsep _x000d__x000a_\par }}{\*\aftnsepc \ltrpar \pard\plain \ltrpar\ql \li0\ri0\widctlpar\wrapdefault\aspalpha\aspnum\faauto\adjustright\rin0\lin0\itap0 \rtlch\fcs1 \af0\afs20\alang1025 \ltrch\fcs0 \fs24\lang2057\langfe2057\cgrid\langnp2057\langfenp2057 {\rtlch\fcs1 \af0 _x000d__x000a_\ltrch\fcs0 \insrsid367497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5126715 \rtlch\fcs1 \af0\afs20\alang1025 \ltrch\fcs0 \fs24\lang2057\langfe2057\cgrid\langnp2057\langfenp2057 {\rtlch\fcs1 \af0 _x000d__x000a_\ltrch\fcs0 \insrsid5126715\charrsid13044652 {\*\bkmkstart restart}#}{\rtlch\fcs1 \af1 \ltrch\fcs0 \cs17\v\f1\fs20\cf15\insrsid5126715\charrsid13044652 NRMSG}{\rtlch\fcs1 \af0 \ltrch\fcs0 \insrsid5126715\charrsid13044652 #.\tab ##}{\rtlch\fcs1 \af0 _x000d__x000a_\ltrch\fcs0 \insrsid5126715\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e_x000d__x000a_0231cc4a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27\deflangfe102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4677518 NormalHanging12a;}}{\*\rsidtbl \rsid24658\rsid223860\rsid735077\rsid1718133\rsid2892074\rsid3565327\rsid4391474\rsid4666813\rsid4677518\rsid6641733_x000d__x000a_\rsid7823322\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CUADRAT SEIX Iban}{\operator CUADRAT SEIX Iban}{\creatim\yr2024\mo1\dy19\hr12\min39}{\revtim\yr2024\mo1\dy19\hr12\min39}{\version1}{\edmins0}{\nofpages1}{\nofwords5}{\nofchars30}{\nofcharsws34}_x000d__x000a_{\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677518\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4391474 \chftnsep _x000d__x000a_\par }}{\*\ftnsepc \ltrpar \pard\plain \ltrpar\ql \li0\ri0\widctlpar\wrapdefault\aspalpha\aspnum\faauto\adjustright\rin0\lin0\itap0 \rtlch\fcs1 \af0\afs20\alang1025 \ltrch\fcs0 \fs24\lang2057\langfe2057\cgrid\langnp2057\langfenp2057 {\rtlch\fcs1 \af0 _x000d__x000a_\ltrch\fcs0 \insrsid4391474 \chftnsepc _x000d__x000a_\par }}{\*\aftnsep \ltrpar \pard\plain \ltrpar\ql \li0\ri0\widctlpar\wrapdefault\aspalpha\aspnum\faauto\adjustright\rin0\lin0\itap0 \rtlch\fcs1 \af0\afs20\alang1025 \ltrch\fcs0 \fs24\lang2057\langfe2057\cgrid\langnp2057\langfenp2057 {\rtlch\fcs1 \af0 _x000d__x000a_\ltrch\fcs0 \insrsid4391474 \chftnsep _x000d__x000a_\par }}{\*\aftnsepc \ltrpar \pard\plain \ltrpar\ql \li0\ri0\widctlpar\wrapdefault\aspalpha\aspnum\faauto\adjustright\rin0\lin0\itap0 \rtlch\fcs1 \af0\afs20\alang1025 \ltrch\fcs0 \fs24\lang2057\langfe2057\cgrid\langnp2057\langfenp2057 {\rtlch\fcs1 \af0 _x000d__x000a_\ltrch\fcs0 \insrsid439147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4677518 \rtlch\fcs1 \af0\afs20\alang1025 \ltrch\fcs0 \fs24\lang2057\langfe2057\cgrid\langnp2057\langfenp2057 {\rtlch\fcs1 \af0 _x000d__x000a_\ltrch\fcs0 \insrsid4677518\charrsid1525456 {\*\bkmkstart restart}[ZSUGGESTIONNR]\tab [ZSUGGESTIONTEXT]}{\rtlch\fcs1 \af0 \ltrch\fcs0 \insrsid4677518\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32_x000d__x000a_b033cc4a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5"/>
    <w:docVar w:name="TXTLANGUE" w:val="EN"/>
    <w:docVar w:name="TXTLANGUEMIN" w:val="en"/>
    <w:docVar w:name="TXTNRPE" w:val="756.191"/>
    <w:docVar w:name="TXTNRPROC" w:val="2023/2144"/>
    <w:docVar w:name="TXTPEorAP" w:val="PE"/>
    <w:docVar w:name="TXTROUTE" w:val="AD\1295224EN.docx"/>
    <w:docVar w:name="TXTTITLE" w:val="of the European Union Agency for Law Enforcement Training (CEPOL) for the financial year 2022"/>
    <w:docVar w:name="TXTVERSION" w:val="03-00"/>
  </w:docVars>
  <w:rsids>
    <w:rsidRoot w:val="00C70BAC"/>
    <w:rsid w:val="00063D81"/>
    <w:rsid w:val="00080CEB"/>
    <w:rsid w:val="0009622E"/>
    <w:rsid w:val="000E7EBF"/>
    <w:rsid w:val="00124F60"/>
    <w:rsid w:val="00135121"/>
    <w:rsid w:val="00140BE6"/>
    <w:rsid w:val="00147F4E"/>
    <w:rsid w:val="00155807"/>
    <w:rsid w:val="0016635E"/>
    <w:rsid w:val="001746D0"/>
    <w:rsid w:val="001A5D8D"/>
    <w:rsid w:val="001B7393"/>
    <w:rsid w:val="001D2ED9"/>
    <w:rsid w:val="001F21C1"/>
    <w:rsid w:val="002D28A7"/>
    <w:rsid w:val="002E2F2E"/>
    <w:rsid w:val="002E5E51"/>
    <w:rsid w:val="002E6F98"/>
    <w:rsid w:val="002F079D"/>
    <w:rsid w:val="00310677"/>
    <w:rsid w:val="00325BCB"/>
    <w:rsid w:val="00331944"/>
    <w:rsid w:val="00332AD9"/>
    <w:rsid w:val="00347D2C"/>
    <w:rsid w:val="0037356F"/>
    <w:rsid w:val="00382992"/>
    <w:rsid w:val="00390EB2"/>
    <w:rsid w:val="00396A0E"/>
    <w:rsid w:val="003E2402"/>
    <w:rsid w:val="003F701A"/>
    <w:rsid w:val="004950FF"/>
    <w:rsid w:val="004C28FB"/>
    <w:rsid w:val="004C44C0"/>
    <w:rsid w:val="004F6E5D"/>
    <w:rsid w:val="0051119D"/>
    <w:rsid w:val="0052544E"/>
    <w:rsid w:val="005307DE"/>
    <w:rsid w:val="005729E0"/>
    <w:rsid w:val="0058163B"/>
    <w:rsid w:val="005940C3"/>
    <w:rsid w:val="00594C48"/>
    <w:rsid w:val="005B2F11"/>
    <w:rsid w:val="005C0BDF"/>
    <w:rsid w:val="005D60C6"/>
    <w:rsid w:val="006102E7"/>
    <w:rsid w:val="00640C1B"/>
    <w:rsid w:val="00657AFB"/>
    <w:rsid w:val="006D5BF7"/>
    <w:rsid w:val="008313E7"/>
    <w:rsid w:val="00854CAC"/>
    <w:rsid w:val="00885F0F"/>
    <w:rsid w:val="008A32C5"/>
    <w:rsid w:val="008C0D74"/>
    <w:rsid w:val="008C6203"/>
    <w:rsid w:val="008D61E7"/>
    <w:rsid w:val="008F7002"/>
    <w:rsid w:val="0099493F"/>
    <w:rsid w:val="009E4314"/>
    <w:rsid w:val="00A16BEA"/>
    <w:rsid w:val="00A262B4"/>
    <w:rsid w:val="00A312B3"/>
    <w:rsid w:val="00A72C35"/>
    <w:rsid w:val="00A868C4"/>
    <w:rsid w:val="00AE180F"/>
    <w:rsid w:val="00B362F7"/>
    <w:rsid w:val="00B5456B"/>
    <w:rsid w:val="00B74A14"/>
    <w:rsid w:val="00B74B53"/>
    <w:rsid w:val="00BC26E4"/>
    <w:rsid w:val="00BD1EAA"/>
    <w:rsid w:val="00C52739"/>
    <w:rsid w:val="00C70BAC"/>
    <w:rsid w:val="00C827FF"/>
    <w:rsid w:val="00CC7EAB"/>
    <w:rsid w:val="00CD34AC"/>
    <w:rsid w:val="00DE19FF"/>
    <w:rsid w:val="00E81BA6"/>
    <w:rsid w:val="00E856D2"/>
    <w:rsid w:val="00E929A7"/>
    <w:rsid w:val="00F352E6"/>
    <w:rsid w:val="00F603B2"/>
    <w:rsid w:val="00FA2781"/>
    <w:rsid w:val="00FC6460"/>
    <w:rsid w:val="00FD0625"/>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chartTrackingRefBased/>
  <w15:docId w15:val="{43BA7F5D-697F-4A6E-87C9-5303FED9D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2F079D"/>
    <w:pPr>
      <w:tabs>
        <w:tab w:val="center" w:pos="4513"/>
        <w:tab w:val="right" w:pos="9026"/>
      </w:tabs>
    </w:pPr>
  </w:style>
  <w:style w:type="character" w:customStyle="1" w:styleId="FooterChar">
    <w:name w:val="Footer Char"/>
    <w:basedOn w:val="DefaultParagraphFont"/>
    <w:link w:val="Footer"/>
    <w:semiHidden/>
    <w:rsid w:val="002F079D"/>
    <w:rPr>
      <w:sz w:val="24"/>
    </w:rPr>
  </w:style>
  <w:style w:type="paragraph" w:styleId="BalloonText">
    <w:name w:val="Balloon Text"/>
    <w:basedOn w:val="Normal"/>
    <w:link w:val="BalloonTextChar"/>
    <w:semiHidden/>
    <w:unhideWhenUsed/>
    <w:rsid w:val="00063D81"/>
    <w:rPr>
      <w:rFonts w:ascii="Segoe UI" w:hAnsi="Segoe UI" w:cs="Segoe UI"/>
      <w:sz w:val="18"/>
      <w:szCs w:val="18"/>
    </w:rPr>
  </w:style>
  <w:style w:type="character" w:customStyle="1" w:styleId="BalloonTextChar">
    <w:name w:val="Balloon Text Char"/>
    <w:basedOn w:val="DefaultParagraphFont"/>
    <w:link w:val="BalloonText"/>
    <w:semiHidden/>
    <w:rsid w:val="00063D81"/>
    <w:rPr>
      <w:rFonts w:ascii="Segoe UI" w:hAnsi="Segoe UI" w:cs="Segoe UI"/>
      <w:sz w:val="18"/>
      <w:szCs w:val="18"/>
      <w:lang w:val="pl-PL"/>
    </w:rPr>
  </w:style>
  <w:style w:type="paragraph" w:customStyle="1" w:styleId="RollCallSymbols14pt">
    <w:name w:val="RollCallSymbols14pt"/>
    <w:basedOn w:val="Normal"/>
    <w:rsid w:val="00080CE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80CEB"/>
    <w:pPr>
      <w:tabs>
        <w:tab w:val="center" w:pos="284"/>
        <w:tab w:val="left" w:pos="426"/>
      </w:tabs>
    </w:pPr>
    <w:rPr>
      <w:snapToGrid w:val="0"/>
      <w:lang w:eastAsia="en-US"/>
    </w:rPr>
  </w:style>
  <w:style w:type="paragraph" w:customStyle="1" w:styleId="RollCallVotes">
    <w:name w:val="RollCallVotes"/>
    <w:basedOn w:val="Normal"/>
    <w:rsid w:val="00080CEB"/>
    <w:pPr>
      <w:spacing w:before="120" w:after="120"/>
      <w:jc w:val="center"/>
    </w:pPr>
    <w:rPr>
      <w:b/>
      <w:bCs/>
      <w:snapToGrid w:val="0"/>
      <w:sz w:val="16"/>
      <w:lang w:eastAsia="en-US"/>
    </w:rPr>
  </w:style>
  <w:style w:type="paragraph" w:customStyle="1" w:styleId="RollCallTable">
    <w:name w:val="RollCallTable"/>
    <w:basedOn w:val="Normal"/>
    <w:rsid w:val="00080CEB"/>
    <w:pPr>
      <w:spacing w:before="120" w:after="120"/>
    </w:pPr>
    <w:rPr>
      <w:snapToGrid w:val="0"/>
      <w:sz w:val="16"/>
      <w:lang w:eastAsia="en-US"/>
    </w:rPr>
  </w:style>
  <w:style w:type="paragraph" w:customStyle="1" w:styleId="Normal24a">
    <w:name w:val="Normal24a"/>
    <w:basedOn w:val="Normal"/>
    <w:rsid w:val="00155807"/>
    <w:pPr>
      <w:spacing w:after="480"/>
    </w:pPr>
  </w:style>
  <w:style w:type="paragraph" w:customStyle="1" w:styleId="NormalBoldCenter">
    <w:name w:val="NormalBoldCenter"/>
    <w:basedOn w:val="Normal"/>
    <w:rsid w:val="00155807"/>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9A0250-B5C7-4A9F-BC8F-E08C50443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1042</Words>
  <Characters>6919</Characters>
  <Application>Microsoft Office Word</Application>
  <DocSecurity>0</DocSecurity>
  <Lines>168</Lines>
  <Paragraphs>69</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7891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2024-02-07T10:55:00Z</dcterms:created>
  <dcterms:modified xsi:type="dcterms:W3CDTF">2024-02-07T10:55:00Z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Created with">
    <vt:lpwstr>9.16.1 Build [20230920]</vt:lpwstr>
  </property>
  <property fmtid="{D5CDD505-2E9C-101B-9397-08002B2CF9AE}" pid="4" name="LastEdited with">
    <vt:lpwstr>9.17.1 Build [20240101]</vt:lpwstr>
  </property>
  <property fmtid="{D5CDD505-2E9C-101B-9397-08002B2CF9AE}" pid="5" name="&lt;FdR&gt;">
    <vt:lpwstr>1295224</vt:lpwstr>
  </property>
  <property fmtid="{D5CDD505-2E9C-101B-9397-08002B2CF9AE}" pid="6" name="&lt;Type&gt;">
    <vt:lpwstr>AD</vt:lpwstr>
  </property>
  <property fmtid="{D5CDD505-2E9C-101B-9397-08002B2CF9AE}" pid="7" name="&lt;ModelCod&gt;">
    <vt:lpwstr>\\eiciBRUpr1\pdocep$\DocEP\DOCS\General\PA\PA_NonLeg\PA_NonLeg.dotx(18/09/2023 10:25:02)</vt:lpwstr>
  </property>
  <property fmtid="{D5CDD505-2E9C-101B-9397-08002B2CF9AE}" pid="8" name="&lt;ModelTra&gt;">
    <vt:lpwstr>\\eiciBRUpr1\pdocep$\DocEP\TRANSFIL\EN\PA_NonLeg.EN(18/09/2023 10:08:01)</vt:lpwstr>
  </property>
  <property fmtid="{D5CDD505-2E9C-101B-9397-08002B2CF9AE}" pid="9" name="&lt;Model&gt;">
    <vt:lpwstr>PA_NonLeg</vt:lpwstr>
  </property>
  <property fmtid="{D5CDD505-2E9C-101B-9397-08002B2CF9AE}" pid="10" name="FooterPath">
    <vt:lpwstr>AD\1295224PL.docx</vt:lpwstr>
  </property>
  <property fmtid="{D5CDD505-2E9C-101B-9397-08002B2CF9AE}" pid="11" name="PE number">
    <vt:lpwstr>756.191</vt:lpwstr>
  </property>
  <property fmtid="{D5CDD505-2E9C-101B-9397-08002B2CF9AE}" pid="12" name="SendToEpades">
    <vt:lpwstr>OK - 2024/01/25 12:53</vt:lpwstr>
  </property>
  <property fmtid="{D5CDD505-2E9C-101B-9397-08002B2CF9AE}" pid="13" name="SDLStudio">
    <vt:lpwstr/>
  </property>
  <property fmtid="{D5CDD505-2E9C-101B-9397-08002B2CF9AE}" pid="14" name="Bookout">
    <vt:lpwstr>OK - 2024/02/07 11:54</vt:lpwstr>
  </property>
</Properties>
</file>