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1F603A" w:rsidTr="00C85D0F">
        <w:trPr>
          <w:trHeight w:hRule="exact" w:val="1418"/>
        </w:trPr>
        <w:tc>
          <w:tcPr>
            <w:tcW w:w="6804" w:type="dxa"/>
            <w:shd w:val="clear" w:color="auto" w:fill="auto"/>
            <w:vAlign w:val="center"/>
          </w:tcPr>
          <w:p w:rsidR="00854CAC" w:rsidRPr="001F603A" w:rsidRDefault="00C70BAC" w:rsidP="00C85D0F">
            <w:pPr>
              <w:pStyle w:val="EPName"/>
            </w:pPr>
            <w:r w:rsidRPr="001F603A">
              <w:t>Parlamento Europeu</w:t>
            </w:r>
          </w:p>
          <w:p w:rsidR="00854CAC" w:rsidRPr="001F603A" w:rsidRDefault="00A868C4" w:rsidP="00A868C4">
            <w:pPr>
              <w:pStyle w:val="EPTerm"/>
            </w:pPr>
            <w:r w:rsidRPr="001F603A">
              <w:t>2019</w:t>
            </w:r>
            <w:r w:rsidR="00F4603B">
              <w:noBreakHyphen/>
            </w:r>
            <w:r w:rsidRPr="001F603A">
              <w:t>2024</w:t>
            </w:r>
          </w:p>
        </w:tc>
        <w:tc>
          <w:tcPr>
            <w:tcW w:w="2268" w:type="dxa"/>
            <w:shd w:val="clear" w:color="auto" w:fill="auto"/>
          </w:tcPr>
          <w:p w:rsidR="00854CAC" w:rsidRPr="001F603A" w:rsidRDefault="00854CAC" w:rsidP="00C85D0F">
            <w:pPr>
              <w:pStyle w:val="EPLogo"/>
            </w:pPr>
            <w:r w:rsidRPr="001F603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1F603A" w:rsidRDefault="001746D0" w:rsidP="001746D0">
      <w:pPr>
        <w:pStyle w:val="LineTop"/>
      </w:pPr>
    </w:p>
    <w:p w:rsidR="001746D0" w:rsidRPr="001F603A" w:rsidRDefault="001746D0" w:rsidP="001746D0">
      <w:pPr>
        <w:pStyle w:val="EPBody"/>
      </w:pPr>
      <w:r w:rsidRPr="001F603A">
        <w:rPr>
          <w:rStyle w:val="HideTWBExt"/>
        </w:rPr>
        <w:t>&lt;</w:t>
      </w:r>
      <w:r w:rsidRPr="001F603A">
        <w:rPr>
          <w:rStyle w:val="HideTWBExt"/>
          <w:i w:val="0"/>
        </w:rPr>
        <w:t>Commission</w:t>
      </w:r>
      <w:r w:rsidRPr="001F603A">
        <w:rPr>
          <w:rStyle w:val="HideTWBExt"/>
        </w:rPr>
        <w:t>&gt;</w:t>
      </w:r>
      <w:r w:rsidRPr="001F603A">
        <w:rPr>
          <w:rStyle w:val="HideTWBInt"/>
        </w:rPr>
        <w:t>{LIBE}</w:t>
      </w:r>
      <w:r w:rsidRPr="001F603A">
        <w:t>Comissão das Liberdades Cívicas, da Justiça e dos Assuntos Internos</w:t>
      </w:r>
      <w:r w:rsidRPr="001F603A">
        <w:rPr>
          <w:rStyle w:val="HideTWBExt"/>
        </w:rPr>
        <w:t>&lt;/</w:t>
      </w:r>
      <w:r w:rsidRPr="001F603A">
        <w:rPr>
          <w:rStyle w:val="HideTWBExt"/>
          <w:i w:val="0"/>
        </w:rPr>
        <w:t>Commission</w:t>
      </w:r>
      <w:r w:rsidRPr="001F603A">
        <w:rPr>
          <w:rStyle w:val="HideTWBExt"/>
        </w:rPr>
        <w:t>&gt;</w:t>
      </w:r>
    </w:p>
    <w:p w:rsidR="001746D0" w:rsidRPr="001F603A" w:rsidRDefault="001746D0" w:rsidP="001746D0">
      <w:pPr>
        <w:pStyle w:val="LineBottom"/>
      </w:pPr>
    </w:p>
    <w:p w:rsidR="002E2F2E" w:rsidRPr="001F603A" w:rsidRDefault="002E2F2E">
      <w:pPr>
        <w:pStyle w:val="CoverReference"/>
      </w:pPr>
      <w:r w:rsidRPr="001F603A">
        <w:rPr>
          <w:rStyle w:val="HideTWBExt"/>
          <w:b w:val="0"/>
        </w:rPr>
        <w:t>&lt;RefProc&gt;</w:t>
      </w:r>
      <w:r w:rsidRPr="001F603A">
        <w:t>2023/2144</w:t>
      </w:r>
      <w:r w:rsidRPr="001F603A">
        <w:rPr>
          <w:rStyle w:val="HideTWBExt"/>
          <w:b w:val="0"/>
        </w:rPr>
        <w:t>&lt;/RefProc&gt;&lt;RefTypeProc&gt;</w:t>
      </w:r>
      <w:r w:rsidRPr="001F603A">
        <w:t>(DEC)</w:t>
      </w:r>
      <w:r w:rsidRPr="001F603A">
        <w:rPr>
          <w:rStyle w:val="HideTWBExt"/>
          <w:b w:val="0"/>
        </w:rPr>
        <w:t>&lt;/RefTypeProc&gt;</w:t>
      </w:r>
    </w:p>
    <w:p w:rsidR="002E2F2E" w:rsidRPr="001F603A" w:rsidRDefault="002E2F2E">
      <w:pPr>
        <w:pStyle w:val="CoverDate"/>
      </w:pPr>
      <w:r w:rsidRPr="001F603A">
        <w:rPr>
          <w:rStyle w:val="HideTWBExt"/>
        </w:rPr>
        <w:t>&lt;Date&gt;</w:t>
      </w:r>
      <w:r w:rsidRPr="001F603A">
        <w:rPr>
          <w:rStyle w:val="HideTWBInt"/>
        </w:rPr>
        <w:t>{24/01/2024}</w:t>
      </w:r>
      <w:r w:rsidRPr="001F603A">
        <w:t>24.1.2024</w:t>
      </w:r>
      <w:r w:rsidRPr="001F603A">
        <w:rPr>
          <w:rStyle w:val="HideTWBExt"/>
        </w:rPr>
        <w:t>&lt;/Date&gt;</w:t>
      </w:r>
    </w:p>
    <w:p w:rsidR="002E2F2E" w:rsidRPr="001F603A" w:rsidRDefault="002E2F2E">
      <w:pPr>
        <w:pStyle w:val="CoverDocType24a"/>
      </w:pPr>
      <w:r w:rsidRPr="001F603A">
        <w:rPr>
          <w:rStyle w:val="HideTWBExt"/>
          <w:b w:val="0"/>
        </w:rPr>
        <w:t>&lt;TitreType&gt;</w:t>
      </w:r>
      <w:r w:rsidRPr="001F603A">
        <w:t>PARECER</w:t>
      </w:r>
      <w:r w:rsidRPr="001F603A">
        <w:rPr>
          <w:rStyle w:val="HideTWBExt"/>
          <w:b w:val="0"/>
        </w:rPr>
        <w:t>&lt;/TitreType&gt;</w:t>
      </w:r>
    </w:p>
    <w:p w:rsidR="002E2F2E" w:rsidRPr="001F603A" w:rsidRDefault="002E2F2E">
      <w:pPr>
        <w:pStyle w:val="CoverNormal24a"/>
      </w:pPr>
      <w:r w:rsidRPr="001F603A">
        <w:rPr>
          <w:rStyle w:val="HideTWBExt"/>
        </w:rPr>
        <w:t>&lt;CommissionResp&gt;</w:t>
      </w:r>
      <w:r w:rsidRPr="001F603A">
        <w:t>da Comissão das Liberdades Cívicas, da Justiça e dos Assuntos Internos</w:t>
      </w:r>
      <w:r w:rsidRPr="001F603A">
        <w:rPr>
          <w:rStyle w:val="HideTWBExt"/>
        </w:rPr>
        <w:t>&lt;/CommissionResp&gt;</w:t>
      </w:r>
    </w:p>
    <w:p w:rsidR="002E2F2E" w:rsidRPr="001F603A" w:rsidRDefault="002E2F2E">
      <w:pPr>
        <w:pStyle w:val="CoverNormal24a"/>
      </w:pPr>
      <w:r w:rsidRPr="001F603A">
        <w:rPr>
          <w:rStyle w:val="HideTWBExt"/>
        </w:rPr>
        <w:t>&lt;CommissionInt&gt;</w:t>
      </w:r>
      <w:r w:rsidRPr="001F603A">
        <w:t>dirigido à Comissão do Controlo Orçamental</w:t>
      </w:r>
      <w:r w:rsidRPr="001F603A">
        <w:rPr>
          <w:rStyle w:val="HideTWBExt"/>
        </w:rPr>
        <w:t>&lt;/CommissionInt&gt;</w:t>
      </w:r>
    </w:p>
    <w:p w:rsidR="002E2F2E" w:rsidRPr="001F603A" w:rsidRDefault="002E2F2E">
      <w:pPr>
        <w:pStyle w:val="CoverNormal"/>
      </w:pPr>
      <w:r w:rsidRPr="001F603A">
        <w:rPr>
          <w:rStyle w:val="HideTWBExt"/>
        </w:rPr>
        <w:t>&lt;Titre&gt;</w:t>
      </w:r>
      <w:r w:rsidRPr="001F603A">
        <w:t>sobre a quitação pela execução do orçamento da Agência da União Europeia para a Formação Policial (CEPOL) para o exercício de 2022</w:t>
      </w:r>
      <w:r w:rsidRPr="001F603A">
        <w:rPr>
          <w:rStyle w:val="HideTWBExt"/>
        </w:rPr>
        <w:t>&lt;/Titre&gt;</w:t>
      </w:r>
    </w:p>
    <w:p w:rsidR="002E2F2E" w:rsidRPr="001F603A" w:rsidRDefault="002E2F2E">
      <w:pPr>
        <w:pStyle w:val="CoverNormal24a"/>
      </w:pPr>
      <w:r w:rsidRPr="001F603A">
        <w:rPr>
          <w:rStyle w:val="HideTWBExt"/>
        </w:rPr>
        <w:t>&lt;DocRef&gt;</w:t>
      </w:r>
      <w:r w:rsidRPr="001F603A">
        <w:t>(2023/2144(DEC))</w:t>
      </w:r>
      <w:r w:rsidRPr="001F603A">
        <w:rPr>
          <w:rStyle w:val="HideTWBExt"/>
        </w:rPr>
        <w:t>&lt;/DocRef&gt;</w:t>
      </w:r>
    </w:p>
    <w:p w:rsidR="002E2F2E" w:rsidRPr="001F603A" w:rsidRDefault="00C70BAC">
      <w:pPr>
        <w:pStyle w:val="CoverNormal24a"/>
      </w:pPr>
      <w:r w:rsidRPr="001F603A">
        <w:t xml:space="preserve">Relator de parecer: </w:t>
      </w:r>
      <w:r w:rsidRPr="001F603A">
        <w:rPr>
          <w:rStyle w:val="HideTWBExt"/>
        </w:rPr>
        <w:t>&lt;Depute&gt;</w:t>
      </w:r>
      <w:r w:rsidRPr="001F603A">
        <w:t>Tomáš Zdechovský</w:t>
      </w:r>
      <w:r w:rsidRPr="001F603A">
        <w:rPr>
          <w:rStyle w:val="HideTWBExt"/>
        </w:rPr>
        <w:t>&lt;/Depute&gt;</w:t>
      </w:r>
    </w:p>
    <w:p w:rsidR="00A72C35" w:rsidRPr="001F603A" w:rsidRDefault="00A72C35" w:rsidP="00A72C35">
      <w:pPr>
        <w:pStyle w:val="CoverNormal"/>
      </w:pPr>
    </w:p>
    <w:p w:rsidR="002E2F2E" w:rsidRPr="001F603A" w:rsidRDefault="002E2F2E" w:rsidP="00E856D2">
      <w:pPr>
        <w:widowControl/>
        <w:tabs>
          <w:tab w:val="center" w:pos="4677"/>
        </w:tabs>
      </w:pPr>
      <w:r w:rsidRPr="001F603A">
        <w:br w:type="page"/>
      </w:r>
      <w:r w:rsidRPr="001F603A">
        <w:lastRenderedPageBreak/>
        <w:t>PA_NonLeg</w:t>
      </w:r>
    </w:p>
    <w:p w:rsidR="002E2F2E" w:rsidRPr="001F603A" w:rsidRDefault="002E2F2E">
      <w:pPr>
        <w:pStyle w:val="PageHeadingNotTOC"/>
      </w:pPr>
      <w:r w:rsidRPr="001F603A">
        <w:br w:type="page"/>
      </w:r>
      <w:r w:rsidRPr="001F603A">
        <w:lastRenderedPageBreak/>
        <w:t>SUGESTÕES</w:t>
      </w:r>
    </w:p>
    <w:p w:rsidR="002E2F2E" w:rsidRPr="001F603A" w:rsidRDefault="00C70BAC" w:rsidP="008313E7">
      <w:pPr>
        <w:pStyle w:val="Normal12a"/>
      </w:pPr>
      <w:r w:rsidRPr="001F603A">
        <w:t>A Comissão das Liberdades Cívicas, da Justiça e dos Assuntos Internos insta a Comissão do Controlo Orçamental, competente quanto à matéria de fundo, a incorporar as seguintes sugestões na proposta de resolução que aprovar:</w:t>
      </w:r>
    </w:p>
    <w:p w:rsidR="002E2F2E" w:rsidRPr="001F603A" w:rsidRDefault="00A868C4" w:rsidP="00A868C4">
      <w:pPr>
        <w:pStyle w:val="NormalHanging12a"/>
        <w:jc w:val="both"/>
      </w:pPr>
      <w:bookmarkStart w:id="0" w:name="restart"/>
      <w:r w:rsidRPr="001F603A">
        <w:t>1.</w:t>
      </w:r>
      <w:r w:rsidRPr="001F603A">
        <w:tab/>
        <w:t>Congratula</w:t>
      </w:r>
      <w:r w:rsidR="00F4603B">
        <w:noBreakHyphen/>
      </w:r>
      <w:r w:rsidRPr="001F603A">
        <w:t>se com o facto de o Tribunal de Contas Europeu (em seguida, o «Tribunal») ter constatado que as contas anuais da Agência da União Europeia para a Formação Policial (CEPOL) relativas ao exercício de 2022 são legais e regulares em todos os seus aspetos materiais; lamenta que um montante total de 4,2 milhões de EUR tenha constituído uma despesa não conforme que excedeu o limiar de materialidade definido para a auditoria, levando, em consequência, o Tribunal a emitir um parecer com reservas sobre a legalidade e a regularidade dos pagamentos;</w:t>
      </w:r>
    </w:p>
    <w:p w:rsidR="00063D81" w:rsidRPr="001F603A" w:rsidRDefault="00063D81" w:rsidP="00A868C4">
      <w:pPr>
        <w:pStyle w:val="NormalHanging12a"/>
        <w:jc w:val="both"/>
      </w:pPr>
      <w:r w:rsidRPr="001F603A">
        <w:t>2.</w:t>
      </w:r>
      <w:r w:rsidRPr="001F603A">
        <w:tab/>
        <w:t>Congratula</w:t>
      </w:r>
      <w:r w:rsidR="00F4603B">
        <w:noBreakHyphen/>
      </w:r>
      <w:r w:rsidRPr="001F603A">
        <w:t>se com o facto de terem sido tomadas medidas corretivas adequadas para dar resposta à maioria das observações do Tribunal em anos anteriores; assinala que, desde 2020, o Tribunal tem formulado, todos os anos, observações relativas a insuficiências e irregularidades nos procedimentos de contratação pública; constata também que, em 2021 e 2022, estas observações diziam respeito a pagamentos; lamenta que continue em aberto uma observação de anos anteriores sobre contratação pública;</w:t>
      </w:r>
    </w:p>
    <w:bookmarkEnd w:id="0"/>
    <w:p w:rsidR="00A868C4" w:rsidRPr="001F603A" w:rsidRDefault="00063D81" w:rsidP="00A868C4">
      <w:pPr>
        <w:pStyle w:val="NormalHanging12a"/>
        <w:jc w:val="both"/>
      </w:pPr>
      <w:r w:rsidRPr="001F603A">
        <w:t>3.</w:t>
      </w:r>
      <w:r w:rsidRPr="001F603A">
        <w:tab/>
        <w:t>Sublinha que, devido à sua dimensão e ao seu orçamento anual relativamente reduzidos, a CEPOL só alcança diretamente a uma fração muito diminuta do seu público</w:t>
      </w:r>
      <w:r w:rsidR="00F4603B">
        <w:noBreakHyphen/>
      </w:r>
      <w:r w:rsidRPr="001F603A">
        <w:t>alvo através das atividades de formação que desenvolve; incentiva a Comissão a realizar um estudo para avaliar a viabilidade de uma fusão da CEPOL com outras agências que se enquadrem na mesma área de responsabilidades;</w:t>
      </w:r>
    </w:p>
    <w:p w:rsidR="00063D81" w:rsidRPr="001F603A" w:rsidRDefault="00063D81" w:rsidP="00A868C4">
      <w:pPr>
        <w:pStyle w:val="NormalHanging12a"/>
        <w:jc w:val="both"/>
      </w:pPr>
      <w:r w:rsidRPr="001F603A">
        <w:t>4.</w:t>
      </w:r>
      <w:r w:rsidRPr="001F603A">
        <w:tab/>
        <w:t>Observa que a opinião com reservas do Tribunal sobre a legalidade e regularidade dos pagamentos subjacentes às contas teve por base os pedidos de serviços e todos os pagamentos associados que foram efetuados ao abrigo de dois contratos</w:t>
      </w:r>
      <w:r w:rsidR="00F4603B">
        <w:noBreakHyphen/>
      </w:r>
      <w:r w:rsidRPr="001F603A">
        <w:t>quadro; recorda a resposta da CEPOL segundo a qual, apesar das insuficiências na formalização do compromisso jurídico, os serviços foram solicitados de acordo com as necessidades e os controlos da CEPOL e que não foram registadas perdas; assinala também a observação do Tribunal respeitante a insuficiências na execução de um contrato</w:t>
      </w:r>
      <w:r w:rsidR="00F4603B">
        <w:noBreakHyphen/>
      </w:r>
      <w:r w:rsidRPr="001F603A">
        <w:t>quadro relativo à prestação de serviços editoriais educativos em 2022 e a conclusão de que todos os pagamentos ao abrigo desse contrato</w:t>
      </w:r>
      <w:r w:rsidR="00F4603B">
        <w:noBreakHyphen/>
      </w:r>
      <w:r w:rsidRPr="001F603A">
        <w:t>quadro, que em 2022 ascenderam a 152 655 EUR, são irregulares; lamenta que as conclusões do Tribunal tenham revelado que os montantes referentes aos trabalhos realizados não correspondiam aos montantes efetivamente pagos e que não existiam provas de auditoria essenciais que comprovassem os montantes pagos; assinala que a CEPOL introduziu medidas corretivas em resposta às irregularidades detetadas;</w:t>
      </w:r>
    </w:p>
    <w:p w:rsidR="00A868C4" w:rsidRPr="001F603A" w:rsidRDefault="00063D81" w:rsidP="00A868C4">
      <w:pPr>
        <w:pStyle w:val="NormalHanging12a"/>
        <w:jc w:val="both"/>
      </w:pPr>
      <w:r w:rsidRPr="001F603A">
        <w:t>5.</w:t>
      </w:r>
      <w:r w:rsidRPr="001F603A">
        <w:tab/>
        <w:t>Saúda o facto de, em 2022, a CEPOL ter levado a cabo 418 atividades de formação, que contaram com a participação de 43 838 agentes da autoridade, e organizado com êxito 296 intercâmbios; congratula</w:t>
      </w:r>
      <w:r w:rsidR="00F4603B">
        <w:noBreakHyphen/>
      </w:r>
      <w:r w:rsidRPr="001F603A">
        <w:t xml:space="preserve">se ainda com o documento de estratégia do grupo de peritos em matéria de direitos fundamentais, que visa incluir os aspetos fundamentais em todas as atividades de formação; regista com agrado o facto de, em 2022, ter sido organizada uma formação </w:t>
      </w:r>
      <w:r w:rsidRPr="001F603A">
        <w:rPr>
          <w:i/>
          <w:iCs/>
        </w:rPr>
        <w:t>ad hoc</w:t>
      </w:r>
      <w:r w:rsidRPr="001F603A">
        <w:t xml:space="preserve"> sobre a proteção dos jornalistas de investigação; saúda as ações de </w:t>
      </w:r>
      <w:r w:rsidRPr="001F603A">
        <w:lastRenderedPageBreak/>
        <w:t>formação específicas sobre crimes de ódio, durante as quais são divulgados conhecimentos sobre as soluções eficazes de apoio às vítimas;</w:t>
      </w:r>
    </w:p>
    <w:p w:rsidR="00A868C4" w:rsidRPr="001F603A" w:rsidRDefault="00063D81" w:rsidP="00A868C4">
      <w:pPr>
        <w:pStyle w:val="NormalHanging12a"/>
        <w:jc w:val="both"/>
      </w:pPr>
      <w:r w:rsidRPr="001F603A">
        <w:t>6.</w:t>
      </w:r>
      <w:r w:rsidRPr="001F603A">
        <w:tab/>
        <w:t>Recorda que a formação policial a nível da UE deve refletir as prioridades da UE, em consonância com as necessidades de formação dos Estados</w:t>
      </w:r>
      <w:r w:rsidR="00F4603B">
        <w:noBreakHyphen/>
      </w:r>
      <w:r w:rsidRPr="001F603A">
        <w:t xml:space="preserve">Membros, e apoiar a resposta da UE à criminalidade grave e organizada e a outras ameaças à segurança interna, e ainda que a proteção dos direitos fundamentais deve constituir o pilar central das atividades de formação da CEPOL; regista as atividades de formação no domínio da luta contra o terrorismo, nomeadamente nos domínios do financiamento do terrorismo, do terrorismo e das armas de fogo, dos combatentes terroristas estrangeiros e das atividades contra o extremismo e a radicalização; apela a mais ações de formação sobre cibercriminalidade, informática forense, inteligência artificial, proteção de dados, direitos fundamentais e luta contra o racismo à escala da UE; insta a CEPOL a garantir a plena transparência e o pleno respeito dos direitos fundamentais e do direito internacional no decorrer de todas suas atividades, nomeadamente as atividades que impliquem países terceiros; </w:t>
      </w:r>
    </w:p>
    <w:p w:rsidR="00A868C4" w:rsidRPr="001F603A" w:rsidRDefault="00063D81" w:rsidP="00A868C4">
      <w:pPr>
        <w:pStyle w:val="NormalHanging12a"/>
        <w:jc w:val="both"/>
      </w:pPr>
      <w:r w:rsidRPr="001F603A">
        <w:t>7.</w:t>
      </w:r>
      <w:r w:rsidRPr="001F603A">
        <w:tab/>
        <w:t>Congratula</w:t>
      </w:r>
      <w:r w:rsidR="00F4603B">
        <w:noBreakHyphen/>
      </w:r>
      <w:r w:rsidRPr="001F603A">
        <w:t xml:space="preserve">se ainda com o facto de a CEPOL ter realizado uma série de seminários em linha em resposta à guerra na Ucrânia e de ter apresentado uma análise </w:t>
      </w:r>
      <w:r w:rsidRPr="001F603A">
        <w:rPr>
          <w:i/>
          <w:iCs/>
        </w:rPr>
        <w:t>ad hoc</w:t>
      </w:r>
      <w:r w:rsidRPr="001F603A">
        <w:t xml:space="preserve"> das necessidades de formação específica; saúda o facto de a CEPOL ter apoiado a Procuradoria</w:t>
      </w:r>
      <w:r w:rsidR="00F4603B">
        <w:noBreakHyphen/>
      </w:r>
      <w:r w:rsidRPr="001F603A">
        <w:t>Geral da Ucrânia na conceção de uma formação sobre informações de fonte aberta, bem como de ter, sempre que possível, oferecido lugares adicionais aos participantes ucranianos nas atividades de formação;</w:t>
      </w:r>
    </w:p>
    <w:p w:rsidR="00A868C4" w:rsidRPr="001F603A" w:rsidRDefault="00063D81" w:rsidP="005729E0">
      <w:pPr>
        <w:pStyle w:val="NormalHanging12a"/>
        <w:ind w:left="560" w:hanging="560"/>
      </w:pPr>
      <w:r w:rsidRPr="001F603A">
        <w:t>8.</w:t>
      </w:r>
      <w:r w:rsidRPr="001F603A">
        <w:tab/>
        <w:t>Regista a sólida cooperação da CEPOL com países terceiros, agências, organismos e redes da UE, em particular com a Europol, a Eurojust, a Frontex, a REFJ, a Comissão Europeia, o OEDT, o IPIUE, a FRA e o EASO e com organizações internacionais, como a Interpol.</w:t>
      </w:r>
    </w:p>
    <w:p w:rsidR="0009622E" w:rsidRPr="001F603A" w:rsidRDefault="0009622E" w:rsidP="005729E0">
      <w:r w:rsidRPr="001F603A">
        <w:br w:type="page"/>
      </w:r>
    </w:p>
    <w:p w:rsidR="0009622E" w:rsidRPr="001F603A" w:rsidRDefault="0009622E" w:rsidP="0009622E">
      <w:pPr>
        <w:pStyle w:val="PageHeadingNotTOC"/>
      </w:pPr>
      <w:bookmarkStart w:id="1" w:name="ProcPageAD"/>
      <w:r w:rsidRPr="001F603A">
        <w:lastRenderedPageBreak/>
        <w:t>INFORMAÇÕES SOBRE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9622E" w:rsidRPr="001F603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b/>
                <w:bCs/>
                <w:color w:val="000000"/>
                <w:sz w:val="20"/>
              </w:rPr>
            </w:pPr>
            <w:r w:rsidRPr="001F603A">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1F603A"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9622E" w:rsidRPr="001F603A" w:rsidRDefault="000962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rFonts w:ascii="sans-serif" w:hAnsi="sans-serif" w:cs="sans-serif"/>
                <w:color w:val="000000"/>
                <w:szCs w:val="24"/>
              </w:rPr>
            </w:pPr>
          </w:p>
        </w:tc>
      </w:tr>
      <w:tr w:rsidR="0009622E" w:rsidRPr="001F603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b/>
                <w:bCs/>
                <w:color w:val="000000"/>
                <w:sz w:val="20"/>
              </w:rPr>
            </w:pPr>
            <w:r w:rsidRPr="001F603A">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w:t>
            </w:r>
          </w:p>
          <w:p w:rsidR="0009622E" w:rsidRPr="001F603A" w:rsidRDefault="0009622E">
            <w:pPr>
              <w:autoSpaceDE w:val="0"/>
              <w:autoSpaceDN w:val="0"/>
              <w:adjustRightInd w:val="0"/>
              <w:rPr>
                <w:color w:val="000000"/>
                <w:sz w:val="20"/>
              </w:rPr>
            </w:pPr>
            <w:r w:rsidRPr="001F603A">
              <w:rPr>
                <w:color w:val="000000"/>
                <w:sz w:val="20"/>
              </w:rPr>
              <w:t>–:</w:t>
            </w:r>
          </w:p>
          <w:p w:rsidR="0009622E" w:rsidRPr="001F603A" w:rsidRDefault="0009622E">
            <w:pPr>
              <w:autoSpaceDE w:val="0"/>
              <w:autoSpaceDN w:val="0"/>
              <w:adjustRightInd w:val="0"/>
              <w:rPr>
                <w:color w:val="000000"/>
                <w:sz w:val="20"/>
              </w:rPr>
            </w:pPr>
            <w:r w:rsidRPr="001F603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51</w:t>
            </w:r>
          </w:p>
          <w:p w:rsidR="0009622E" w:rsidRPr="001F603A" w:rsidRDefault="0009622E">
            <w:pPr>
              <w:autoSpaceDE w:val="0"/>
              <w:autoSpaceDN w:val="0"/>
              <w:adjustRightInd w:val="0"/>
              <w:rPr>
                <w:color w:val="000000"/>
                <w:sz w:val="20"/>
              </w:rPr>
            </w:pPr>
            <w:r w:rsidRPr="001F603A">
              <w:rPr>
                <w:color w:val="000000"/>
                <w:sz w:val="20"/>
              </w:rPr>
              <w:t>1</w:t>
            </w:r>
          </w:p>
          <w:p w:rsidR="0009622E" w:rsidRPr="001F603A" w:rsidRDefault="0009622E">
            <w:pPr>
              <w:autoSpaceDE w:val="0"/>
              <w:autoSpaceDN w:val="0"/>
              <w:adjustRightInd w:val="0"/>
              <w:rPr>
                <w:color w:val="000000"/>
                <w:sz w:val="20"/>
              </w:rPr>
            </w:pPr>
            <w:r w:rsidRPr="001F603A">
              <w:rPr>
                <w:color w:val="000000"/>
                <w:sz w:val="20"/>
              </w:rPr>
              <w:t>3</w:t>
            </w:r>
          </w:p>
        </w:tc>
      </w:tr>
      <w:tr w:rsidR="0009622E" w:rsidRPr="001F603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b/>
                <w:bCs/>
                <w:color w:val="000000"/>
                <w:sz w:val="20"/>
              </w:rPr>
            </w:pPr>
            <w:r w:rsidRPr="001F603A">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Abir Al</w:t>
            </w:r>
            <w:r w:rsidR="00F4603B">
              <w:rPr>
                <w:color w:val="000000"/>
                <w:sz w:val="20"/>
              </w:rPr>
              <w:noBreakHyphen/>
            </w:r>
            <w:r w:rsidRPr="001F603A">
              <w:rPr>
                <w:color w:val="000000"/>
                <w:sz w:val="20"/>
              </w:rPr>
              <w:t>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w:t>
            </w:r>
            <w:r w:rsidR="00F4603B">
              <w:rPr>
                <w:color w:val="000000"/>
                <w:sz w:val="20"/>
              </w:rPr>
              <w:noBreakHyphen/>
            </w:r>
            <w:r w:rsidRPr="001F603A">
              <w:rPr>
                <w:color w:val="000000"/>
                <w:sz w:val="20"/>
              </w:rPr>
              <w:t>Vrionidi, Javier Zarzalejos</w:t>
            </w:r>
          </w:p>
        </w:tc>
      </w:tr>
      <w:tr w:rsidR="0009622E" w:rsidRPr="001F603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b/>
                <w:bCs/>
                <w:color w:val="000000"/>
                <w:sz w:val="20"/>
              </w:rPr>
            </w:pPr>
            <w:r w:rsidRPr="001F603A">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Cyrus Engerer, José Gusmão, Beata Kempa, Leopoldo López Gil, Janina Ochojska, Anne</w:t>
            </w:r>
            <w:r w:rsidR="00F4603B">
              <w:rPr>
                <w:color w:val="000000"/>
                <w:sz w:val="20"/>
              </w:rPr>
              <w:noBreakHyphen/>
            </w:r>
            <w:r w:rsidRPr="001F603A">
              <w:rPr>
                <w:color w:val="000000"/>
                <w:sz w:val="20"/>
              </w:rPr>
              <w:t>Sophie Pelletier, Bergur Løkke Rasmussen, Róża Thun und Hohenstein, Maria Walsh, Tomáš Zdechovský</w:t>
            </w:r>
          </w:p>
        </w:tc>
      </w:tr>
      <w:tr w:rsidR="0009622E" w:rsidRPr="001F603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b/>
                <w:bCs/>
                <w:color w:val="000000"/>
                <w:sz w:val="20"/>
              </w:rPr>
            </w:pPr>
            <w:r w:rsidRPr="001F603A">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9622E" w:rsidRPr="001F603A" w:rsidRDefault="0009622E">
            <w:pPr>
              <w:autoSpaceDE w:val="0"/>
              <w:autoSpaceDN w:val="0"/>
              <w:adjustRightInd w:val="0"/>
              <w:rPr>
                <w:color w:val="000000"/>
                <w:sz w:val="20"/>
              </w:rPr>
            </w:pPr>
            <w:r w:rsidRPr="001F603A">
              <w:rPr>
                <w:color w:val="000000"/>
                <w:sz w:val="20"/>
              </w:rPr>
              <w:t>Andrus Ansip, Hildegard Bentele, Maria da Graça Carvalho, Marisa Matias, Caroline Nagtegaal</w:t>
            </w:r>
          </w:p>
        </w:tc>
      </w:tr>
    </w:tbl>
    <w:p w:rsidR="0009622E" w:rsidRPr="001F603A" w:rsidRDefault="0009622E"/>
    <w:p w:rsidR="00155807" w:rsidRPr="001F603A" w:rsidRDefault="00155807" w:rsidP="0009622E">
      <w:pPr>
        <w:sectPr w:rsidR="00155807" w:rsidRPr="001F603A" w:rsidSect="001F60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bookmarkStart w:id="2" w:name="_GoBack"/>
      <w:bookmarkEnd w:id="1"/>
      <w:bookmarkEnd w:id="2"/>
    </w:p>
    <w:p w:rsidR="00155807" w:rsidRPr="001F603A" w:rsidRDefault="00155807" w:rsidP="002B2C72">
      <w:pPr>
        <w:pStyle w:val="PageHeadingNotTOC"/>
        <w:rPr>
          <w:noProof/>
        </w:rPr>
      </w:pPr>
      <w:bookmarkStart w:id="3" w:name="FootprintPageAD"/>
      <w:r w:rsidRPr="001F603A">
        <w:lastRenderedPageBreak/>
        <w:t>ANEXO ENTIDADES OU PESSOAS SINGULARES DE QUEM O RELATOR RECEBEU CONTRIBUTOS</w:t>
      </w:r>
    </w:p>
    <w:p w:rsidR="00155807" w:rsidRPr="001F603A" w:rsidRDefault="00155807" w:rsidP="00037518">
      <w:pPr>
        <w:pStyle w:val="Normal24a"/>
      </w:pPr>
      <w:r w:rsidRPr="001F603A">
        <w:rPr>
          <w:rStyle w:val="HideTWBExt"/>
        </w:rPr>
        <w:t>&lt;FootprintIntro&gt;</w:t>
      </w:r>
      <w:r w:rsidRPr="001F603A">
        <w:t>O relator declara, sob a sua responsabilidade exclusiva, não ter recebido quaisquer contributos de entidades ou pessoas singulares que, em virtude do artigo 8.º do anexo I do Regimento, devessem ser indicadas no presente anexo.</w:t>
      </w:r>
      <w:r w:rsidRPr="001F603A">
        <w:rPr>
          <w:rStyle w:val="HideTWBExt"/>
        </w:rPr>
        <w:t>&lt;/FootprintIntro&gt;</w:t>
      </w:r>
    </w:p>
    <w:p w:rsidR="00155807" w:rsidRPr="001F603A" w:rsidRDefault="00155807" w:rsidP="00AD5932"/>
    <w:p w:rsidR="00155807" w:rsidRPr="001F603A" w:rsidRDefault="00155807" w:rsidP="00155807"/>
    <w:bookmarkEnd w:id="3"/>
    <w:p w:rsidR="00155807" w:rsidRPr="001F603A" w:rsidRDefault="00155807" w:rsidP="0009622E">
      <w:pPr>
        <w:sectPr w:rsidR="00155807" w:rsidRPr="001F603A" w:rsidSect="001558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0CEB" w:rsidRPr="001F603A" w:rsidRDefault="00A262B4" w:rsidP="0009622E">
      <w:pPr>
        <w:pStyle w:val="PageHeadingNotTOC"/>
      </w:pPr>
      <w:bookmarkStart w:id="4" w:name="RollCallPageAD"/>
      <w:r w:rsidRPr="001F603A">
        <w:lastRenderedPageBreak/>
        <w:t>VOTAÇÃO NOMINAL FINAL DA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1F603A" w:rsidTr="008920AC">
        <w:trPr>
          <w:cantSplit/>
        </w:trPr>
        <w:tc>
          <w:tcPr>
            <w:tcW w:w="1701" w:type="dxa"/>
            <w:shd w:val="pct10" w:color="000000" w:fill="FFFFFF"/>
            <w:vAlign w:val="center"/>
          </w:tcPr>
          <w:p w:rsidR="00080CEB" w:rsidRPr="001F603A" w:rsidRDefault="00080CEB" w:rsidP="003858C5">
            <w:pPr>
              <w:pStyle w:val="RollCallVotes"/>
            </w:pPr>
            <w:r w:rsidRPr="001F603A">
              <w:t>51</w:t>
            </w:r>
          </w:p>
        </w:tc>
        <w:tc>
          <w:tcPr>
            <w:tcW w:w="7371" w:type="dxa"/>
            <w:shd w:val="pct10" w:color="000000" w:fill="FFFFFF"/>
          </w:tcPr>
          <w:p w:rsidR="00080CEB" w:rsidRPr="001F603A" w:rsidRDefault="00080CEB" w:rsidP="003858C5">
            <w:pPr>
              <w:pStyle w:val="RollCallSymbols14pt"/>
            </w:pPr>
            <w:r w:rsidRPr="001F603A">
              <w:t>+</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ECR</w:t>
            </w:r>
          </w:p>
        </w:tc>
        <w:tc>
          <w:tcPr>
            <w:tcW w:w="7371" w:type="dxa"/>
            <w:shd w:val="clear" w:color="auto" w:fill="FFFFFF"/>
          </w:tcPr>
          <w:p w:rsidR="00080CEB" w:rsidRPr="001F603A" w:rsidRDefault="00080CEB" w:rsidP="003858C5">
            <w:pPr>
              <w:pStyle w:val="RollCallTable"/>
            </w:pPr>
            <w:r w:rsidRPr="001F603A">
              <w:t>Jorge Buxadé Villalba, Patryk Jaki, Assita Kanko, Beata Kempa, Vincenzo Sofo</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NI</w:t>
            </w:r>
          </w:p>
        </w:tc>
        <w:tc>
          <w:tcPr>
            <w:tcW w:w="7371" w:type="dxa"/>
            <w:shd w:val="clear" w:color="auto" w:fill="FFFFFF"/>
          </w:tcPr>
          <w:p w:rsidR="00080CEB" w:rsidRPr="001F603A" w:rsidRDefault="00080CEB" w:rsidP="003858C5">
            <w:pPr>
              <w:pStyle w:val="RollCallTable"/>
            </w:pPr>
            <w:r w:rsidRPr="001F603A">
              <w:t>Laura Ferrara</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PPE</w:t>
            </w:r>
          </w:p>
        </w:tc>
        <w:tc>
          <w:tcPr>
            <w:tcW w:w="7371" w:type="dxa"/>
            <w:shd w:val="clear" w:color="auto" w:fill="FFFFFF"/>
          </w:tcPr>
          <w:p w:rsidR="00080CEB" w:rsidRPr="001F603A" w:rsidRDefault="00080CEB" w:rsidP="003858C5">
            <w:pPr>
              <w:pStyle w:val="RollCallTable"/>
            </w:pPr>
            <w:r w:rsidRPr="001F603A">
              <w:t>Hildegard Bentele, Maria da Graça Carvalho, Lena Düpont, Andrzej Halicki, Jeroen Lenaers, Leopoldo López Gil, Janina Ochojska, Elissavet Vozemberg</w:t>
            </w:r>
            <w:r w:rsidR="00F4603B">
              <w:noBreakHyphen/>
            </w:r>
            <w:r w:rsidRPr="001F603A">
              <w:t>Vrionidi, Maria Walsh, Javier Zarzalejos, Tomáš Zdechovský</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Renew</w:t>
            </w:r>
          </w:p>
        </w:tc>
        <w:tc>
          <w:tcPr>
            <w:tcW w:w="7371" w:type="dxa"/>
            <w:shd w:val="clear" w:color="auto" w:fill="FFFFFF"/>
          </w:tcPr>
          <w:p w:rsidR="00080CEB" w:rsidRPr="001F603A" w:rsidRDefault="00080CEB" w:rsidP="003858C5">
            <w:pPr>
              <w:pStyle w:val="RollCallTable"/>
            </w:pPr>
            <w:r w:rsidRPr="001F603A">
              <w:t>Abir Al</w:t>
            </w:r>
            <w:r w:rsidR="00F4603B">
              <w:noBreakHyphen/>
            </w:r>
            <w:r w:rsidRPr="001F603A">
              <w:t>Sahlani, Andrus Ansip, Lucia Ďuriš Nicholsonová, Sophia in 't Veld, Moritz Körner, Caroline Nagtegaal, Maite Pagazaurtundúa, Bergur Løkke Rasmussen, Róża Thun und Hohenstein, Jana Toom</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S&amp;D</w:t>
            </w:r>
          </w:p>
        </w:tc>
        <w:tc>
          <w:tcPr>
            <w:tcW w:w="7371" w:type="dxa"/>
            <w:shd w:val="clear" w:color="auto" w:fill="FFFFFF"/>
          </w:tcPr>
          <w:p w:rsidR="00080CEB" w:rsidRPr="001F603A" w:rsidRDefault="00080CEB" w:rsidP="003858C5">
            <w:pPr>
              <w:pStyle w:val="RollCallTable"/>
            </w:pPr>
            <w:r w:rsidRPr="001F603A">
              <w:t>Katarina Barley, Pietro Bartolo, Theresa Bielowski, Cyrus Engerer, Maria Grapini, Sylvie Guillaume, Evin Incir, Marina Kaljurand, Łukasz Kohut, Juan Fernando López Aguilar, Javier Moreno Sánchez, Isabel Santos, Birgit Sippel</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The Left</w:t>
            </w:r>
          </w:p>
        </w:tc>
        <w:tc>
          <w:tcPr>
            <w:tcW w:w="7371" w:type="dxa"/>
            <w:shd w:val="clear" w:color="auto" w:fill="FFFFFF"/>
          </w:tcPr>
          <w:p w:rsidR="00080CEB" w:rsidRPr="001F603A" w:rsidRDefault="00080CEB" w:rsidP="003858C5">
            <w:pPr>
              <w:pStyle w:val="RollCallTable"/>
            </w:pPr>
            <w:r w:rsidRPr="001F603A">
              <w:t>Cornelia Ernst, José Gusmão, Marisa Matias, Anne</w:t>
            </w:r>
            <w:r w:rsidR="00F4603B">
              <w:noBreakHyphen/>
            </w:r>
            <w:r w:rsidRPr="001F603A">
              <w:t>Sophie Pelletier</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Verts/ALE</w:t>
            </w:r>
          </w:p>
        </w:tc>
        <w:tc>
          <w:tcPr>
            <w:tcW w:w="7371" w:type="dxa"/>
            <w:shd w:val="clear" w:color="auto" w:fill="FFFFFF"/>
          </w:tcPr>
          <w:p w:rsidR="00080CEB" w:rsidRPr="001F603A" w:rsidRDefault="00080CEB" w:rsidP="003858C5">
            <w:pPr>
              <w:pStyle w:val="RollCallTable"/>
            </w:pPr>
            <w:r w:rsidRPr="001F603A">
              <w:t>Patrick Breyer, Saskia Bricmont, Damien Carême, Alice Kuhnke, Erik Marquardt, Diana Riba i Giner, Tineke Strik</w:t>
            </w:r>
          </w:p>
        </w:tc>
      </w:tr>
    </w:tbl>
    <w:p w:rsidR="00080CEB" w:rsidRPr="001F603A"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1F603A" w:rsidTr="008920AC">
        <w:trPr>
          <w:cantSplit/>
        </w:trPr>
        <w:tc>
          <w:tcPr>
            <w:tcW w:w="1701" w:type="dxa"/>
            <w:shd w:val="pct10" w:color="000000" w:fill="FFFFFF"/>
            <w:vAlign w:val="center"/>
          </w:tcPr>
          <w:p w:rsidR="00080CEB" w:rsidRPr="001F603A" w:rsidRDefault="00080CEB" w:rsidP="003858C5">
            <w:pPr>
              <w:pStyle w:val="RollCallVotes"/>
            </w:pPr>
            <w:r w:rsidRPr="001F603A">
              <w:t>1</w:t>
            </w:r>
          </w:p>
        </w:tc>
        <w:tc>
          <w:tcPr>
            <w:tcW w:w="7371" w:type="dxa"/>
            <w:shd w:val="pct10" w:color="000000" w:fill="FFFFFF"/>
          </w:tcPr>
          <w:p w:rsidR="00080CEB" w:rsidRPr="001F603A" w:rsidRDefault="00F4603B" w:rsidP="003858C5">
            <w:pPr>
              <w:pStyle w:val="RollCallSymbols14pt"/>
            </w:pPr>
            <w:r>
              <w:noBreakHyphen/>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NI</w:t>
            </w:r>
          </w:p>
        </w:tc>
        <w:tc>
          <w:tcPr>
            <w:tcW w:w="7371" w:type="dxa"/>
            <w:shd w:val="clear" w:color="auto" w:fill="FFFFFF"/>
          </w:tcPr>
          <w:p w:rsidR="00080CEB" w:rsidRPr="001F603A" w:rsidRDefault="00080CEB" w:rsidP="003858C5">
            <w:pPr>
              <w:pStyle w:val="RollCallTable"/>
            </w:pPr>
            <w:r w:rsidRPr="001F603A">
              <w:t>Milan Uhrík</w:t>
            </w:r>
          </w:p>
        </w:tc>
      </w:tr>
    </w:tbl>
    <w:p w:rsidR="00080CEB" w:rsidRPr="001F603A" w:rsidRDefault="00080CE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CEB" w:rsidRPr="001F603A" w:rsidTr="008920AC">
        <w:trPr>
          <w:cantSplit/>
        </w:trPr>
        <w:tc>
          <w:tcPr>
            <w:tcW w:w="1701" w:type="dxa"/>
            <w:shd w:val="pct10" w:color="000000" w:fill="FFFFFF"/>
            <w:vAlign w:val="center"/>
          </w:tcPr>
          <w:p w:rsidR="00080CEB" w:rsidRPr="001F603A" w:rsidRDefault="00080CEB" w:rsidP="003858C5">
            <w:pPr>
              <w:pStyle w:val="RollCallVotes"/>
            </w:pPr>
            <w:r w:rsidRPr="001F603A">
              <w:t>3</w:t>
            </w:r>
          </w:p>
        </w:tc>
        <w:tc>
          <w:tcPr>
            <w:tcW w:w="7371" w:type="dxa"/>
            <w:shd w:val="pct10" w:color="000000" w:fill="FFFFFF"/>
          </w:tcPr>
          <w:p w:rsidR="00080CEB" w:rsidRPr="001F603A" w:rsidRDefault="00080CEB" w:rsidP="003858C5">
            <w:pPr>
              <w:pStyle w:val="RollCallSymbols14pt"/>
            </w:pPr>
            <w:r w:rsidRPr="001F603A">
              <w:t>0</w:t>
            </w:r>
          </w:p>
        </w:tc>
      </w:tr>
      <w:tr w:rsidR="00080CEB" w:rsidRPr="001F603A" w:rsidTr="008920AC">
        <w:trPr>
          <w:cantSplit/>
        </w:trPr>
        <w:tc>
          <w:tcPr>
            <w:tcW w:w="1701" w:type="dxa"/>
            <w:shd w:val="clear" w:color="auto" w:fill="FFFFFF"/>
          </w:tcPr>
          <w:p w:rsidR="00080CEB" w:rsidRPr="001F603A" w:rsidRDefault="00080CEB" w:rsidP="003858C5">
            <w:pPr>
              <w:pStyle w:val="RollCallTable"/>
            </w:pPr>
            <w:r w:rsidRPr="001F603A">
              <w:t>ID</w:t>
            </w:r>
          </w:p>
        </w:tc>
        <w:tc>
          <w:tcPr>
            <w:tcW w:w="7371" w:type="dxa"/>
            <w:shd w:val="clear" w:color="auto" w:fill="FFFFFF"/>
          </w:tcPr>
          <w:p w:rsidR="00080CEB" w:rsidRPr="001F603A" w:rsidRDefault="00080CEB" w:rsidP="003858C5">
            <w:pPr>
              <w:pStyle w:val="RollCallTable"/>
            </w:pPr>
            <w:r w:rsidRPr="001F603A">
              <w:t>Patricia Chagnon, Nicolaus Fest, Tom Vandendriessche</w:t>
            </w:r>
          </w:p>
        </w:tc>
      </w:tr>
    </w:tbl>
    <w:p w:rsidR="00080CEB" w:rsidRPr="001F603A" w:rsidRDefault="00080CEB" w:rsidP="00147FBF">
      <w:pPr>
        <w:pStyle w:val="Normal12a"/>
      </w:pPr>
    </w:p>
    <w:p w:rsidR="00A262B4" w:rsidRPr="001F603A" w:rsidRDefault="00A262B4" w:rsidP="00A262B4">
      <w:r w:rsidRPr="001F603A">
        <w:t>Legenda dos símbolos utilizados:</w:t>
      </w:r>
    </w:p>
    <w:p w:rsidR="00A262B4" w:rsidRPr="001F603A" w:rsidRDefault="00A262B4" w:rsidP="00A262B4">
      <w:r w:rsidRPr="001F603A">
        <w:t>+: votos a favor</w:t>
      </w:r>
    </w:p>
    <w:p w:rsidR="00A262B4" w:rsidRPr="001F603A" w:rsidRDefault="00F4603B" w:rsidP="00A262B4">
      <w:r>
        <w:noBreakHyphen/>
      </w:r>
      <w:r w:rsidR="00A262B4" w:rsidRPr="001F603A">
        <w:t>: contra</w:t>
      </w:r>
    </w:p>
    <w:p w:rsidR="00A262B4" w:rsidRPr="001F603A" w:rsidRDefault="00A262B4" w:rsidP="00A262B4">
      <w:r w:rsidRPr="001F603A">
        <w:t>0: abstenções</w:t>
      </w:r>
    </w:p>
    <w:p w:rsidR="00A262B4" w:rsidRPr="001F603A" w:rsidRDefault="00A262B4" w:rsidP="00A262B4"/>
    <w:bookmarkEnd w:id="4"/>
    <w:p w:rsidR="002E6F98" w:rsidRPr="001F603A" w:rsidRDefault="002E6F98" w:rsidP="00080CEB"/>
    <w:sectPr w:rsidR="002E6F98" w:rsidRPr="001F603A" w:rsidSect="001558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AC" w:rsidRPr="001F603A" w:rsidRDefault="00C70BAC">
      <w:r w:rsidRPr="001F603A">
        <w:separator/>
      </w:r>
    </w:p>
  </w:endnote>
  <w:endnote w:type="continuationSeparator" w:id="0">
    <w:p w:rsidR="00C70BAC" w:rsidRPr="001F603A" w:rsidRDefault="00C70BAC">
      <w:r w:rsidRPr="001F60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03A" w:rsidRPr="001F603A" w:rsidRDefault="001F603A" w:rsidP="001F603A">
    <w:pPr>
      <w:pStyle w:val="EPFooter"/>
    </w:pPr>
    <w:r w:rsidRPr="001F603A">
      <w:t>PE</w:t>
    </w:r>
    <w:r w:rsidRPr="001F603A">
      <w:rPr>
        <w:rStyle w:val="HideTWBExt"/>
      </w:rPr>
      <w:t>&lt;NoPE&gt;</w:t>
    </w:r>
    <w:r w:rsidRPr="001F603A">
      <w:t>756.191</w:t>
    </w:r>
    <w:r w:rsidRPr="001F603A">
      <w:rPr>
        <w:rStyle w:val="HideTWBExt"/>
      </w:rPr>
      <w:t>&lt;/NoPE&gt;&lt;Version&gt;</w:t>
    </w:r>
    <w:r w:rsidRPr="001F603A">
      <w:t>v03</w:t>
    </w:r>
    <w:r w:rsidR="00F4603B">
      <w:noBreakHyphen/>
    </w:r>
    <w:r w:rsidRPr="001F603A">
      <w:t>00</w:t>
    </w:r>
    <w:r w:rsidRPr="001F603A">
      <w:rPr>
        <w:rStyle w:val="HideTWBExt"/>
      </w:rPr>
      <w:t>&lt;/Version&gt;</w:t>
    </w:r>
    <w:r w:rsidRPr="001F603A">
      <w:tab/>
    </w:r>
    <w:r w:rsidRPr="001F603A">
      <w:fldChar w:fldCharType="begin"/>
    </w:r>
    <w:r w:rsidRPr="001F603A">
      <w:instrText xml:space="preserve"> PAGE  \* MERGEFORMAT </w:instrText>
    </w:r>
    <w:r w:rsidRPr="001F603A">
      <w:fldChar w:fldCharType="separate"/>
    </w:r>
    <w:r w:rsidR="002A47C2">
      <w:rPr>
        <w:noProof/>
      </w:rPr>
      <w:t>6</w:t>
    </w:r>
    <w:r w:rsidRPr="001F603A">
      <w:fldChar w:fldCharType="end"/>
    </w:r>
    <w:r w:rsidRPr="001F603A">
      <w:t>/</w:t>
    </w:r>
    <w:fldSimple w:instr=" NUMPAGES  \* MERGEFORMAT ">
      <w:r w:rsidR="002A47C2">
        <w:rPr>
          <w:noProof/>
        </w:rPr>
        <w:t>7</w:t>
      </w:r>
    </w:fldSimple>
    <w:r w:rsidRPr="001F603A">
      <w:tab/>
    </w:r>
    <w:r w:rsidRPr="001F603A">
      <w:rPr>
        <w:rStyle w:val="HideTWBExt"/>
      </w:rPr>
      <w:t>&lt;PathFdR&gt;</w:t>
    </w:r>
    <w:r w:rsidRPr="001F603A">
      <w:t>AD\1295224PT.docx</w:t>
    </w:r>
    <w:r w:rsidRPr="001F603A">
      <w:rPr>
        <w:rStyle w:val="HideTWBExt"/>
      </w:rPr>
      <w:t>&lt;/PathFdR&gt;</w:t>
    </w:r>
  </w:p>
  <w:p w:rsidR="002E2F2E" w:rsidRPr="001F603A" w:rsidRDefault="001F603A" w:rsidP="001F603A">
    <w:pPr>
      <w:pStyle w:val="EPFooter2"/>
    </w:pPr>
    <w:r w:rsidRPr="001F603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03A" w:rsidRPr="001F603A" w:rsidRDefault="001F603A" w:rsidP="001F603A">
    <w:pPr>
      <w:pStyle w:val="EPFooter"/>
    </w:pPr>
    <w:r w:rsidRPr="001F603A">
      <w:rPr>
        <w:rStyle w:val="HideTWBExt"/>
      </w:rPr>
      <w:t>&lt;PathFdR&gt;</w:t>
    </w:r>
    <w:r w:rsidRPr="001F603A">
      <w:t>AD\1295224PT.docx</w:t>
    </w:r>
    <w:r w:rsidRPr="001F603A">
      <w:rPr>
        <w:rStyle w:val="HideTWBExt"/>
      </w:rPr>
      <w:t>&lt;/PathFdR&gt;</w:t>
    </w:r>
    <w:r w:rsidRPr="001F603A">
      <w:tab/>
    </w:r>
    <w:r w:rsidRPr="001F603A">
      <w:fldChar w:fldCharType="begin"/>
    </w:r>
    <w:r w:rsidRPr="001F603A">
      <w:instrText xml:space="preserve"> PAGE  \* MERGEFORMAT </w:instrText>
    </w:r>
    <w:r w:rsidRPr="001F603A">
      <w:fldChar w:fldCharType="separate"/>
    </w:r>
    <w:r w:rsidR="002A47C2">
      <w:rPr>
        <w:noProof/>
      </w:rPr>
      <w:t>5</w:t>
    </w:r>
    <w:r w:rsidRPr="001F603A">
      <w:fldChar w:fldCharType="end"/>
    </w:r>
    <w:r w:rsidRPr="001F603A">
      <w:t>/</w:t>
    </w:r>
    <w:fldSimple w:instr=" NUMPAGES  \* MERGEFORMAT ">
      <w:r w:rsidR="002A47C2">
        <w:rPr>
          <w:noProof/>
        </w:rPr>
        <w:t>7</w:t>
      </w:r>
    </w:fldSimple>
    <w:r w:rsidRPr="001F603A">
      <w:tab/>
      <w:t>PE</w:t>
    </w:r>
    <w:r w:rsidRPr="001F603A">
      <w:rPr>
        <w:rStyle w:val="HideTWBExt"/>
      </w:rPr>
      <w:t>&lt;NoPE&gt;</w:t>
    </w:r>
    <w:r w:rsidRPr="001F603A">
      <w:t>756.191</w:t>
    </w:r>
    <w:r w:rsidRPr="001F603A">
      <w:rPr>
        <w:rStyle w:val="HideTWBExt"/>
      </w:rPr>
      <w:t>&lt;/NoPE&gt;&lt;Version&gt;</w:t>
    </w:r>
    <w:r w:rsidRPr="001F603A">
      <w:t>v03</w:t>
    </w:r>
    <w:r w:rsidR="00F4603B">
      <w:noBreakHyphen/>
    </w:r>
    <w:r w:rsidRPr="001F603A">
      <w:t>00</w:t>
    </w:r>
    <w:r w:rsidRPr="001F603A">
      <w:rPr>
        <w:rStyle w:val="HideTWBExt"/>
      </w:rPr>
      <w:t>&lt;/Version&gt;</w:t>
    </w:r>
  </w:p>
  <w:p w:rsidR="002E2F2E" w:rsidRPr="001F603A" w:rsidRDefault="001F603A" w:rsidP="001F603A">
    <w:pPr>
      <w:pStyle w:val="EPFooter2"/>
    </w:pPr>
    <w:r w:rsidRPr="001F603A">
      <w:tab/>
    </w:r>
    <w:r w:rsidRPr="001F603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03A" w:rsidRPr="001F603A" w:rsidRDefault="001F603A" w:rsidP="001F603A">
    <w:pPr>
      <w:pStyle w:val="EPFooter"/>
    </w:pPr>
    <w:r w:rsidRPr="001F603A">
      <w:rPr>
        <w:rStyle w:val="HideTWBExt"/>
      </w:rPr>
      <w:t>&lt;PathFdR&gt;</w:t>
    </w:r>
    <w:r w:rsidRPr="001F603A">
      <w:t>AD\1295224PT.docx</w:t>
    </w:r>
    <w:r w:rsidRPr="001F603A">
      <w:rPr>
        <w:rStyle w:val="HideTWBExt"/>
      </w:rPr>
      <w:t>&lt;/PathFdR&gt;</w:t>
    </w:r>
    <w:r w:rsidRPr="001F603A">
      <w:tab/>
    </w:r>
    <w:r w:rsidRPr="001F603A">
      <w:tab/>
      <w:t>PE</w:t>
    </w:r>
    <w:r w:rsidRPr="001F603A">
      <w:rPr>
        <w:rStyle w:val="HideTWBExt"/>
      </w:rPr>
      <w:t>&lt;NoPE&gt;</w:t>
    </w:r>
    <w:r w:rsidRPr="001F603A">
      <w:t>756.191</w:t>
    </w:r>
    <w:r w:rsidRPr="001F603A">
      <w:rPr>
        <w:rStyle w:val="HideTWBExt"/>
      </w:rPr>
      <w:t>&lt;/NoPE&gt;&lt;Version&gt;</w:t>
    </w:r>
    <w:r w:rsidRPr="001F603A">
      <w:t>v03</w:t>
    </w:r>
    <w:r w:rsidR="00F4603B">
      <w:noBreakHyphen/>
    </w:r>
    <w:r w:rsidRPr="001F603A">
      <w:t>00</w:t>
    </w:r>
    <w:r w:rsidRPr="001F603A">
      <w:rPr>
        <w:rStyle w:val="HideTWBExt"/>
      </w:rPr>
      <w:t>&lt;/Version&gt;</w:t>
    </w:r>
  </w:p>
  <w:p w:rsidR="002E2F2E" w:rsidRPr="001F603A" w:rsidRDefault="001F603A" w:rsidP="001F603A">
    <w:pPr>
      <w:pStyle w:val="EPFooter2"/>
    </w:pPr>
    <w:r w:rsidRPr="001F603A">
      <w:t>PT</w:t>
    </w:r>
    <w:r w:rsidRPr="001F603A">
      <w:tab/>
    </w:r>
    <w:r w:rsidRPr="001F603A">
      <w:rPr>
        <w:b w:val="0"/>
        <w:i/>
        <w:color w:val="C0C0C0"/>
        <w:sz w:val="22"/>
      </w:rPr>
      <w:t>Unida na diversidade</w:t>
    </w:r>
    <w:r w:rsidRPr="001F603A">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AC" w:rsidRPr="001F603A" w:rsidRDefault="00C70BAC">
      <w:r w:rsidRPr="001F603A">
        <w:separator/>
      </w:r>
    </w:p>
  </w:footnote>
  <w:footnote w:type="continuationSeparator" w:id="0">
    <w:p w:rsidR="00C70BAC" w:rsidRPr="001F603A" w:rsidRDefault="00C70BAC">
      <w:r w:rsidRPr="001F60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03B" w:rsidRDefault="00F46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03B" w:rsidRDefault="00F46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03B" w:rsidRDefault="00F46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126715 HideTWBInt;}{_x000d__x000a_\s18\ql \fi-567\li567\ri0\sa240\nowidctlpar\wrapdefault\aspalpha\aspnum\faauto\adjustright\rin0\lin567\itap0 \rtlch\fcs1 \af0\afs20\alang1025 \ltrch\fcs0 \fs24\lang2057\langfe2057\cgrid\langnp2057\langfenp2057 _x000d__x000a_\sbasedon0 \snext18 \spriority0 \styrsid5126715 NormalHanging12a;}}{\*\rsidtbl \rsid24658\rsid223860\rsid735077\rsid1718133\rsid2892074\rsid3565327\rsid3674976\rsid4666813\rsid512671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2\min39}{\revtim\yr2024\mo1\dy19\hr12\min39}{\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671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3674976 \chftnsep _x000d__x000a_\par }}{\*\ftnsepc \ltrpar \pard\plain \ltrpar\ql \li0\ri0\widctlpar\wrapdefault\aspalpha\aspnum\faauto\adjustright\rin0\lin0\itap0 \rtlch\fcs1 \af0\afs20\alang1025 \ltrch\fcs0 \fs24\lang2057\langfe2057\cgrid\langnp2057\langfenp2057 {\rtlch\fcs1 \af0 _x000d__x000a_\ltrch\fcs0 \insrsid3674976 \chftnsepc _x000d__x000a_\par }}{\*\aftnsep \ltrpar \pard\plain \ltrpar\ql \li0\ri0\widctlpar\wrapdefault\aspalpha\aspnum\faauto\adjustright\rin0\lin0\itap0 \rtlch\fcs1 \af0\afs20\alang1025 \ltrch\fcs0 \fs24\lang2057\langfe2057\cgrid\langnp2057\langfenp2057 {\rtlch\fcs1 \af0 _x000d__x000a_\ltrch\fcs0 \insrsid3674976 \chftnsep _x000d__x000a_\par }}{\*\aftnsepc \ltrpar \pard\plain \ltrpar\ql \li0\ri0\widctlpar\wrapdefault\aspalpha\aspnum\faauto\adjustright\rin0\lin0\itap0 \rtlch\fcs1 \af0\afs20\alang1025 \ltrch\fcs0 \fs24\lang2057\langfe2057\cgrid\langnp2057\langfenp2057 {\rtlch\fcs1 \af0 _x000d__x000a_\ltrch\fcs0 \insrsid367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126715 \rtlch\fcs1 \af0\afs20\alang1025 \ltrch\fcs0 \fs24\lang2057\langfe2057\cgrid\langnp2057\langfenp2057 {\rtlch\fcs1 \af0 _x000d__x000a_\ltrch\fcs0 \insrsid5126715\charrsid13044652 {\*\bkmkstart restart}#}{\rtlch\fcs1 \af1 \ltrch\fcs0 \cs17\v\f1\fs20\cf15\insrsid5126715\charrsid13044652 NRMSG}{\rtlch\fcs1 \af0 \ltrch\fcs0 \insrsid5126715\charrsid13044652 #.\tab ##}{\rtlch\fcs1 \af0 _x000d__x000a_\ltrch\fcs0 \insrsid512671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e_x000d__x000a_0231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677518 NormalHanging12a;}}{\*\rsidtbl \rsid24658\rsid223860\rsid735077\rsid1718133\rsid2892074\rsid3565327\rsid4391474\rsid4666813\rsid467751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2\min39}{\revtim\yr2024\mo1\dy19\hr12\min3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751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391474 \chftnsep _x000d__x000a_\par }}{\*\ftnsepc \ltrpar \pard\plain \ltrpar\ql \li0\ri0\widctlpar\wrapdefault\aspalpha\aspnum\faauto\adjustright\rin0\lin0\itap0 \rtlch\fcs1 \af0\afs20\alang1025 \ltrch\fcs0 \fs24\lang2057\langfe2057\cgrid\langnp2057\langfenp2057 {\rtlch\fcs1 \af0 _x000d__x000a_\ltrch\fcs0 \insrsid4391474 \chftnsepc _x000d__x000a_\par }}{\*\aftnsep \ltrpar \pard\plain \ltrpar\ql \li0\ri0\widctlpar\wrapdefault\aspalpha\aspnum\faauto\adjustright\rin0\lin0\itap0 \rtlch\fcs1 \af0\afs20\alang1025 \ltrch\fcs0 \fs24\lang2057\langfe2057\cgrid\langnp2057\langfenp2057 {\rtlch\fcs1 \af0 _x000d__x000a_\ltrch\fcs0 \insrsid4391474 \chftnsep _x000d__x000a_\par }}{\*\aftnsepc \ltrpar \pard\plain \ltrpar\ql \li0\ri0\widctlpar\wrapdefault\aspalpha\aspnum\faauto\adjustright\rin0\lin0\itap0 \rtlch\fcs1 \af0\afs20\alang1025 \ltrch\fcs0 \fs24\lang2057\langfe2057\cgrid\langnp2057\langfenp2057 {\rtlch\fcs1 \af0 _x000d__x000a_\ltrch\fcs0 \insrsid4391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677518 \rtlch\fcs1 \af0\afs20\alang1025 \ltrch\fcs0 \fs24\lang2057\langfe2057\cgrid\langnp2057\langfenp2057 {\rtlch\fcs1 \af0 _x000d__x000a_\ltrch\fcs0 \insrsid4677518\charrsid1525456 {\*\bkmkstart restart}[ZSUGGESTIONNR]\tab [ZSUGGESTIONTEXT]}{\rtlch\fcs1 \af0 \ltrch\fcs0 \insrsid46775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b033cc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191"/>
    <w:docVar w:name="TXTNRPROC" w:val="2023/2144"/>
    <w:docVar w:name="TXTPEorAP" w:val="PE"/>
    <w:docVar w:name="TXTROUTE" w:val="AD\1295224EN.docx"/>
    <w:docVar w:name="TXTTITLE" w:val="of the European Union Agency for Law Enforcement Training (CEPOL) for the financial year 2022"/>
    <w:docVar w:name="TXTVERSION" w:val="03-00"/>
  </w:docVars>
  <w:rsids>
    <w:rsidRoot w:val="00C70BAC"/>
    <w:rsid w:val="00063D81"/>
    <w:rsid w:val="00080CEB"/>
    <w:rsid w:val="0009622E"/>
    <w:rsid w:val="000E7EBF"/>
    <w:rsid w:val="00124F60"/>
    <w:rsid w:val="00135121"/>
    <w:rsid w:val="00140BE6"/>
    <w:rsid w:val="00147F4E"/>
    <w:rsid w:val="00155807"/>
    <w:rsid w:val="0016635E"/>
    <w:rsid w:val="001746D0"/>
    <w:rsid w:val="001A5D8D"/>
    <w:rsid w:val="001B7393"/>
    <w:rsid w:val="001D2ED9"/>
    <w:rsid w:val="001F21C1"/>
    <w:rsid w:val="001F603A"/>
    <w:rsid w:val="002A47C2"/>
    <w:rsid w:val="002D28A7"/>
    <w:rsid w:val="002E2F2E"/>
    <w:rsid w:val="002E5E51"/>
    <w:rsid w:val="002E6F98"/>
    <w:rsid w:val="002F079D"/>
    <w:rsid w:val="00310677"/>
    <w:rsid w:val="00325BCB"/>
    <w:rsid w:val="00331944"/>
    <w:rsid w:val="00332AD9"/>
    <w:rsid w:val="00347D2C"/>
    <w:rsid w:val="0037356F"/>
    <w:rsid w:val="00390EB2"/>
    <w:rsid w:val="00396A0E"/>
    <w:rsid w:val="003E2402"/>
    <w:rsid w:val="003F701A"/>
    <w:rsid w:val="004950FF"/>
    <w:rsid w:val="004C28FB"/>
    <w:rsid w:val="004C44C0"/>
    <w:rsid w:val="004F6E5D"/>
    <w:rsid w:val="0051119D"/>
    <w:rsid w:val="0052544E"/>
    <w:rsid w:val="005729E0"/>
    <w:rsid w:val="0058163B"/>
    <w:rsid w:val="005940C3"/>
    <w:rsid w:val="00594C48"/>
    <w:rsid w:val="005B2F11"/>
    <w:rsid w:val="005C0BDF"/>
    <w:rsid w:val="005D60C6"/>
    <w:rsid w:val="006102E7"/>
    <w:rsid w:val="00640C1B"/>
    <w:rsid w:val="00657AFB"/>
    <w:rsid w:val="006D5BF7"/>
    <w:rsid w:val="008313E7"/>
    <w:rsid w:val="00854CAC"/>
    <w:rsid w:val="00885F0F"/>
    <w:rsid w:val="008A32C5"/>
    <w:rsid w:val="008C0D74"/>
    <w:rsid w:val="008C6203"/>
    <w:rsid w:val="008D61E7"/>
    <w:rsid w:val="008F7002"/>
    <w:rsid w:val="0099493F"/>
    <w:rsid w:val="009E4314"/>
    <w:rsid w:val="00A16BEA"/>
    <w:rsid w:val="00A262B4"/>
    <w:rsid w:val="00A312B3"/>
    <w:rsid w:val="00A72C35"/>
    <w:rsid w:val="00A868C4"/>
    <w:rsid w:val="00AE180F"/>
    <w:rsid w:val="00B362F7"/>
    <w:rsid w:val="00B5456B"/>
    <w:rsid w:val="00B74A14"/>
    <w:rsid w:val="00B74B53"/>
    <w:rsid w:val="00BC26E4"/>
    <w:rsid w:val="00BD1EAA"/>
    <w:rsid w:val="00C52739"/>
    <w:rsid w:val="00C70BAC"/>
    <w:rsid w:val="00C827FF"/>
    <w:rsid w:val="00CC7EAB"/>
    <w:rsid w:val="00CD34AC"/>
    <w:rsid w:val="00DE19FF"/>
    <w:rsid w:val="00E81BA6"/>
    <w:rsid w:val="00E856D2"/>
    <w:rsid w:val="00E929A7"/>
    <w:rsid w:val="00F352E6"/>
    <w:rsid w:val="00F4603B"/>
    <w:rsid w:val="00F603B2"/>
    <w:rsid w:val="00FA2781"/>
    <w:rsid w:val="00FC6460"/>
    <w:rsid w:val="00FD0625"/>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43BA7F5D-697F-4A6E-87C9-5303FED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F079D"/>
    <w:pPr>
      <w:tabs>
        <w:tab w:val="center" w:pos="4513"/>
        <w:tab w:val="right" w:pos="9026"/>
      </w:tabs>
    </w:pPr>
  </w:style>
  <w:style w:type="character" w:customStyle="1" w:styleId="FooterChar">
    <w:name w:val="Footer Char"/>
    <w:basedOn w:val="DefaultParagraphFont"/>
    <w:link w:val="Footer"/>
    <w:semiHidden/>
    <w:rsid w:val="002F079D"/>
    <w:rPr>
      <w:sz w:val="24"/>
    </w:rPr>
  </w:style>
  <w:style w:type="paragraph" w:styleId="BalloonText">
    <w:name w:val="Balloon Text"/>
    <w:basedOn w:val="Normal"/>
    <w:link w:val="BalloonTextChar"/>
    <w:semiHidden/>
    <w:unhideWhenUsed/>
    <w:rsid w:val="00063D81"/>
    <w:rPr>
      <w:rFonts w:ascii="Segoe UI" w:hAnsi="Segoe UI" w:cs="Segoe UI"/>
      <w:sz w:val="18"/>
      <w:szCs w:val="18"/>
    </w:rPr>
  </w:style>
  <w:style w:type="character" w:customStyle="1" w:styleId="BalloonTextChar">
    <w:name w:val="Balloon Text Char"/>
    <w:basedOn w:val="DefaultParagraphFont"/>
    <w:link w:val="BalloonText"/>
    <w:semiHidden/>
    <w:rsid w:val="00063D81"/>
    <w:rPr>
      <w:rFonts w:ascii="Segoe UI" w:hAnsi="Segoe UI" w:cs="Segoe UI"/>
      <w:sz w:val="18"/>
      <w:szCs w:val="18"/>
      <w:lang w:val="pt-PT"/>
    </w:rPr>
  </w:style>
  <w:style w:type="paragraph" w:customStyle="1" w:styleId="RollCallSymbols14pt">
    <w:name w:val="RollCallSymbols14pt"/>
    <w:basedOn w:val="Normal"/>
    <w:rsid w:val="00080C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CEB"/>
    <w:pPr>
      <w:tabs>
        <w:tab w:val="center" w:pos="284"/>
        <w:tab w:val="left" w:pos="426"/>
      </w:tabs>
    </w:pPr>
    <w:rPr>
      <w:snapToGrid w:val="0"/>
      <w:lang w:eastAsia="en-US"/>
    </w:rPr>
  </w:style>
  <w:style w:type="paragraph" w:customStyle="1" w:styleId="RollCallVotes">
    <w:name w:val="RollCallVotes"/>
    <w:basedOn w:val="Normal"/>
    <w:rsid w:val="00080CEB"/>
    <w:pPr>
      <w:spacing w:before="120" w:after="120"/>
      <w:jc w:val="center"/>
    </w:pPr>
    <w:rPr>
      <w:b/>
      <w:bCs/>
      <w:snapToGrid w:val="0"/>
      <w:sz w:val="16"/>
      <w:lang w:eastAsia="en-US"/>
    </w:rPr>
  </w:style>
  <w:style w:type="paragraph" w:customStyle="1" w:styleId="RollCallTable">
    <w:name w:val="RollCallTable"/>
    <w:basedOn w:val="Normal"/>
    <w:rsid w:val="00080CEB"/>
    <w:pPr>
      <w:spacing w:before="120" w:after="120"/>
    </w:pPr>
    <w:rPr>
      <w:snapToGrid w:val="0"/>
      <w:sz w:val="16"/>
      <w:lang w:eastAsia="en-US"/>
    </w:rPr>
  </w:style>
  <w:style w:type="paragraph" w:customStyle="1" w:styleId="Normal24a">
    <w:name w:val="Normal24a"/>
    <w:basedOn w:val="Normal"/>
    <w:rsid w:val="00155807"/>
    <w:pPr>
      <w:spacing w:after="480"/>
    </w:pPr>
  </w:style>
  <w:style w:type="paragraph" w:customStyle="1" w:styleId="NormalBoldCenter">
    <w:name w:val="NormalBoldCenter"/>
    <w:basedOn w:val="Normal"/>
    <w:rsid w:val="0015580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77038-E9FE-4C1C-95DE-5199B3BB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7114</Characters>
  <Application>Microsoft Office Word</Application>
  <DocSecurity>0</DocSecurity>
  <Lines>171</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2024-02-08T11:11:00Z</dcterms:created>
  <dcterms:modified xsi:type="dcterms:W3CDTF">2024-02-08T11:11:00Z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1295224</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AD\1295224PT.docx</vt:lpwstr>
  </property>
  <property fmtid="{D5CDD505-2E9C-101B-9397-08002B2CF9AE}" pid="11" name="PE number">
    <vt:lpwstr>756.191</vt:lpwstr>
  </property>
  <property fmtid="{D5CDD505-2E9C-101B-9397-08002B2CF9AE}" pid="12" name="SendToEpades">
    <vt:lpwstr>OK - 2024/01/25 12:53</vt:lpwstr>
  </property>
  <property fmtid="{D5CDD505-2E9C-101B-9397-08002B2CF9AE}" pid="13" name="SDLStudio">
    <vt:lpwstr/>
  </property>
  <property fmtid="{D5CDD505-2E9C-101B-9397-08002B2CF9AE}" pid="14" name="Bookout">
    <vt:lpwstr>OK - 2024/02/08 12:11</vt:lpwstr>
  </property>
</Properties>
</file>