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6D0901" w:rsidTr="00C85D0F">
        <w:trPr>
          <w:trHeight w:hRule="exact" w:val="1418"/>
        </w:trPr>
        <w:tc>
          <w:tcPr>
            <w:tcW w:w="6804" w:type="dxa"/>
            <w:shd w:val="clear" w:color="auto" w:fill="auto"/>
            <w:vAlign w:val="center"/>
          </w:tcPr>
          <w:p w:rsidR="00854CAC" w:rsidRPr="006D0901" w:rsidRDefault="00D77785" w:rsidP="00C85D0F">
            <w:pPr>
              <w:pStyle w:val="EPName"/>
            </w:pPr>
            <w:r w:rsidRPr="006D0901">
              <w:t>Europa-Parlamentet</w:t>
            </w:r>
          </w:p>
          <w:p w:rsidR="00854CAC" w:rsidRPr="006D0901" w:rsidRDefault="00F25B6E" w:rsidP="00F25B6E">
            <w:pPr>
              <w:pStyle w:val="EPTerm"/>
            </w:pPr>
            <w:r w:rsidRPr="006D0901">
              <w:t>2019-2024</w:t>
            </w:r>
          </w:p>
        </w:tc>
        <w:tc>
          <w:tcPr>
            <w:tcW w:w="2268" w:type="dxa"/>
            <w:shd w:val="clear" w:color="auto" w:fill="auto"/>
          </w:tcPr>
          <w:p w:rsidR="00854CAC" w:rsidRPr="006D0901" w:rsidRDefault="00854CAC" w:rsidP="00C85D0F">
            <w:pPr>
              <w:pStyle w:val="EPLogo"/>
            </w:pPr>
            <w:r w:rsidRPr="006D0901">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6D0901" w:rsidRDefault="001746D0" w:rsidP="001746D0">
      <w:pPr>
        <w:pStyle w:val="LineTop"/>
      </w:pPr>
    </w:p>
    <w:p w:rsidR="001746D0" w:rsidRPr="006D0901" w:rsidRDefault="001746D0" w:rsidP="001746D0">
      <w:pPr>
        <w:pStyle w:val="EPBody"/>
      </w:pPr>
      <w:r w:rsidRPr="006D0901">
        <w:rPr>
          <w:rStyle w:val="HideTWBExt"/>
        </w:rPr>
        <w:t>&lt;</w:t>
      </w:r>
      <w:r w:rsidRPr="006D0901">
        <w:rPr>
          <w:rStyle w:val="HideTWBExt"/>
          <w:i w:val="0"/>
        </w:rPr>
        <w:t>Commission</w:t>
      </w:r>
      <w:r w:rsidRPr="006D0901">
        <w:rPr>
          <w:rStyle w:val="HideTWBExt"/>
        </w:rPr>
        <w:t>&gt;</w:t>
      </w:r>
      <w:r w:rsidRPr="006D0901">
        <w:rPr>
          <w:rStyle w:val="HideTWBInt"/>
        </w:rPr>
        <w:t>{LIBE}</w:t>
      </w:r>
      <w:r w:rsidRPr="006D0901">
        <w:t>Udvalget om Borgernes Rettigheder og Retlige og Indre Anliggender</w:t>
      </w:r>
      <w:r w:rsidRPr="006D0901">
        <w:rPr>
          <w:rStyle w:val="HideTWBExt"/>
        </w:rPr>
        <w:t>&lt;/</w:t>
      </w:r>
      <w:r w:rsidRPr="006D0901">
        <w:rPr>
          <w:rStyle w:val="HideTWBExt"/>
          <w:i w:val="0"/>
        </w:rPr>
        <w:t>Commission</w:t>
      </w:r>
      <w:r w:rsidRPr="006D0901">
        <w:rPr>
          <w:rStyle w:val="HideTWBExt"/>
        </w:rPr>
        <w:t>&gt;</w:t>
      </w:r>
    </w:p>
    <w:p w:rsidR="001746D0" w:rsidRPr="006D0901" w:rsidRDefault="001746D0" w:rsidP="001746D0">
      <w:pPr>
        <w:pStyle w:val="LineBottom"/>
      </w:pPr>
    </w:p>
    <w:p w:rsidR="002E2F2E" w:rsidRPr="006D0901" w:rsidRDefault="002E2F2E">
      <w:pPr>
        <w:pStyle w:val="CoverReference"/>
      </w:pPr>
      <w:r w:rsidRPr="006D0901">
        <w:rPr>
          <w:rStyle w:val="HideTWBExt"/>
          <w:b w:val="0"/>
        </w:rPr>
        <w:t>&lt;RefProc&gt;</w:t>
      </w:r>
      <w:r w:rsidRPr="006D0901">
        <w:t>2023/2164</w:t>
      </w:r>
      <w:r w:rsidRPr="006D0901">
        <w:rPr>
          <w:rStyle w:val="HideTWBExt"/>
          <w:b w:val="0"/>
        </w:rPr>
        <w:t>&lt;/RefProc&gt;&lt;RefTypeProc&gt;</w:t>
      </w:r>
      <w:r w:rsidRPr="006D0901">
        <w:t>(DEC)</w:t>
      </w:r>
      <w:r w:rsidRPr="006D0901">
        <w:rPr>
          <w:rStyle w:val="HideTWBExt"/>
          <w:b w:val="0"/>
        </w:rPr>
        <w:t>&lt;/RefTypeProc&gt;</w:t>
      </w:r>
    </w:p>
    <w:p w:rsidR="002E2F2E" w:rsidRPr="006D0901" w:rsidRDefault="002E2F2E">
      <w:pPr>
        <w:pStyle w:val="CoverDate"/>
      </w:pPr>
      <w:r w:rsidRPr="006D0901">
        <w:rPr>
          <w:rStyle w:val="HideTWBExt"/>
        </w:rPr>
        <w:t>&lt;Date&gt;</w:t>
      </w:r>
      <w:r w:rsidRPr="006D0901">
        <w:rPr>
          <w:rStyle w:val="HideTWBInt"/>
        </w:rPr>
        <w:t>{24/01/2024}</w:t>
      </w:r>
      <w:r w:rsidRPr="006D0901">
        <w:t>24.1.2024</w:t>
      </w:r>
      <w:r w:rsidRPr="006D0901">
        <w:rPr>
          <w:rStyle w:val="HideTWBExt"/>
        </w:rPr>
        <w:t>&lt;/Date&gt;</w:t>
      </w:r>
    </w:p>
    <w:p w:rsidR="002E2F2E" w:rsidRPr="006D0901" w:rsidRDefault="002E2F2E">
      <w:pPr>
        <w:pStyle w:val="CoverDocType24a"/>
      </w:pPr>
      <w:r w:rsidRPr="006D0901">
        <w:rPr>
          <w:rStyle w:val="HideTWBExt"/>
          <w:b w:val="0"/>
        </w:rPr>
        <w:t>&lt;TitreType&gt;</w:t>
      </w:r>
      <w:r w:rsidRPr="006D0901">
        <w:t>UDTALELSE</w:t>
      </w:r>
      <w:r w:rsidRPr="006D0901">
        <w:rPr>
          <w:rStyle w:val="HideTWBExt"/>
          <w:b w:val="0"/>
        </w:rPr>
        <w:t>&lt;/TitreType&gt;</w:t>
      </w:r>
    </w:p>
    <w:p w:rsidR="002E2F2E" w:rsidRPr="006D0901" w:rsidRDefault="002E2F2E">
      <w:pPr>
        <w:pStyle w:val="CoverNormal24a"/>
      </w:pPr>
      <w:r w:rsidRPr="006D0901">
        <w:rPr>
          <w:rStyle w:val="HideTWBExt"/>
        </w:rPr>
        <w:t>&lt;CommissionResp&gt;</w:t>
      </w:r>
      <w:r w:rsidRPr="006D0901">
        <w:t>fra Udvalget om Borgernes Rettigheder og Retlige og Indre Anliggender</w:t>
      </w:r>
      <w:r w:rsidRPr="006D0901">
        <w:rPr>
          <w:rStyle w:val="HideTWBExt"/>
        </w:rPr>
        <w:t>&lt;/CommissionResp&gt;</w:t>
      </w:r>
    </w:p>
    <w:p w:rsidR="002E2F2E" w:rsidRPr="006D0901" w:rsidRDefault="002E2F2E">
      <w:pPr>
        <w:pStyle w:val="CoverNormal24a"/>
      </w:pPr>
      <w:r w:rsidRPr="006D0901">
        <w:rPr>
          <w:rStyle w:val="HideTWBExt"/>
        </w:rPr>
        <w:t>&lt;CommissionInt&gt;</w:t>
      </w:r>
      <w:r w:rsidRPr="006D0901">
        <w:t>til Budgetkontroludvalget</w:t>
      </w:r>
      <w:r w:rsidRPr="006D0901">
        <w:rPr>
          <w:rStyle w:val="HideTWBExt"/>
        </w:rPr>
        <w:t>&lt;/CommissionInt&gt;</w:t>
      </w:r>
    </w:p>
    <w:p w:rsidR="002E2F2E" w:rsidRPr="006D0901" w:rsidRDefault="002E2F2E">
      <w:pPr>
        <w:pStyle w:val="CoverNormal"/>
      </w:pPr>
      <w:r w:rsidRPr="006D0901">
        <w:rPr>
          <w:rStyle w:val="HideTWBExt"/>
        </w:rPr>
        <w:t>&lt;Titre&gt;</w:t>
      </w:r>
      <w:r w:rsidRPr="006D0901">
        <w:t>om decharge for gennemførelsen af budgettet for Den Europæiske Unions Asylagentur (før 19.1.2022 Det Europæiske Asylstøttekontor) for regnskabsåret 2022</w:t>
      </w:r>
      <w:r w:rsidRPr="006D0901">
        <w:rPr>
          <w:rStyle w:val="HideTWBExt"/>
        </w:rPr>
        <w:t>&lt;/Titre&gt;</w:t>
      </w:r>
    </w:p>
    <w:p w:rsidR="002E2F2E" w:rsidRPr="006D0901" w:rsidRDefault="002E2F2E">
      <w:pPr>
        <w:pStyle w:val="CoverNormal24a"/>
      </w:pPr>
      <w:r w:rsidRPr="006D0901">
        <w:rPr>
          <w:rStyle w:val="HideTWBExt"/>
        </w:rPr>
        <w:t>&lt;DocRef&gt;</w:t>
      </w:r>
      <w:r w:rsidRPr="006D0901">
        <w:t>(2023/2164(DEC))</w:t>
      </w:r>
      <w:r w:rsidRPr="006D0901">
        <w:rPr>
          <w:rStyle w:val="HideTWBExt"/>
        </w:rPr>
        <w:t>&lt;/DocRef&gt;</w:t>
      </w:r>
    </w:p>
    <w:p w:rsidR="002E2F2E" w:rsidRPr="006D0901" w:rsidRDefault="00D77785">
      <w:pPr>
        <w:pStyle w:val="CoverNormal24a"/>
      </w:pPr>
      <w:r w:rsidRPr="006D0901">
        <w:t xml:space="preserve">Ordfører for udtalelse: </w:t>
      </w:r>
      <w:r w:rsidRPr="006D0901">
        <w:rPr>
          <w:rStyle w:val="HideTWBExt"/>
        </w:rPr>
        <w:t>&lt;Depute&gt;</w:t>
      </w:r>
      <w:r w:rsidRPr="006D0901">
        <w:t>Tomáš Zdechovský</w:t>
      </w:r>
      <w:r w:rsidRPr="006D0901">
        <w:rPr>
          <w:rStyle w:val="HideTWBExt"/>
        </w:rPr>
        <w:t>&lt;/Depute&gt;</w:t>
      </w:r>
    </w:p>
    <w:p w:rsidR="00A72C35" w:rsidRPr="006D0901" w:rsidRDefault="00A72C35" w:rsidP="00A72C35">
      <w:pPr>
        <w:pStyle w:val="CoverNormal"/>
      </w:pPr>
    </w:p>
    <w:p w:rsidR="002E2F2E" w:rsidRPr="006D0901" w:rsidRDefault="002E2F2E" w:rsidP="00E856D2">
      <w:pPr>
        <w:widowControl/>
        <w:tabs>
          <w:tab w:val="center" w:pos="4677"/>
        </w:tabs>
      </w:pPr>
      <w:r w:rsidRPr="006D0901">
        <w:br w:type="page"/>
      </w:r>
      <w:r w:rsidRPr="006D0901">
        <w:lastRenderedPageBreak/>
        <w:t>PA_NonLeg</w:t>
      </w:r>
    </w:p>
    <w:p w:rsidR="002E2F2E" w:rsidRPr="006D0901" w:rsidRDefault="002E2F2E">
      <w:pPr>
        <w:pStyle w:val="PageHeadingNotTOC"/>
      </w:pPr>
      <w:r w:rsidRPr="006D0901">
        <w:br w:type="page"/>
      </w:r>
      <w:r w:rsidRPr="006D0901">
        <w:lastRenderedPageBreak/>
        <w:t>FORSLAG</w:t>
      </w:r>
    </w:p>
    <w:p w:rsidR="002E2F2E" w:rsidRPr="006D0901" w:rsidRDefault="00D77785" w:rsidP="008313E7">
      <w:pPr>
        <w:pStyle w:val="Normal12a"/>
      </w:pPr>
      <w:r w:rsidRPr="006D0901">
        <w:t>Udvalget om Borgernes Rettigheder og Retlige og Indre Anliggender opfordrer Budgetkontroludvalget, som er korresponderende udvalg, til at optage følgende forslag i det beslutningsforslag, det vedtager:</w:t>
      </w:r>
    </w:p>
    <w:p w:rsidR="002E2F2E" w:rsidRPr="006D0901" w:rsidRDefault="00F25B6E" w:rsidP="005E1355">
      <w:pPr>
        <w:pStyle w:val="NormalHanging12a"/>
        <w:jc w:val="both"/>
      </w:pPr>
      <w:bookmarkStart w:id="0" w:name="restart"/>
      <w:r w:rsidRPr="006D0901">
        <w:t>1.</w:t>
      </w:r>
      <w:r w:rsidRPr="006D0901">
        <w:tab/>
        <w:t>bemærker, at Revisionsretten har erklæret, at de transaktioner, der ligger til grund for årsregnskabet for Den Europæiske Unions Asylagentur (EUAA) for regnskabsåret 2022, i alt væsentligt er lovlige og formelt rigtige;</w:t>
      </w:r>
    </w:p>
    <w:bookmarkEnd w:id="0"/>
    <w:p w:rsidR="005E1355" w:rsidRPr="006D0901" w:rsidRDefault="005E1355" w:rsidP="005E1355">
      <w:pPr>
        <w:pStyle w:val="NormalHanging12a"/>
      </w:pPr>
      <w:r w:rsidRPr="006D0901">
        <w:t>2.</w:t>
      </w:r>
      <w:r w:rsidRPr="006D0901">
        <w:tab/>
        <w:t xml:space="preserve">glæder sig over, at to udeståender, dels vedrørende det store antal midlertidige ledere og dels vedrørende den manglende ajourføring af politikken for håndtering og forebyggelse af interessekonflikter, som Revisionsretten har påpeget i de foregående år, er blevet adresseret; bemærker, at bemærkningerne fra de senere år vedrørende udbudsprocedurer, nemlig de lejede lokaler på Lesbos og i Rom, vil blive afsluttet i 2023; </w:t>
      </w:r>
    </w:p>
    <w:p w:rsidR="005E1355" w:rsidRPr="006D0901" w:rsidRDefault="005E1355" w:rsidP="005E1355">
      <w:pPr>
        <w:pStyle w:val="NormalHanging12a"/>
      </w:pPr>
      <w:r w:rsidRPr="006D0901">
        <w:t>3.</w:t>
      </w:r>
      <w:r w:rsidRPr="006D0901">
        <w:tab/>
        <w:t xml:space="preserve">glæder sig over EUAA's bestræbelser på at gennemføre det nye mandat, der har været i kraft siden januar 2022, på trods af manglen på tilstrækkeligt personale; opfordrer Kommissionen og medlemsstaterne til at tillade yderligere personale og omklassificering af visse stillinger for at sikre en korrekt gennemførelse, navnlig for så vidt angår den ansvarlige for grundlæggende rettigheder, asylreservepuljen og overvågnings- og operationelle aktiviteter, med henblik på at sikre, at asylansøgeres rettigheder altid er beskyttet i overensstemmelse med de gældende regler; </w:t>
      </w:r>
    </w:p>
    <w:p w:rsidR="00F97AEF" w:rsidRPr="006D0901" w:rsidRDefault="00F97AEF" w:rsidP="005E1355">
      <w:pPr>
        <w:pStyle w:val="NormalHanging12a"/>
      </w:pPr>
      <w:r w:rsidRPr="006D0901">
        <w:t>4.</w:t>
      </w:r>
      <w:r w:rsidRPr="006D0901">
        <w:tab/>
        <w:t>minder om den rolle, som EUAA spiller med hensyn til at yde støtte til behandlingen af ansøgninger om international beskyttelse samt til uddannelse af de sagsbehandlere, der er ansvarlige for behandlingen af asylansøgninger; påpeger behovet for, at EUAA fortsat yder støtte til medlemsstater og tredjelande i forbindelse med håndteringen af ansøgninger vedrørende asyl og migration; opfordrer til, at budgettet fokuseres mod yderligere ansættelse af personale, hvis det er nødvendigt for at hjælpe medlemsstaterne til at sikre en retfærdig og rimelig behandling af asylansøgninger om international beskyttelse, navnlig ansættelse af tolke og psykologer til ansøgere, der tilhører sårbare grupper;</w:t>
      </w:r>
    </w:p>
    <w:p w:rsidR="005E1355" w:rsidRPr="006D0901" w:rsidRDefault="00F97AEF" w:rsidP="005E1355">
      <w:pPr>
        <w:pStyle w:val="NormalHanging12a"/>
        <w:rPr>
          <w:szCs w:val="24"/>
        </w:rPr>
      </w:pPr>
      <w:r w:rsidRPr="006D0901">
        <w:t>5.</w:t>
      </w:r>
      <w:r w:rsidRPr="006D0901">
        <w:tab/>
        <w:t xml:space="preserve">glæder sig over, at næsten 4 millioner personer nød godt af midlertidig beskyttelse, efter at Rådet gav EUAA mandat til sammen med Det Europæiske Agentur for Grænse- og Kystbevogtning (Frontex) og Den Europæiske Unions Agentur for Retshåndhævelsessamarbejde (Europol) at yde operationel støtte til medlemsstater, der anmoder om bistand til at håndtere modtagelsen af flygtninge efter den russiske invasion af Ukraine; </w:t>
      </w:r>
    </w:p>
    <w:p w:rsidR="005E1355" w:rsidRPr="006D0901" w:rsidRDefault="00F97AEF" w:rsidP="005E1355">
      <w:pPr>
        <w:pStyle w:val="NormalHanging12a"/>
      </w:pPr>
      <w:r w:rsidRPr="006D0901">
        <w:t>6.</w:t>
      </w:r>
      <w:r w:rsidRPr="006D0901">
        <w:tab/>
        <w:t xml:space="preserve">minder om henstillingen fra dechargemyndigheden i dens betænkning for 2020; bemærker EUAA's fortsatte støtte til medlemsstaterne med hensyn til at sikre et beskyttelsessystem for uledsagede mindreårige gennem uddannelse, operationel støtte, vejledning, værktøjer og informationsmateriale såsom foldere og videoer rettet mod mindreårige i modtagelsescentre; minder om, at der i 2022 blev indgivet 42 000 asylansøgninger af uledsagede mindreårige i EU og i Island, Liechtenstein, Norge og Schweiz (EU+-lande); påskønner endvidere afholdelsen af tematiske møder i Slovenien </w:t>
      </w:r>
      <w:r w:rsidRPr="006D0901">
        <w:lastRenderedPageBreak/>
        <w:t>med deltagelse af 13 lande, der gav forskellige interessenter mulighed for at drøfte bedste praksis inden for modtagelsesfaciliteter for uledsagede mindreårige;</w:t>
      </w:r>
    </w:p>
    <w:p w:rsidR="005E1355" w:rsidRPr="006D0901" w:rsidRDefault="00F97AEF" w:rsidP="005E1355">
      <w:pPr>
        <w:pStyle w:val="NormalHanging12a"/>
      </w:pPr>
      <w:r w:rsidRPr="006D0901">
        <w:t>7.</w:t>
      </w:r>
      <w:r w:rsidRPr="006D0901">
        <w:tab/>
        <w:t xml:space="preserve">bemærker med tilfredshed, at EUAA gennemførte operationelle planer i 14 medlemsstater og dermed udvidede sine operationer til yderligere seks EU-lande, og at EUAA udsendte personale til et land uden for EU, Moldova, for første gang siden sin oprettelse; påskønner endvidere EUAA's stærke engagement i den eksterne dimension af det fælles europæiske asylsystem (CEAS), der støtter EU+-landene med at genbosætte 2 585 personer ved at støtte 13 udvælgelsesmissioner og tre missioner i forbindelse med informationsprogrammer forud for afrejsen; </w:t>
      </w:r>
    </w:p>
    <w:p w:rsidR="00C65CC0" w:rsidRPr="006D0901" w:rsidRDefault="00C65CC0" w:rsidP="005E1355">
      <w:pPr>
        <w:pStyle w:val="NormalHanging12a"/>
      </w:pPr>
      <w:r w:rsidRPr="006D0901">
        <w:t>8.</w:t>
      </w:r>
      <w:r w:rsidRPr="006D0901">
        <w:tab/>
        <w:t>noterer sig EUAA's bistand til partnerlandene på Vestbalkan gennem tilvejebringelse af institutionel kapacitetsopbygning, uddannelse og coaching på arbejdspladsen i centrale asylprocedurer;</w:t>
      </w:r>
    </w:p>
    <w:p w:rsidR="005E1355" w:rsidRPr="006D0901" w:rsidRDefault="00C65CC0" w:rsidP="005E1355">
      <w:pPr>
        <w:pStyle w:val="NormalHanging12a"/>
      </w:pPr>
      <w:r w:rsidRPr="006D0901">
        <w:t>9.</w:t>
      </w:r>
      <w:r w:rsidRPr="006D0901">
        <w:tab/>
        <w:t xml:space="preserve">noterer sig Revisionsrettens bemærkning om, at de aftaler mellem EU og de associerede Schengenlande, der tjener som retsgrundlag for beregningen af deres bidrag til EUAA's budget, er uklare og giver mulighed for forskellige fortolkninger, hvilket resulterer i lavere bidrag fra de associerede Schengenlande; noterer sig EUAA's svar om, at dets tilgang er i overensstemmelse med de retlige bestemmelser; opfordrer Kommissionen til at undersøge disse aftaler; </w:t>
      </w:r>
    </w:p>
    <w:p w:rsidR="009402E5" w:rsidRPr="006D0901" w:rsidRDefault="00C65CC0" w:rsidP="00D645FB">
      <w:pPr>
        <w:ind w:left="560" w:hanging="560"/>
      </w:pPr>
      <w:r w:rsidRPr="006D0901">
        <w:t>10.</w:t>
      </w:r>
      <w:r w:rsidRPr="006D0901">
        <w:tab/>
        <w:t>minder om, at OLAF i øjeblikket er i færd med at undersøge påstande om forseelser og personalerelaterede uregelmæssigheder i EUAA's øverste ledelse; anmoder om, at påstande om embedsmisbrug kontrolleres og undersøges grundigt; glæder sig over EUAA's tilsagn om at samarbejde fuldt ud med OLAF; opfordrer EUAA til at sikre et fuldt og oprigtigt samarbejde med OLAF i alle faser af undersøgelsen og til regelmæssigt at underrette Europa-Parlamentet om status for og resultaterne af undersøgelsen.</w:t>
      </w:r>
    </w:p>
    <w:p w:rsidR="00C6127F" w:rsidRPr="006D0901" w:rsidRDefault="00C6127F" w:rsidP="00C6127F">
      <w:r w:rsidRPr="006D0901">
        <w:br w:type="page"/>
      </w:r>
    </w:p>
    <w:p w:rsidR="00C6127F" w:rsidRPr="006D0901" w:rsidRDefault="00C6127F" w:rsidP="00C6127F">
      <w:pPr>
        <w:pStyle w:val="PageHeadingNotTOC"/>
      </w:pPr>
      <w:bookmarkStart w:id="1" w:name="ProcPageAD"/>
      <w:r w:rsidRPr="006D0901">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127F" w:rsidRPr="006D090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b/>
                <w:bCs/>
                <w:color w:val="000000"/>
                <w:sz w:val="20"/>
              </w:rPr>
            </w:pPr>
            <w:r w:rsidRPr="006D0901">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6D0901"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6D0901"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rFonts w:ascii="sans-serif" w:hAnsi="sans-serif" w:cs="sans-serif"/>
                <w:color w:val="000000"/>
                <w:szCs w:val="24"/>
              </w:rPr>
            </w:pPr>
          </w:p>
        </w:tc>
      </w:tr>
      <w:tr w:rsidR="00C6127F" w:rsidRPr="006D090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b/>
                <w:bCs/>
                <w:color w:val="000000"/>
                <w:sz w:val="20"/>
              </w:rPr>
            </w:pPr>
            <w:r w:rsidRPr="006D090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w:t>
            </w:r>
          </w:p>
          <w:p w:rsidR="00C6127F" w:rsidRPr="006D0901" w:rsidRDefault="00C6127F">
            <w:pPr>
              <w:autoSpaceDE w:val="0"/>
              <w:autoSpaceDN w:val="0"/>
              <w:adjustRightInd w:val="0"/>
              <w:rPr>
                <w:color w:val="000000"/>
                <w:sz w:val="20"/>
              </w:rPr>
            </w:pPr>
            <w:r w:rsidRPr="006D0901">
              <w:rPr>
                <w:color w:val="000000"/>
                <w:sz w:val="20"/>
              </w:rPr>
              <w:t>–:</w:t>
            </w:r>
          </w:p>
          <w:p w:rsidR="00C6127F" w:rsidRPr="006D0901" w:rsidRDefault="00C6127F">
            <w:pPr>
              <w:autoSpaceDE w:val="0"/>
              <w:autoSpaceDN w:val="0"/>
              <w:adjustRightInd w:val="0"/>
              <w:rPr>
                <w:color w:val="000000"/>
                <w:sz w:val="20"/>
              </w:rPr>
            </w:pPr>
            <w:r w:rsidRPr="006D090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51</w:t>
            </w:r>
          </w:p>
          <w:p w:rsidR="00C6127F" w:rsidRPr="006D0901" w:rsidRDefault="00C6127F">
            <w:pPr>
              <w:autoSpaceDE w:val="0"/>
              <w:autoSpaceDN w:val="0"/>
              <w:adjustRightInd w:val="0"/>
              <w:rPr>
                <w:color w:val="000000"/>
                <w:sz w:val="20"/>
              </w:rPr>
            </w:pPr>
            <w:r w:rsidRPr="006D0901">
              <w:rPr>
                <w:color w:val="000000"/>
                <w:sz w:val="20"/>
              </w:rPr>
              <w:t>4</w:t>
            </w:r>
          </w:p>
          <w:p w:rsidR="00C6127F" w:rsidRPr="006D0901" w:rsidRDefault="00C6127F">
            <w:pPr>
              <w:autoSpaceDE w:val="0"/>
              <w:autoSpaceDN w:val="0"/>
              <w:adjustRightInd w:val="0"/>
              <w:rPr>
                <w:color w:val="000000"/>
                <w:sz w:val="20"/>
              </w:rPr>
            </w:pPr>
            <w:r w:rsidRPr="006D0901">
              <w:rPr>
                <w:color w:val="000000"/>
                <w:sz w:val="20"/>
              </w:rPr>
              <w:t>0</w:t>
            </w:r>
          </w:p>
        </w:tc>
      </w:tr>
      <w:tr w:rsidR="00C6127F" w:rsidRPr="006D090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b/>
                <w:bCs/>
                <w:color w:val="000000"/>
                <w:sz w:val="20"/>
              </w:rPr>
            </w:pPr>
            <w:r w:rsidRPr="006D0901">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Magdalena Adamowicz, Abir Al-Sahlani</w:t>
            </w:r>
            <w:bookmarkStart w:id="2" w:name="_GoBack"/>
            <w:bookmarkEnd w:id="2"/>
            <w:r w:rsidRPr="006D0901">
              <w:rPr>
                <w:color w:val="000000"/>
                <w:sz w:val="20"/>
              </w:rPr>
              <w:t>, Katarina Barley, Pietro Bartolo, Theresa Bielowski, Patrick Breyer,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C6127F" w:rsidRPr="006D090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b/>
                <w:bCs/>
                <w:color w:val="000000"/>
                <w:sz w:val="20"/>
              </w:rPr>
            </w:pPr>
            <w:r w:rsidRPr="006D090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Cyrus Engerer, José Gusmão, Beata Kempa, Leopoldo López Gil, Janina Ochojska, Anne-Sophie Pelletier, Bergur Løkke Rasmussen, Róża Thun und Hohenstein, Maria Walsh, Tomáš Zdechovský</w:t>
            </w:r>
          </w:p>
        </w:tc>
      </w:tr>
      <w:tr w:rsidR="00C6127F" w:rsidRPr="006D090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b/>
                <w:bCs/>
                <w:color w:val="000000"/>
                <w:sz w:val="20"/>
              </w:rPr>
            </w:pPr>
            <w:r w:rsidRPr="006D0901">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6D0901" w:rsidRDefault="00C6127F">
            <w:pPr>
              <w:autoSpaceDE w:val="0"/>
              <w:autoSpaceDN w:val="0"/>
              <w:adjustRightInd w:val="0"/>
              <w:rPr>
                <w:color w:val="000000"/>
                <w:sz w:val="20"/>
              </w:rPr>
            </w:pPr>
            <w:r w:rsidRPr="006D0901">
              <w:rPr>
                <w:color w:val="000000"/>
                <w:sz w:val="20"/>
              </w:rPr>
              <w:t>Andrus Ansip, Hildegard Bentele, Maria da Graça Carvalho, Marisa Matias, Caroline Nagtegaal</w:t>
            </w:r>
          </w:p>
        </w:tc>
      </w:tr>
    </w:tbl>
    <w:p w:rsidR="00C6127F" w:rsidRPr="006D0901" w:rsidRDefault="00C6127F"/>
    <w:bookmarkEnd w:id="1"/>
    <w:p w:rsidR="004644BA" w:rsidRPr="006D0901" w:rsidRDefault="004644BA" w:rsidP="00C6127F">
      <w:pPr>
        <w:sectPr w:rsidR="004644BA" w:rsidRPr="006D0901" w:rsidSect="006D090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644BA" w:rsidRPr="006D0901" w:rsidRDefault="004644BA" w:rsidP="002B2C72">
      <w:pPr>
        <w:pStyle w:val="PageHeadingNotTOC"/>
        <w:rPr>
          <w:noProof/>
        </w:rPr>
      </w:pPr>
      <w:bookmarkStart w:id="3" w:name="FootprintPageAD"/>
      <w:r w:rsidRPr="006D0901">
        <w:lastRenderedPageBreak/>
        <w:t xml:space="preserve">BILAG: ENHED ELLER PERSONER </w:t>
      </w:r>
      <w:r w:rsidRPr="006D0901">
        <w:cr/>
      </w:r>
      <w:r w:rsidRPr="006D0901">
        <w:br/>
        <w:t xml:space="preserve">SOM ORDFØREREN FOR UDTALELSEN HAR MODTAGET INPUT FRA </w:t>
      </w:r>
    </w:p>
    <w:p w:rsidR="004644BA" w:rsidRPr="006D0901" w:rsidRDefault="004644BA" w:rsidP="00037518">
      <w:pPr>
        <w:pStyle w:val="Normal24a"/>
      </w:pPr>
      <w:r w:rsidRPr="006D0901">
        <w:rPr>
          <w:rStyle w:val="HideTWBExt"/>
        </w:rPr>
        <w:t>&lt;FootprintIntro&gt;</w:t>
      </w:r>
      <w:r w:rsidRPr="006D0901">
        <w:t xml:space="preserve">Ordføreren har modtaget input fra følgende enheder eller personer som led i udarbejdelsen af udtalelsen: </w:t>
      </w:r>
      <w:r w:rsidRPr="006D090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644BA" w:rsidRPr="006D0901" w:rsidTr="00F42F07">
        <w:tc>
          <w:tcPr>
            <w:tcW w:w="9286" w:type="dxa"/>
            <w:shd w:val="clear" w:color="auto" w:fill="auto"/>
          </w:tcPr>
          <w:p w:rsidR="004644BA" w:rsidRPr="006D0901" w:rsidRDefault="004644BA" w:rsidP="004644BA">
            <w:pPr>
              <w:pStyle w:val="NormalBoldCenter"/>
            </w:pPr>
            <w:r w:rsidRPr="006D0901">
              <w:t>Enhed og/eller person</w:t>
            </w:r>
          </w:p>
        </w:tc>
      </w:tr>
      <w:tr w:rsidR="004644BA" w:rsidRPr="006D0901" w:rsidTr="00F42F07">
        <w:tc>
          <w:tcPr>
            <w:tcW w:w="9286" w:type="dxa"/>
            <w:shd w:val="clear" w:color="auto" w:fill="auto"/>
          </w:tcPr>
          <w:p w:rsidR="004644BA" w:rsidRPr="006D0901" w:rsidRDefault="004644BA" w:rsidP="004644BA">
            <w:r w:rsidRPr="006D0901">
              <w:t>European Union Agency for Asylum (“EUAA”)</w:t>
            </w:r>
          </w:p>
        </w:tc>
      </w:tr>
    </w:tbl>
    <w:p w:rsidR="004644BA" w:rsidRPr="006D0901" w:rsidRDefault="004644BA" w:rsidP="00AD5932"/>
    <w:p w:rsidR="004644BA" w:rsidRPr="006D0901" w:rsidRDefault="004644BA" w:rsidP="004E1B62">
      <w:pPr>
        <w:rPr>
          <w:szCs w:val="24"/>
        </w:rPr>
      </w:pPr>
      <w:r w:rsidRPr="006D0901">
        <w:t xml:space="preserve">Ordføreren har udarbejdet ovenstående liste på eget ansvar. </w:t>
      </w:r>
    </w:p>
    <w:p w:rsidR="004644BA" w:rsidRPr="006D0901" w:rsidRDefault="004644BA" w:rsidP="004644BA"/>
    <w:bookmarkEnd w:id="3"/>
    <w:p w:rsidR="004644BA" w:rsidRPr="006D0901" w:rsidRDefault="004644BA" w:rsidP="00C6127F">
      <w:pPr>
        <w:sectPr w:rsidR="004644BA" w:rsidRPr="006D0901" w:rsidSect="004644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127F" w:rsidRPr="006D0901" w:rsidRDefault="00C6127F" w:rsidP="00C6127F">
      <w:pPr>
        <w:pStyle w:val="PageHeadingNotTOC"/>
      </w:pPr>
      <w:bookmarkStart w:id="4" w:name="RollCallPageAD"/>
      <w:r w:rsidRPr="006D0901">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6D0901" w:rsidTr="008920AC">
        <w:trPr>
          <w:cantSplit/>
        </w:trPr>
        <w:tc>
          <w:tcPr>
            <w:tcW w:w="1701" w:type="dxa"/>
            <w:shd w:val="pct10" w:color="000000" w:fill="FFFFFF"/>
            <w:vAlign w:val="center"/>
          </w:tcPr>
          <w:p w:rsidR="00C6127F" w:rsidRPr="006D0901" w:rsidRDefault="00C6127F" w:rsidP="003858C5">
            <w:pPr>
              <w:pStyle w:val="RollCallVotes"/>
            </w:pPr>
            <w:r w:rsidRPr="006D0901">
              <w:t>51</w:t>
            </w:r>
          </w:p>
        </w:tc>
        <w:tc>
          <w:tcPr>
            <w:tcW w:w="7371" w:type="dxa"/>
            <w:shd w:val="pct10" w:color="000000" w:fill="FFFFFF"/>
          </w:tcPr>
          <w:p w:rsidR="00C6127F" w:rsidRPr="006D0901" w:rsidRDefault="00C6127F" w:rsidP="003858C5">
            <w:pPr>
              <w:pStyle w:val="RollCallSymbols14pt"/>
            </w:pPr>
            <w:r w:rsidRPr="006D0901">
              <w:t>+</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ECR</w:t>
            </w:r>
          </w:p>
        </w:tc>
        <w:tc>
          <w:tcPr>
            <w:tcW w:w="7371" w:type="dxa"/>
            <w:shd w:val="clear" w:color="auto" w:fill="FFFFFF"/>
          </w:tcPr>
          <w:p w:rsidR="00C6127F" w:rsidRPr="006D0901" w:rsidRDefault="00C6127F" w:rsidP="003858C5">
            <w:pPr>
              <w:pStyle w:val="RollCallTable"/>
            </w:pPr>
            <w:r w:rsidRPr="006D0901">
              <w:t>Jorge Buxadé Villalba, Patryk Jaki, Assita Kanko, Beata Kempa, Vincenzo Sofo</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NI</w:t>
            </w:r>
          </w:p>
        </w:tc>
        <w:tc>
          <w:tcPr>
            <w:tcW w:w="7371" w:type="dxa"/>
            <w:shd w:val="clear" w:color="auto" w:fill="FFFFFF"/>
          </w:tcPr>
          <w:p w:rsidR="00C6127F" w:rsidRPr="006D0901" w:rsidRDefault="00C6127F" w:rsidP="003858C5">
            <w:pPr>
              <w:pStyle w:val="RollCallTable"/>
            </w:pPr>
            <w:r w:rsidRPr="006D0901">
              <w:t>Laura Ferrara</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PPE</w:t>
            </w:r>
          </w:p>
        </w:tc>
        <w:tc>
          <w:tcPr>
            <w:tcW w:w="7371" w:type="dxa"/>
            <w:shd w:val="clear" w:color="auto" w:fill="FFFFFF"/>
          </w:tcPr>
          <w:p w:rsidR="00C6127F" w:rsidRPr="006D0901" w:rsidRDefault="00C6127F" w:rsidP="003858C5">
            <w:pPr>
              <w:pStyle w:val="RollCallTable"/>
            </w:pPr>
            <w:r w:rsidRPr="006D0901">
              <w:t>Magdalena Adamowicz, Hildegard Bentele, Maria da Graça Carvalho, Lena Düpont, Andrzej Halicki, Jeroen Lenaers, Leopoldo López Gil, Janina Ochojska, Elissavet Vozemberg-Vrionidi, Maria Walsh, Javier Zarzalejos, Tomáš Zdechovský</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Renew</w:t>
            </w:r>
          </w:p>
        </w:tc>
        <w:tc>
          <w:tcPr>
            <w:tcW w:w="7371" w:type="dxa"/>
            <w:shd w:val="clear" w:color="auto" w:fill="FFFFFF"/>
          </w:tcPr>
          <w:p w:rsidR="00C6127F" w:rsidRPr="006D0901" w:rsidRDefault="00C6127F" w:rsidP="003858C5">
            <w:pPr>
              <w:pStyle w:val="RollCallTable"/>
            </w:pPr>
            <w:r w:rsidRPr="006D0901">
              <w:t>Abir Al-Sahlani, Andrus Ansip, Lucia Ďuriš Nicholsonová, Sophia in 't Veld, Moritz Körner, Caroline Nagtegaal, Maite Pagazaurtundúa, Bergur Løkke Rasmussen, Róża Thun und Hohenstein, Jana Toom</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S&amp;D</w:t>
            </w:r>
          </w:p>
        </w:tc>
        <w:tc>
          <w:tcPr>
            <w:tcW w:w="7371" w:type="dxa"/>
            <w:shd w:val="clear" w:color="auto" w:fill="FFFFFF"/>
          </w:tcPr>
          <w:p w:rsidR="00C6127F" w:rsidRPr="006D0901" w:rsidRDefault="00C6127F" w:rsidP="003858C5">
            <w:pPr>
              <w:pStyle w:val="RollCallTable"/>
            </w:pPr>
            <w:r w:rsidRPr="006D0901">
              <w:t>Katarina Barley, Pietro Bartolo, Theresa Bielowski, Cyrus Engerer, Maria Grapini, Sylvie Guillaume, Evin Incir, Marina Kaljurand, Łukasz Kohut, Juan Fernando López Aguilar, Javier Moreno Sánchez, Isabel Santos, Birgit Sippel</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The Left</w:t>
            </w:r>
          </w:p>
        </w:tc>
        <w:tc>
          <w:tcPr>
            <w:tcW w:w="7371" w:type="dxa"/>
            <w:shd w:val="clear" w:color="auto" w:fill="FFFFFF"/>
          </w:tcPr>
          <w:p w:rsidR="00C6127F" w:rsidRPr="006D0901" w:rsidRDefault="00C6127F" w:rsidP="003858C5">
            <w:pPr>
              <w:pStyle w:val="RollCallTable"/>
            </w:pPr>
            <w:r w:rsidRPr="006D0901">
              <w:t>Cornelia Ernst, José Gusmão, Marisa Matias, Anne-Sophie Pelletier</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Verts/ALE</w:t>
            </w:r>
          </w:p>
        </w:tc>
        <w:tc>
          <w:tcPr>
            <w:tcW w:w="7371" w:type="dxa"/>
            <w:shd w:val="clear" w:color="auto" w:fill="FFFFFF"/>
          </w:tcPr>
          <w:p w:rsidR="00C6127F" w:rsidRPr="006D0901" w:rsidRDefault="00C6127F" w:rsidP="003858C5">
            <w:pPr>
              <w:pStyle w:val="RollCallTable"/>
            </w:pPr>
            <w:r w:rsidRPr="006D0901">
              <w:t>Patrick Breyer, Damien Carême, Alice Kuhnke, Erik Marquardt, Diana Riba i Giner, Tineke Strik</w:t>
            </w:r>
          </w:p>
        </w:tc>
      </w:tr>
    </w:tbl>
    <w:p w:rsidR="00C6127F" w:rsidRPr="006D0901"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6D0901" w:rsidTr="008920AC">
        <w:trPr>
          <w:cantSplit/>
        </w:trPr>
        <w:tc>
          <w:tcPr>
            <w:tcW w:w="1701" w:type="dxa"/>
            <w:shd w:val="pct10" w:color="000000" w:fill="FFFFFF"/>
            <w:vAlign w:val="center"/>
          </w:tcPr>
          <w:p w:rsidR="00C6127F" w:rsidRPr="006D0901" w:rsidRDefault="00C6127F" w:rsidP="003858C5">
            <w:pPr>
              <w:pStyle w:val="RollCallVotes"/>
            </w:pPr>
            <w:r w:rsidRPr="006D0901">
              <w:t>4</w:t>
            </w:r>
          </w:p>
        </w:tc>
        <w:tc>
          <w:tcPr>
            <w:tcW w:w="7371" w:type="dxa"/>
            <w:shd w:val="pct10" w:color="000000" w:fill="FFFFFF"/>
          </w:tcPr>
          <w:p w:rsidR="00C6127F" w:rsidRPr="006D0901" w:rsidRDefault="00C6127F" w:rsidP="003858C5">
            <w:pPr>
              <w:pStyle w:val="RollCallSymbols14pt"/>
            </w:pPr>
            <w:r w:rsidRPr="006D0901">
              <w:t>-</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ID</w:t>
            </w:r>
          </w:p>
        </w:tc>
        <w:tc>
          <w:tcPr>
            <w:tcW w:w="7371" w:type="dxa"/>
            <w:shd w:val="clear" w:color="auto" w:fill="FFFFFF"/>
          </w:tcPr>
          <w:p w:rsidR="00C6127F" w:rsidRPr="006D0901" w:rsidRDefault="00C6127F" w:rsidP="003858C5">
            <w:pPr>
              <w:pStyle w:val="RollCallTable"/>
            </w:pPr>
            <w:r w:rsidRPr="006D0901">
              <w:t>Patricia Chagnon, Nicolaus Fest, Tom Vandendriessche</w:t>
            </w:r>
          </w:p>
        </w:tc>
      </w:tr>
      <w:tr w:rsidR="00C6127F" w:rsidRPr="006D0901" w:rsidTr="008920AC">
        <w:trPr>
          <w:cantSplit/>
        </w:trPr>
        <w:tc>
          <w:tcPr>
            <w:tcW w:w="1701" w:type="dxa"/>
            <w:shd w:val="clear" w:color="auto" w:fill="FFFFFF"/>
          </w:tcPr>
          <w:p w:rsidR="00C6127F" w:rsidRPr="006D0901" w:rsidRDefault="00C6127F" w:rsidP="003858C5">
            <w:pPr>
              <w:pStyle w:val="RollCallTable"/>
            </w:pPr>
            <w:r w:rsidRPr="006D0901">
              <w:t>NI</w:t>
            </w:r>
          </w:p>
        </w:tc>
        <w:tc>
          <w:tcPr>
            <w:tcW w:w="7371" w:type="dxa"/>
            <w:shd w:val="clear" w:color="auto" w:fill="FFFFFF"/>
          </w:tcPr>
          <w:p w:rsidR="00C6127F" w:rsidRPr="006D0901" w:rsidRDefault="00C6127F" w:rsidP="003858C5">
            <w:pPr>
              <w:pStyle w:val="RollCallTable"/>
            </w:pPr>
            <w:r w:rsidRPr="006D0901">
              <w:t>Milan Uhrík</w:t>
            </w:r>
          </w:p>
        </w:tc>
      </w:tr>
    </w:tbl>
    <w:p w:rsidR="00C6127F" w:rsidRPr="006D0901"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127F" w:rsidRPr="006D0901" w:rsidTr="008920AC">
        <w:trPr>
          <w:cantSplit/>
        </w:trPr>
        <w:tc>
          <w:tcPr>
            <w:tcW w:w="1701" w:type="dxa"/>
            <w:shd w:val="pct10" w:color="000000" w:fill="FFFFFF"/>
            <w:vAlign w:val="center"/>
          </w:tcPr>
          <w:p w:rsidR="00C6127F" w:rsidRPr="006D0901" w:rsidRDefault="00C6127F" w:rsidP="003858C5">
            <w:pPr>
              <w:pStyle w:val="RollCallVotes"/>
            </w:pPr>
            <w:r w:rsidRPr="006D0901">
              <w:t>0</w:t>
            </w:r>
          </w:p>
        </w:tc>
        <w:tc>
          <w:tcPr>
            <w:tcW w:w="7371" w:type="dxa"/>
            <w:shd w:val="pct10" w:color="000000" w:fill="FFFFFF"/>
          </w:tcPr>
          <w:p w:rsidR="00C6127F" w:rsidRPr="006D0901" w:rsidRDefault="00C6127F" w:rsidP="003858C5">
            <w:pPr>
              <w:pStyle w:val="RollCallSymbols14pt"/>
            </w:pPr>
            <w:r w:rsidRPr="006D0901">
              <w:t>0</w:t>
            </w:r>
          </w:p>
        </w:tc>
      </w:tr>
      <w:tr w:rsidR="00C6127F" w:rsidRPr="006D0901" w:rsidTr="008920AC">
        <w:trPr>
          <w:cantSplit/>
        </w:trPr>
        <w:tc>
          <w:tcPr>
            <w:tcW w:w="1701" w:type="dxa"/>
            <w:shd w:val="clear" w:color="auto" w:fill="FFFFFF"/>
          </w:tcPr>
          <w:p w:rsidR="00C6127F" w:rsidRPr="006D0901" w:rsidRDefault="00C6127F" w:rsidP="003858C5">
            <w:pPr>
              <w:pStyle w:val="RollCallTable"/>
            </w:pPr>
          </w:p>
        </w:tc>
        <w:tc>
          <w:tcPr>
            <w:tcW w:w="7371" w:type="dxa"/>
            <w:shd w:val="clear" w:color="auto" w:fill="FFFFFF"/>
          </w:tcPr>
          <w:p w:rsidR="00C6127F" w:rsidRPr="006D0901" w:rsidRDefault="00C6127F" w:rsidP="003858C5">
            <w:pPr>
              <w:pStyle w:val="RollCallTable"/>
            </w:pPr>
          </w:p>
        </w:tc>
      </w:tr>
    </w:tbl>
    <w:p w:rsidR="00C6127F" w:rsidRPr="006D0901" w:rsidRDefault="00C6127F" w:rsidP="00147FBF">
      <w:pPr>
        <w:pStyle w:val="Normal12a"/>
      </w:pPr>
    </w:p>
    <w:p w:rsidR="00C6127F" w:rsidRPr="006D0901" w:rsidRDefault="00C6127F" w:rsidP="00B735E3">
      <w:r w:rsidRPr="006D0901">
        <w:t>Tegnforklaring:</w:t>
      </w:r>
    </w:p>
    <w:p w:rsidR="00C6127F" w:rsidRPr="006D0901" w:rsidRDefault="00C6127F" w:rsidP="003858C5">
      <w:pPr>
        <w:pStyle w:val="RollCallTabs"/>
      </w:pPr>
      <w:r w:rsidRPr="006D0901">
        <w:t>+</w:t>
      </w:r>
      <w:r w:rsidRPr="006D0901">
        <w:tab/>
        <w:t>:</w:t>
      </w:r>
      <w:r w:rsidRPr="006D0901">
        <w:tab/>
        <w:t>for</w:t>
      </w:r>
    </w:p>
    <w:p w:rsidR="00C6127F" w:rsidRPr="006D0901" w:rsidRDefault="00C6127F" w:rsidP="003858C5">
      <w:pPr>
        <w:pStyle w:val="RollCallTabs"/>
      </w:pPr>
      <w:r w:rsidRPr="006D0901">
        <w:t>-</w:t>
      </w:r>
      <w:r w:rsidRPr="006D0901">
        <w:tab/>
        <w:t>:</w:t>
      </w:r>
      <w:r w:rsidRPr="006D0901">
        <w:tab/>
        <w:t>imod</w:t>
      </w:r>
    </w:p>
    <w:p w:rsidR="00C6127F" w:rsidRPr="006D0901" w:rsidRDefault="00C6127F" w:rsidP="003858C5">
      <w:pPr>
        <w:pStyle w:val="RollCallTabs"/>
      </w:pPr>
      <w:r w:rsidRPr="006D0901">
        <w:t>0</w:t>
      </w:r>
      <w:r w:rsidRPr="006D0901">
        <w:tab/>
        <w:t>:</w:t>
      </w:r>
      <w:r w:rsidRPr="006D0901">
        <w:tab/>
        <w:t>hverken/eller</w:t>
      </w:r>
    </w:p>
    <w:p w:rsidR="00C6127F" w:rsidRPr="006D0901" w:rsidRDefault="00C6127F" w:rsidP="00207509"/>
    <w:bookmarkEnd w:id="4"/>
    <w:p w:rsidR="002E6F98" w:rsidRPr="006D0901" w:rsidRDefault="002E6F98" w:rsidP="00C6127F"/>
    <w:sectPr w:rsidR="002E6F98" w:rsidRPr="006D0901" w:rsidSect="00464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785" w:rsidRPr="006D0901" w:rsidRDefault="00D77785">
      <w:r w:rsidRPr="006D0901">
        <w:separator/>
      </w:r>
    </w:p>
  </w:endnote>
  <w:endnote w:type="continuationSeparator" w:id="0">
    <w:p w:rsidR="00D77785" w:rsidRPr="006D0901" w:rsidRDefault="00D77785">
      <w:r w:rsidRPr="006D09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901" w:rsidRPr="006D0901" w:rsidRDefault="006D0901" w:rsidP="006D0901">
    <w:pPr>
      <w:pStyle w:val="EPFooter"/>
    </w:pPr>
    <w:r w:rsidRPr="006D0901">
      <w:t>PE</w:t>
    </w:r>
    <w:r w:rsidRPr="006D0901">
      <w:rPr>
        <w:rStyle w:val="HideTWBExt"/>
      </w:rPr>
      <w:t>&lt;NoPE&gt;</w:t>
    </w:r>
    <w:r w:rsidRPr="006D0901">
      <w:t>756.192</w:t>
    </w:r>
    <w:r w:rsidRPr="006D0901">
      <w:rPr>
        <w:rStyle w:val="HideTWBExt"/>
      </w:rPr>
      <w:t>&lt;/NoPE&gt;&lt;Version&gt;</w:t>
    </w:r>
    <w:r w:rsidRPr="006D0901">
      <w:t>v03-00</w:t>
    </w:r>
    <w:r w:rsidRPr="006D0901">
      <w:rPr>
        <w:rStyle w:val="HideTWBExt"/>
      </w:rPr>
      <w:t>&lt;/Version&gt;</w:t>
    </w:r>
    <w:r w:rsidRPr="006D0901">
      <w:tab/>
    </w:r>
    <w:r w:rsidRPr="006D0901">
      <w:fldChar w:fldCharType="begin"/>
    </w:r>
    <w:r w:rsidRPr="006D0901">
      <w:instrText xml:space="preserve"> PAGE  \* MERGEFORMAT </w:instrText>
    </w:r>
    <w:r w:rsidRPr="006D0901">
      <w:fldChar w:fldCharType="separate"/>
    </w:r>
    <w:r w:rsidR="0024105C">
      <w:rPr>
        <w:noProof/>
      </w:rPr>
      <w:t>4</w:t>
    </w:r>
    <w:r w:rsidRPr="006D0901">
      <w:fldChar w:fldCharType="end"/>
    </w:r>
    <w:r w:rsidRPr="006D0901">
      <w:t>/</w:t>
    </w:r>
    <w:fldSimple w:instr=" NUMPAGES  \* MERGEFORMAT ">
      <w:r w:rsidR="0024105C">
        <w:rPr>
          <w:noProof/>
        </w:rPr>
        <w:t>7</w:t>
      </w:r>
    </w:fldSimple>
    <w:r w:rsidRPr="006D0901">
      <w:tab/>
    </w:r>
    <w:r w:rsidRPr="006D0901">
      <w:rPr>
        <w:rStyle w:val="HideTWBExt"/>
      </w:rPr>
      <w:t>&lt;PathFdR&gt;</w:t>
    </w:r>
    <w:r w:rsidRPr="006D0901">
      <w:t>AD\1295225DA.docx</w:t>
    </w:r>
    <w:r w:rsidRPr="006D0901">
      <w:rPr>
        <w:rStyle w:val="HideTWBExt"/>
      </w:rPr>
      <w:t>&lt;/PathFdR&gt;</w:t>
    </w:r>
  </w:p>
  <w:p w:rsidR="002E2F2E" w:rsidRPr="006D0901" w:rsidRDefault="006D0901" w:rsidP="006D0901">
    <w:pPr>
      <w:pStyle w:val="EPFooter2"/>
    </w:pPr>
    <w:r w:rsidRPr="006D090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901" w:rsidRPr="006D0901" w:rsidRDefault="006D0901" w:rsidP="006D0901">
    <w:pPr>
      <w:pStyle w:val="EPFooter"/>
    </w:pPr>
    <w:r w:rsidRPr="006D0901">
      <w:rPr>
        <w:rStyle w:val="HideTWBExt"/>
      </w:rPr>
      <w:t>&lt;PathFdR&gt;</w:t>
    </w:r>
    <w:r w:rsidRPr="006D0901">
      <w:t>AD\1295225DA.docx</w:t>
    </w:r>
    <w:r w:rsidRPr="006D0901">
      <w:rPr>
        <w:rStyle w:val="HideTWBExt"/>
      </w:rPr>
      <w:t>&lt;/PathFdR&gt;</w:t>
    </w:r>
    <w:r w:rsidRPr="006D0901">
      <w:tab/>
    </w:r>
    <w:r w:rsidRPr="006D0901">
      <w:fldChar w:fldCharType="begin"/>
    </w:r>
    <w:r w:rsidRPr="006D0901">
      <w:instrText xml:space="preserve"> PAGE  \* MERGEFORMAT </w:instrText>
    </w:r>
    <w:r w:rsidRPr="006D0901">
      <w:fldChar w:fldCharType="separate"/>
    </w:r>
    <w:r w:rsidR="0024105C">
      <w:rPr>
        <w:noProof/>
      </w:rPr>
      <w:t>5</w:t>
    </w:r>
    <w:r w:rsidRPr="006D0901">
      <w:fldChar w:fldCharType="end"/>
    </w:r>
    <w:r w:rsidRPr="006D0901">
      <w:t>/</w:t>
    </w:r>
    <w:fldSimple w:instr=" NUMPAGES  \* MERGEFORMAT ">
      <w:r w:rsidR="0024105C">
        <w:rPr>
          <w:noProof/>
        </w:rPr>
        <w:t>7</w:t>
      </w:r>
    </w:fldSimple>
    <w:r w:rsidRPr="006D0901">
      <w:tab/>
      <w:t>PE</w:t>
    </w:r>
    <w:r w:rsidRPr="006D0901">
      <w:rPr>
        <w:rStyle w:val="HideTWBExt"/>
      </w:rPr>
      <w:t>&lt;NoPE&gt;</w:t>
    </w:r>
    <w:r w:rsidRPr="006D0901">
      <w:t>756.192</w:t>
    </w:r>
    <w:r w:rsidRPr="006D0901">
      <w:rPr>
        <w:rStyle w:val="HideTWBExt"/>
      </w:rPr>
      <w:t>&lt;/NoPE&gt;&lt;Version&gt;</w:t>
    </w:r>
    <w:r w:rsidRPr="006D0901">
      <w:t>v03-00</w:t>
    </w:r>
    <w:r w:rsidRPr="006D0901">
      <w:rPr>
        <w:rStyle w:val="HideTWBExt"/>
      </w:rPr>
      <w:t>&lt;/Version&gt;</w:t>
    </w:r>
  </w:p>
  <w:p w:rsidR="002E2F2E" w:rsidRPr="006D0901" w:rsidRDefault="006D0901" w:rsidP="006D0901">
    <w:pPr>
      <w:pStyle w:val="EPFooter2"/>
    </w:pPr>
    <w:r w:rsidRPr="006D0901">
      <w:tab/>
    </w:r>
    <w:r w:rsidRPr="006D090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901" w:rsidRPr="006D0901" w:rsidRDefault="006D0901" w:rsidP="006D0901">
    <w:pPr>
      <w:pStyle w:val="EPFooter"/>
    </w:pPr>
    <w:r w:rsidRPr="006D0901">
      <w:rPr>
        <w:rStyle w:val="HideTWBExt"/>
      </w:rPr>
      <w:t>&lt;PathFdR&gt;</w:t>
    </w:r>
    <w:r w:rsidRPr="006D0901">
      <w:t>AD\1295225DA.docx</w:t>
    </w:r>
    <w:r w:rsidRPr="006D0901">
      <w:rPr>
        <w:rStyle w:val="HideTWBExt"/>
      </w:rPr>
      <w:t>&lt;/PathFdR&gt;</w:t>
    </w:r>
    <w:r w:rsidRPr="006D0901">
      <w:tab/>
    </w:r>
    <w:r w:rsidRPr="006D0901">
      <w:tab/>
      <w:t>PE</w:t>
    </w:r>
    <w:r w:rsidRPr="006D0901">
      <w:rPr>
        <w:rStyle w:val="HideTWBExt"/>
      </w:rPr>
      <w:t>&lt;NoPE&gt;</w:t>
    </w:r>
    <w:r w:rsidRPr="006D0901">
      <w:t>756.192</w:t>
    </w:r>
    <w:r w:rsidRPr="006D0901">
      <w:rPr>
        <w:rStyle w:val="HideTWBExt"/>
      </w:rPr>
      <w:t>&lt;/NoPE&gt;&lt;Version&gt;</w:t>
    </w:r>
    <w:r w:rsidRPr="006D0901">
      <w:t>v03-00</w:t>
    </w:r>
    <w:r w:rsidRPr="006D0901">
      <w:rPr>
        <w:rStyle w:val="HideTWBExt"/>
      </w:rPr>
      <w:t>&lt;/Version&gt;</w:t>
    </w:r>
  </w:p>
  <w:p w:rsidR="002E2F2E" w:rsidRPr="006D0901" w:rsidRDefault="006D0901" w:rsidP="006D0901">
    <w:pPr>
      <w:pStyle w:val="EPFooter2"/>
    </w:pPr>
    <w:r w:rsidRPr="006D0901">
      <w:t>DA</w:t>
    </w:r>
    <w:r w:rsidRPr="006D0901">
      <w:tab/>
    </w:r>
    <w:r w:rsidRPr="006D0901">
      <w:rPr>
        <w:b w:val="0"/>
        <w:i/>
        <w:color w:val="C0C0C0"/>
        <w:sz w:val="22"/>
      </w:rPr>
      <w:t>Forenet i mangfoldighed</w:t>
    </w:r>
    <w:r w:rsidRPr="006D090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785" w:rsidRPr="006D0901" w:rsidRDefault="00D77785">
      <w:r w:rsidRPr="006D0901">
        <w:separator/>
      </w:r>
    </w:p>
  </w:footnote>
  <w:footnote w:type="continuationSeparator" w:id="0">
    <w:p w:rsidR="00D77785" w:rsidRPr="006D0901" w:rsidRDefault="00D77785">
      <w:r w:rsidRPr="006D09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5C" w:rsidRDefault="002410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5C" w:rsidRDefault="002410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5C" w:rsidRDefault="00241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16410 HideTWBInt;}{_x000d__x000a_\s18\ql \fi-567\li567\ri0\sa240\nowidctlpar\wrapdefault\aspalpha\aspnum\faauto\adjustright\rin0\lin567\itap0 \rtlch\fcs1 \af0\afs20\alang1025 \ltrch\fcs0 \fs24\lang2057\langfe2057\cgrid\langnp2057\langfenp2057 _x000d__x000a_\sbasedon0 \snext18 \spriority0 \styrsid11216410 NormalHanging12a;}}{\*\rsidtbl \rsid24658\rsid223860\rsid735077\rsid1718133\rsid2892074\rsid3565327\rsid4666813\rsid6641733\rsid7823322\rsid8084986\rsid9636012\rsid10377208\rsid11215221\rsid11216410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9\min41}{\revtim\yr2024\mo1\dy22\hr9\min41}{\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641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084986 \chftnsep _x000d__x000a_\par }}{\*\ftnsepc \ltrpar \pard\plain \ltrpar\ql \li0\ri0\widctlpar\wrapdefault\aspalpha\aspnum\faauto\adjustright\rin0\lin0\itap0 \rtlch\fcs1 \af0\afs20\alang1025 \ltrch\fcs0 \fs24\lang2057\langfe2057\cgrid\langnp2057\langfenp2057 {\rtlch\fcs1 \af0 _x000d__x000a_\ltrch\fcs0 \insrsid8084986 \chftnsepc _x000d__x000a_\par }}{\*\aftnsep \ltrpar \pard\plain \ltrpar\ql \li0\ri0\widctlpar\wrapdefault\aspalpha\aspnum\faauto\adjustright\rin0\lin0\itap0 \rtlch\fcs1 \af0\afs20\alang1025 \ltrch\fcs0 \fs24\lang2057\langfe2057\cgrid\langnp2057\langfenp2057 {\rtlch\fcs1 \af0 _x000d__x000a_\ltrch\fcs0 \insrsid8084986 \chftnsep _x000d__x000a_\par }}{\*\aftnsepc \ltrpar \pard\plain \ltrpar\ql \li0\ri0\widctlpar\wrapdefault\aspalpha\aspnum\faauto\adjustright\rin0\lin0\itap0 \rtlch\fcs1 \af0\afs20\alang1025 \ltrch\fcs0 \fs24\lang2057\langfe2057\cgrid\langnp2057\langfenp2057 {\rtlch\fcs1 \af0 _x000d__x000a_\ltrch\fcs0 \insrsid8084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216410 \rtlch\fcs1 \af0\afs20\alang1025 \ltrch\fcs0 \fs24\lang2057\langfe2057\cgrid\langnp2057\langfenp2057 {\rtlch\fcs1 \af0 _x000d__x000a_\ltrch\fcs0 \insrsid11216410\charrsid13044652 {\*\bkmkstart restart}#}{\rtlch\fcs1 \af1 \ltrch\fcs0 \cs17\v\f1\fs20\cf15\insrsid11216410\charrsid13044652 NRMSG}{\rtlch\fcs1 \af0 \ltrch\fcs0 \insrsid11216410\charrsid13044652 #.\tab ##}{\rtlch\fcs1 \af0 _x000d__x000a_\ltrch\fcs0 \insrsid1121641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2_x000d__x000a_05bc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573648 NormalHanging12a;}}{\*\rsidtbl \rsid24658\rsid223860\rsid735077\rsid1718133\rsid1902990\rsid2892074\rsid3565327\rsid4666813\rsid6641733\rsid7823322_x000d__x000a_\rsid9636012\rsid10377208\rsid1057364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9\min41}{\revtim\yr2024\mo1\dy22\hr9\min41}{\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736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02990 \chftnsep _x000d__x000a_\par }}{\*\ftnsepc \ltrpar \pard\plain \ltrpar\ql \li0\ri0\widctlpar\wrapdefault\aspalpha\aspnum\faauto\adjustright\rin0\lin0\itap0 \rtlch\fcs1 \af0\afs20\alang1025 \ltrch\fcs0 \fs24\lang2057\langfe2057\cgrid\langnp2057\langfenp2057 {\rtlch\fcs1 \af0 _x000d__x000a_\ltrch\fcs0 \insrsid1902990 \chftnsepc _x000d__x000a_\par }}{\*\aftnsep \ltrpar \pard\plain \ltrpar\ql \li0\ri0\widctlpar\wrapdefault\aspalpha\aspnum\faauto\adjustright\rin0\lin0\itap0 \rtlch\fcs1 \af0\afs20\alang1025 \ltrch\fcs0 \fs24\lang2057\langfe2057\cgrid\langnp2057\langfenp2057 {\rtlch\fcs1 \af0 _x000d__x000a_\ltrch\fcs0 \insrsid1902990 \chftnsep _x000d__x000a_\par }}{\*\aftnsepc \ltrpar \pard\plain \ltrpar\ql \li0\ri0\widctlpar\wrapdefault\aspalpha\aspnum\faauto\adjustright\rin0\lin0\itap0 \rtlch\fcs1 \af0\afs20\alang1025 \ltrch\fcs0 \fs24\lang2057\langfe2057\cgrid\langnp2057\langfenp2057 {\rtlch\fcs1 \af0 _x000d__x000a_\ltrch\fcs0 \insrsid19029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573648 \rtlch\fcs1 \af0\afs20\alang1025 \ltrch\fcs0 \fs24\lang2057\langfe2057\cgrid\langnp2057\langfenp2057 {\rtlch\fcs1 \af0 _x000d__x000a_\ltrch\fcs0 \insrsid10573648\charrsid1525456 {\*\bkmkstart restart}[ZSUGGESTIONNR]\tab [ZSUGGESTIONTEXT]}{\rtlch\fcs1 \af0 \ltrch\fcs0 \insrsid105736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b_x000d__x000a_d9be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2"/>
    <w:docVar w:name="TXTNRPROC" w:val="2023/2164"/>
    <w:docVar w:name="TXTPEorAP" w:val="PE"/>
    <w:docVar w:name="TXTROUTE" w:val="AD\1295225EN.docx"/>
    <w:docVar w:name="TXTTITLE" w:val="of European Union Agency for Asylum (before 19.1.2022 the European Asylum Support Office) for the financial year 2022"/>
    <w:docVar w:name="TXTVERSION" w:val="03-00"/>
  </w:docVars>
  <w:rsids>
    <w:rsidRoot w:val="00D77785"/>
    <w:rsid w:val="000E7EBF"/>
    <w:rsid w:val="00124F60"/>
    <w:rsid w:val="00135121"/>
    <w:rsid w:val="00140BE6"/>
    <w:rsid w:val="00147F4E"/>
    <w:rsid w:val="0016635E"/>
    <w:rsid w:val="00171389"/>
    <w:rsid w:val="001746D0"/>
    <w:rsid w:val="0017543E"/>
    <w:rsid w:val="001B7393"/>
    <w:rsid w:val="001D2ED9"/>
    <w:rsid w:val="001F21C1"/>
    <w:rsid w:val="0024105C"/>
    <w:rsid w:val="00273418"/>
    <w:rsid w:val="002D28A7"/>
    <w:rsid w:val="002E2F2E"/>
    <w:rsid w:val="002E6F98"/>
    <w:rsid w:val="00325BCB"/>
    <w:rsid w:val="00331944"/>
    <w:rsid w:val="00332AD9"/>
    <w:rsid w:val="00347D2C"/>
    <w:rsid w:val="0037356F"/>
    <w:rsid w:val="00390EB2"/>
    <w:rsid w:val="00396A0E"/>
    <w:rsid w:val="003E2402"/>
    <w:rsid w:val="00422DF2"/>
    <w:rsid w:val="00434ED7"/>
    <w:rsid w:val="004644BA"/>
    <w:rsid w:val="004C28FB"/>
    <w:rsid w:val="004C44C0"/>
    <w:rsid w:val="0052544E"/>
    <w:rsid w:val="00545F4D"/>
    <w:rsid w:val="005940C3"/>
    <w:rsid w:val="00594C48"/>
    <w:rsid w:val="005B2F11"/>
    <w:rsid w:val="005C0BDF"/>
    <w:rsid w:val="005D60C6"/>
    <w:rsid w:val="005E1355"/>
    <w:rsid w:val="006102E7"/>
    <w:rsid w:val="00640C1B"/>
    <w:rsid w:val="00657AFB"/>
    <w:rsid w:val="006D0901"/>
    <w:rsid w:val="006D5BF7"/>
    <w:rsid w:val="0072062D"/>
    <w:rsid w:val="008313E7"/>
    <w:rsid w:val="00854CAC"/>
    <w:rsid w:val="008622E4"/>
    <w:rsid w:val="008A32C5"/>
    <w:rsid w:val="008C6203"/>
    <w:rsid w:val="008D61E7"/>
    <w:rsid w:val="008F7002"/>
    <w:rsid w:val="009402E5"/>
    <w:rsid w:val="009513E2"/>
    <w:rsid w:val="0099493F"/>
    <w:rsid w:val="009A491D"/>
    <w:rsid w:val="00A16BEA"/>
    <w:rsid w:val="00A312B3"/>
    <w:rsid w:val="00A72C35"/>
    <w:rsid w:val="00A85BE5"/>
    <w:rsid w:val="00A929AB"/>
    <w:rsid w:val="00AE180F"/>
    <w:rsid w:val="00B362F7"/>
    <w:rsid w:val="00B5456B"/>
    <w:rsid w:val="00B74B53"/>
    <w:rsid w:val="00B843C2"/>
    <w:rsid w:val="00BA65A4"/>
    <w:rsid w:val="00BC26E4"/>
    <w:rsid w:val="00BD1EAA"/>
    <w:rsid w:val="00C51E21"/>
    <w:rsid w:val="00C52739"/>
    <w:rsid w:val="00C6127F"/>
    <w:rsid w:val="00C65CC0"/>
    <w:rsid w:val="00C827FF"/>
    <w:rsid w:val="00CA475C"/>
    <w:rsid w:val="00CD34AC"/>
    <w:rsid w:val="00D645FB"/>
    <w:rsid w:val="00D77785"/>
    <w:rsid w:val="00DE19FF"/>
    <w:rsid w:val="00E81BA6"/>
    <w:rsid w:val="00E856D2"/>
    <w:rsid w:val="00E929A7"/>
    <w:rsid w:val="00F25B6E"/>
    <w:rsid w:val="00F26DDD"/>
    <w:rsid w:val="00F92E72"/>
    <w:rsid w:val="00F97AE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1E2CA2BB-99F4-4CF0-888E-22F510ED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E1355"/>
    <w:pPr>
      <w:tabs>
        <w:tab w:val="center" w:pos="4513"/>
        <w:tab w:val="right" w:pos="9026"/>
      </w:tabs>
    </w:pPr>
  </w:style>
  <w:style w:type="character" w:customStyle="1" w:styleId="FooterChar">
    <w:name w:val="Footer Char"/>
    <w:basedOn w:val="DefaultParagraphFont"/>
    <w:link w:val="Footer"/>
    <w:semiHidden/>
    <w:rsid w:val="005E1355"/>
    <w:rPr>
      <w:sz w:val="24"/>
    </w:rPr>
  </w:style>
  <w:style w:type="paragraph" w:styleId="BalloonText">
    <w:name w:val="Balloon Text"/>
    <w:basedOn w:val="Normal"/>
    <w:link w:val="BalloonTextChar"/>
    <w:semiHidden/>
    <w:unhideWhenUsed/>
    <w:rsid w:val="00F97AEF"/>
    <w:rPr>
      <w:rFonts w:ascii="Segoe UI" w:hAnsi="Segoe UI" w:cs="Segoe UI"/>
      <w:sz w:val="18"/>
      <w:szCs w:val="18"/>
    </w:rPr>
  </w:style>
  <w:style w:type="character" w:customStyle="1" w:styleId="BalloonTextChar">
    <w:name w:val="Balloon Text Char"/>
    <w:basedOn w:val="DefaultParagraphFont"/>
    <w:link w:val="BalloonText"/>
    <w:semiHidden/>
    <w:rsid w:val="00F97AEF"/>
    <w:rPr>
      <w:rFonts w:ascii="Segoe UI" w:hAnsi="Segoe UI" w:cs="Segoe UI"/>
      <w:sz w:val="18"/>
      <w:szCs w:val="18"/>
    </w:rPr>
  </w:style>
  <w:style w:type="paragraph" w:customStyle="1" w:styleId="RollCallSymbols14pt">
    <w:name w:val="RollCallSymbols14pt"/>
    <w:basedOn w:val="Normal"/>
    <w:rsid w:val="00C6127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127F"/>
    <w:pPr>
      <w:tabs>
        <w:tab w:val="center" w:pos="284"/>
        <w:tab w:val="left" w:pos="426"/>
      </w:tabs>
    </w:pPr>
    <w:rPr>
      <w:snapToGrid w:val="0"/>
      <w:lang w:eastAsia="en-US"/>
    </w:rPr>
  </w:style>
  <w:style w:type="paragraph" w:customStyle="1" w:styleId="RollCallVotes">
    <w:name w:val="RollCallVotes"/>
    <w:basedOn w:val="Normal"/>
    <w:rsid w:val="00C6127F"/>
    <w:pPr>
      <w:spacing w:before="120" w:after="120"/>
      <w:jc w:val="center"/>
    </w:pPr>
    <w:rPr>
      <w:b/>
      <w:bCs/>
      <w:snapToGrid w:val="0"/>
      <w:sz w:val="16"/>
      <w:lang w:eastAsia="en-US"/>
    </w:rPr>
  </w:style>
  <w:style w:type="paragraph" w:customStyle="1" w:styleId="RollCallTable">
    <w:name w:val="RollCallTable"/>
    <w:basedOn w:val="Normal"/>
    <w:rsid w:val="00C6127F"/>
    <w:pPr>
      <w:spacing w:before="120" w:after="120"/>
    </w:pPr>
    <w:rPr>
      <w:snapToGrid w:val="0"/>
      <w:sz w:val="16"/>
      <w:lang w:eastAsia="en-US"/>
    </w:rPr>
  </w:style>
  <w:style w:type="paragraph" w:customStyle="1" w:styleId="Normal24a">
    <w:name w:val="Normal24a"/>
    <w:basedOn w:val="Normal"/>
    <w:rsid w:val="004644BA"/>
    <w:pPr>
      <w:spacing w:after="480"/>
    </w:pPr>
  </w:style>
  <w:style w:type="paragraph" w:customStyle="1" w:styleId="NormalBoldCenter">
    <w:name w:val="NormalBoldCenter"/>
    <w:basedOn w:val="Normal"/>
    <w:rsid w:val="004644B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0614">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7033</Characters>
  <Application>Microsoft Office Word</Application>
  <DocSecurity>0</DocSecurity>
  <Lines>177</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2024-02-08T10:58:00Z</dcterms:created>
  <dcterms:modified xsi:type="dcterms:W3CDTF">2024-02-08T10:58:00Z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1295225</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AD\1295225DA.docx</vt:lpwstr>
  </property>
  <property fmtid="{D5CDD505-2E9C-101B-9397-08002B2CF9AE}" pid="11" name="PE number">
    <vt:lpwstr>756.192</vt:lpwstr>
  </property>
  <property fmtid="{D5CDD505-2E9C-101B-9397-08002B2CF9AE}" pid="12" name="SendToEpades">
    <vt:lpwstr>OK - 2024/01/25 13:04</vt:lpwstr>
  </property>
  <property fmtid="{D5CDD505-2E9C-101B-9397-08002B2CF9AE}" pid="13" name="SDLStudio">
    <vt:lpwstr/>
  </property>
  <property fmtid="{D5CDD505-2E9C-101B-9397-08002B2CF9AE}" pid="14" name="Bookout">
    <vt:lpwstr>OK - 2024/02/08 11:58</vt:lpwstr>
  </property>
</Properties>
</file>