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3FD9" w:rsidTr="00C85D0F">
        <w:trPr>
          <w:trHeight w:hRule="exact" w:val="1418"/>
        </w:trPr>
        <w:tc>
          <w:tcPr>
            <w:tcW w:w="6804" w:type="dxa"/>
            <w:shd w:val="clear" w:color="auto" w:fill="auto"/>
            <w:vAlign w:val="center"/>
          </w:tcPr>
          <w:p w:rsidR="00854CAC" w:rsidRPr="00ED4E93" w:rsidRDefault="00527FDA" w:rsidP="00C85D0F">
            <w:pPr>
              <w:pStyle w:val="EPName"/>
            </w:pPr>
            <w:bookmarkStart w:id="0" w:name="_GoBack"/>
            <w:bookmarkEnd w:id="0"/>
            <w:r>
              <w:t>Európai Parlament</w:t>
            </w:r>
          </w:p>
          <w:p w:rsidR="00854CAC" w:rsidRPr="00ED4E93" w:rsidRDefault="00527FDA" w:rsidP="00F25B6E">
            <w:pPr>
              <w:pStyle w:val="EPTerm"/>
            </w:pPr>
            <w:r>
              <w:t>2019-2024</w:t>
            </w:r>
          </w:p>
        </w:tc>
        <w:tc>
          <w:tcPr>
            <w:tcW w:w="2268" w:type="dxa"/>
            <w:shd w:val="clear" w:color="auto" w:fill="auto"/>
          </w:tcPr>
          <w:p w:rsidR="00854CAC" w:rsidRPr="00ED4E93" w:rsidRDefault="00527FDA" w:rsidP="00C85D0F">
            <w:pPr>
              <w:pStyle w:val="EPLogo"/>
            </w:pPr>
            <w:r w:rsidRPr="00ED4E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ED4E93" w:rsidRDefault="001746D0" w:rsidP="001746D0">
      <w:pPr>
        <w:pStyle w:val="LineTop"/>
      </w:pPr>
    </w:p>
    <w:p w:rsidR="001746D0" w:rsidRPr="00ED4E93" w:rsidRDefault="00527FDA" w:rsidP="001746D0">
      <w:pPr>
        <w:pStyle w:val="EPBody"/>
      </w:pPr>
      <w:r>
        <w:rPr>
          <w:rStyle w:val="HideTWBExt"/>
        </w:rPr>
        <w:t>&lt;</w:t>
      </w:r>
      <w:r>
        <w:rPr>
          <w:rStyle w:val="HideTWBExt"/>
          <w:i w:val="0"/>
        </w:rPr>
        <w:t>Commission</w:t>
      </w:r>
      <w:r>
        <w:rPr>
          <w:rStyle w:val="HideTWBExt"/>
        </w:rPr>
        <w:t>&gt;</w:t>
      </w:r>
      <w:r>
        <w:rPr>
          <w:rStyle w:val="HideTWBInt"/>
          <w:color w:val="auto"/>
        </w:rPr>
        <w:t>{LIBE}</w:t>
      </w:r>
      <w:r>
        <w:t>Állampolgári Jogi, Bel- és Igazságügyi Bizottság</w:t>
      </w:r>
      <w:r>
        <w:rPr>
          <w:rStyle w:val="HideTWBExt"/>
        </w:rPr>
        <w:t>&lt;/</w:t>
      </w:r>
      <w:r>
        <w:rPr>
          <w:rStyle w:val="HideTWBExt"/>
          <w:i w:val="0"/>
        </w:rPr>
        <w:t>Commission</w:t>
      </w:r>
      <w:r>
        <w:rPr>
          <w:rStyle w:val="HideTWBExt"/>
        </w:rPr>
        <w:t>&gt;</w:t>
      </w:r>
    </w:p>
    <w:p w:rsidR="001746D0" w:rsidRPr="00ED4E93" w:rsidRDefault="001746D0" w:rsidP="001746D0">
      <w:pPr>
        <w:pStyle w:val="LineBottom"/>
      </w:pPr>
    </w:p>
    <w:p w:rsidR="002E2F2E" w:rsidRPr="00ED4E93" w:rsidRDefault="00527FDA">
      <w:pPr>
        <w:pStyle w:val="CoverReference"/>
      </w:pPr>
      <w:r>
        <w:rPr>
          <w:rStyle w:val="HideTWBExt"/>
          <w:b w:val="0"/>
        </w:rPr>
        <w:t>&lt;RefProc&gt;</w:t>
      </w:r>
      <w:r>
        <w:t>2023/2164</w:t>
      </w:r>
      <w:r>
        <w:rPr>
          <w:rStyle w:val="HideTWBExt"/>
          <w:b w:val="0"/>
        </w:rPr>
        <w:t>&lt;/RefProc&gt;&lt;RefTypeProc&gt;</w:t>
      </w:r>
      <w:r>
        <w:t>(DEC)</w:t>
      </w:r>
      <w:r>
        <w:rPr>
          <w:rStyle w:val="HideTWBExt"/>
          <w:b w:val="0"/>
        </w:rPr>
        <w:t>&lt;/RefTypeProc&gt;</w:t>
      </w:r>
    </w:p>
    <w:p w:rsidR="002E2F2E" w:rsidRPr="00ED4E93" w:rsidRDefault="00527FDA">
      <w:pPr>
        <w:pStyle w:val="CoverDate"/>
      </w:pPr>
      <w:r>
        <w:rPr>
          <w:rStyle w:val="HideTWBExt"/>
        </w:rPr>
        <w:t>&lt;Date&gt;</w:t>
      </w:r>
      <w:r>
        <w:rPr>
          <w:rStyle w:val="HideTWBInt"/>
          <w:color w:val="auto"/>
        </w:rPr>
        <w:t>{24/01/2024}</w:t>
      </w:r>
      <w:r>
        <w:t>24.1.2024</w:t>
      </w:r>
      <w:r>
        <w:rPr>
          <w:rStyle w:val="HideTWBExt"/>
        </w:rPr>
        <w:t>&lt;/Date&gt;</w:t>
      </w:r>
    </w:p>
    <w:p w:rsidR="002E2F2E" w:rsidRPr="00ED4E93" w:rsidRDefault="00527FDA">
      <w:pPr>
        <w:pStyle w:val="CoverDocType24a"/>
      </w:pPr>
      <w:r>
        <w:rPr>
          <w:rStyle w:val="HideTWBExt"/>
          <w:b w:val="0"/>
        </w:rPr>
        <w:t>&lt;TitreType&gt;</w:t>
      </w:r>
      <w:r>
        <w:t>VÉLEMÉNY</w:t>
      </w:r>
      <w:r>
        <w:rPr>
          <w:rStyle w:val="HideTWBExt"/>
          <w:b w:val="0"/>
        </w:rPr>
        <w:t>&lt;/TitreType&gt;</w:t>
      </w:r>
    </w:p>
    <w:p w:rsidR="002E2F2E" w:rsidRPr="00ED4E93" w:rsidRDefault="00527FDA">
      <w:pPr>
        <w:pStyle w:val="CoverNormal24a"/>
      </w:pPr>
      <w:r>
        <w:rPr>
          <w:rStyle w:val="HideTWBExt"/>
        </w:rPr>
        <w:t>&lt;CommissionResp&gt;</w:t>
      </w:r>
      <w:r>
        <w:t>az Állampolgári Jogi, Bel- és Igazságügyi Bizottság részéről</w:t>
      </w:r>
      <w:r>
        <w:rPr>
          <w:rStyle w:val="HideTWBExt"/>
        </w:rPr>
        <w:t>&lt;/CommissionResp&gt;</w:t>
      </w:r>
    </w:p>
    <w:p w:rsidR="002E2F2E" w:rsidRPr="00ED4E93" w:rsidRDefault="00527FDA">
      <w:pPr>
        <w:pStyle w:val="CoverNormal24a"/>
      </w:pPr>
      <w:r>
        <w:rPr>
          <w:rStyle w:val="HideTWBExt"/>
        </w:rPr>
        <w:t>&lt;CommissionInt&gt;</w:t>
      </w:r>
      <w:r>
        <w:t>a Költségvetési Ellenőrző Bizottság részére</w:t>
      </w:r>
      <w:r>
        <w:rPr>
          <w:rStyle w:val="HideTWBExt"/>
        </w:rPr>
        <w:t>&lt;/CommissionInt&gt;</w:t>
      </w:r>
    </w:p>
    <w:p w:rsidR="002E2F2E" w:rsidRPr="00ED4E93" w:rsidRDefault="00527FDA">
      <w:pPr>
        <w:pStyle w:val="CoverNormal"/>
      </w:pPr>
      <w:r>
        <w:rPr>
          <w:rStyle w:val="HideTWBExt"/>
        </w:rPr>
        <w:t>&lt;Titre&gt;</w:t>
      </w:r>
      <w:r>
        <w:t>az Európai Unió Menekültügyi Ügynöksége (2022. január 19-ig az Európai Menekültü</w:t>
      </w:r>
      <w:r>
        <w:t>gyi Támogatási Hivatal) 2022. évi pénzügyi évre szóló költségvetésének végrehajtására vonatkozó mentesítésről</w:t>
      </w:r>
      <w:r>
        <w:rPr>
          <w:rStyle w:val="HideTWBExt"/>
        </w:rPr>
        <w:t>&lt;/Titre&gt;</w:t>
      </w:r>
    </w:p>
    <w:p w:rsidR="002E2F2E" w:rsidRPr="00ED4E93" w:rsidRDefault="00527FDA">
      <w:pPr>
        <w:pStyle w:val="CoverNormal24a"/>
      </w:pPr>
      <w:r>
        <w:rPr>
          <w:rStyle w:val="HideTWBExt"/>
        </w:rPr>
        <w:t>&lt;DocRef&gt;</w:t>
      </w:r>
      <w:r>
        <w:t>(2023/2164(DEC))</w:t>
      </w:r>
      <w:r>
        <w:rPr>
          <w:rStyle w:val="HideTWBExt"/>
        </w:rPr>
        <w:t>&lt;/DocRef&gt;</w:t>
      </w:r>
    </w:p>
    <w:p w:rsidR="002E2F2E" w:rsidRPr="00ED4E93" w:rsidRDefault="00527FDA">
      <w:pPr>
        <w:pStyle w:val="CoverNormal24a"/>
      </w:pPr>
      <w:r>
        <w:t xml:space="preserve">A vélemény előadója: </w:t>
      </w:r>
      <w:r>
        <w:rPr>
          <w:rStyle w:val="HideTWBExt"/>
        </w:rPr>
        <w:t>&lt;Depute&gt;</w:t>
      </w:r>
      <w:r>
        <w:t>Tomáš Zdechovský</w:t>
      </w:r>
      <w:r>
        <w:rPr>
          <w:rStyle w:val="HideTWBExt"/>
        </w:rPr>
        <w:t>&lt;/Depute&gt;</w:t>
      </w:r>
    </w:p>
    <w:p w:rsidR="00A72C35" w:rsidRPr="00ED4E93" w:rsidRDefault="00A72C35" w:rsidP="00A72C35">
      <w:pPr>
        <w:pStyle w:val="CoverNormal"/>
      </w:pPr>
    </w:p>
    <w:p w:rsidR="002E2F2E" w:rsidRPr="00ED4E93" w:rsidRDefault="00527FDA" w:rsidP="00E856D2">
      <w:pPr>
        <w:widowControl/>
        <w:tabs>
          <w:tab w:val="center" w:pos="4677"/>
        </w:tabs>
      </w:pPr>
      <w:r>
        <w:br w:type="page"/>
      </w:r>
      <w:r>
        <w:lastRenderedPageBreak/>
        <w:t>PA_NonLeg</w:t>
      </w:r>
    </w:p>
    <w:p w:rsidR="002E2F2E" w:rsidRPr="00ED4E93" w:rsidRDefault="00527FDA">
      <w:pPr>
        <w:pStyle w:val="PageHeadingNotTOC"/>
      </w:pPr>
      <w:r>
        <w:br w:type="page"/>
      </w:r>
      <w:r>
        <w:lastRenderedPageBreak/>
        <w:t>JAVASLATOK</w:t>
      </w:r>
    </w:p>
    <w:p w:rsidR="002E2F2E" w:rsidRPr="00ED4E93" w:rsidRDefault="00527FDA" w:rsidP="008313E7">
      <w:pPr>
        <w:pStyle w:val="Normal12a"/>
      </w:pPr>
      <w:r>
        <w:t xml:space="preserve">Az Állampolgári Jogi, </w:t>
      </w:r>
      <w:r>
        <w:t>Bel- és Igazságügyi Bizottság felkéri a Költségvetési Ellenőrző Bizottságot mint illetékes bizottságot, hogy állásfoglalásra irányuló indítványába foglalja bele az alábbi javaslatokat:</w:t>
      </w:r>
    </w:p>
    <w:p w:rsidR="002E2F2E" w:rsidRPr="00ED4E93" w:rsidRDefault="00527FDA" w:rsidP="005E1355">
      <w:pPr>
        <w:pStyle w:val="NormalHanging12a"/>
        <w:jc w:val="both"/>
      </w:pPr>
      <w:bookmarkStart w:id="1" w:name="restart"/>
      <w:r>
        <w:t>1.</w:t>
      </w:r>
      <w:r>
        <w:tab/>
        <w:t>megállapítja, hogy az Európai Számvevőszék (a „Számvevőszék”) az Eur</w:t>
      </w:r>
      <w:r>
        <w:t>ópai Unió Menekültügyi Ügynöksége (EUAA) 2022. évi pénzügyi évre vonatkozó éves beszámolója alapjául szolgáló ügyleteket minden lényeges szempontból jogszerűnek és szabályszerűnek ítélte;</w:t>
      </w:r>
    </w:p>
    <w:bookmarkEnd w:id="1"/>
    <w:p w:rsidR="005E1355" w:rsidRPr="00ED4E93" w:rsidRDefault="00527FDA" w:rsidP="005E1355">
      <w:pPr>
        <w:pStyle w:val="NormalHanging12a"/>
      </w:pPr>
      <w:r>
        <w:t>2.</w:t>
      </w:r>
      <w:r>
        <w:tab/>
        <w:t>üdvözli, hogy foglalkoztak az előző években a Számvevőszék észrev</w:t>
      </w:r>
      <w:r>
        <w:t xml:space="preserve">ételeiben azonosított két kérdéssel, nevezetesen az ideiglenes vezetők magas számával és az összeférhetetlenség kezelésére és megelőzésére vonatkozó politika aktualizálásának hiányával; megjegyzi, hogy a közbeszerzési eljárásokkal, nevezetesen a leszboszi </w:t>
      </w:r>
      <w:r>
        <w:t xml:space="preserve">és római bérelt helyiségekkel kapcsolatban az előző években bejelentett észrevételek 2023-ban lezárulnak; </w:t>
      </w:r>
    </w:p>
    <w:p w:rsidR="005E1355" w:rsidRPr="00ED4E93" w:rsidRDefault="00527FDA" w:rsidP="005E1355">
      <w:pPr>
        <w:pStyle w:val="NormalHanging12a"/>
      </w:pPr>
      <w:r>
        <w:t>3.</w:t>
      </w:r>
      <w:r>
        <w:tab/>
        <w:t>üdvözli az EUAA arra irányuló erőfeszítéseit, hogy végrehajtsa a 2022 januárja óta hatályban lévő új megbízatását annak ellenére, hogy nem áll ren</w:t>
      </w:r>
      <w:r>
        <w:t xml:space="preserve">delkezésére elegendő létszámú további személyzet; felhívja a Bizottságot és a tagállamokat, hogy tegyék lehetővé a személyzet bővítését és bizonyos álláshelyek átsorolását a megfelelő végrehajtás biztosítása érdekében, különösen az alapjogi tisztviselő, a </w:t>
      </w:r>
      <w:r>
        <w:t>menekültügyi szakértői készenléti állomány, valamint az ellenőrzési és operatív tevékenységek tekintetében, a menedékkérők jogai mindenkori védelmének biztosítása érdekében, az alkalmazandó szabályokkal összhangban;</w:t>
      </w:r>
    </w:p>
    <w:p w:rsidR="00F97AEF" w:rsidRPr="00ED4E93" w:rsidRDefault="00527FDA" w:rsidP="005E1355">
      <w:pPr>
        <w:pStyle w:val="NormalHanging12a"/>
      </w:pPr>
      <w:r>
        <w:t>4.</w:t>
      </w:r>
      <w:r>
        <w:tab/>
        <w:t>emlékeztet az Európai Unió Menekültüg</w:t>
      </w:r>
      <w:r>
        <w:t>yi Ügynökségének szerepére a nemzetközi védelem iránti kérelmek feldolgozásának, valamint a menedékjog iránti kérelmek feldolgozásáért felelős ügyintézők képzésének támogatásában; megállapítja, hogy szükség van arra, hogy az Európai Unió Menekültügyi Ügynö</w:t>
      </w:r>
      <w:r>
        <w:t>ksége továbbra is támogatást nyújtson a tagállamoknak és a harmadik országoknak a menedékjog iránti és a bevándorlási kérelmek kezelésében; kéri, hogy szükség esetén összpontosítsák a költségvetést további alkalmazottak felvételére annak érdekében, hogy se</w:t>
      </w:r>
      <w:r>
        <w:t>gítsék a tagállamokat a nemzetközi védelem iránti menedékjog iránti kérelmek tisztességes és igazságos elbírálásának biztosításában, különös tekintettel a veszélyeztetett csoportokhoz tartozó kérelmezők tolmácsaira és pszichológusaira;</w:t>
      </w:r>
    </w:p>
    <w:p w:rsidR="005E1355" w:rsidRPr="00ED4E93" w:rsidRDefault="00527FDA" w:rsidP="005E1355">
      <w:pPr>
        <w:pStyle w:val="NormalHanging12a"/>
        <w:rPr>
          <w:szCs w:val="24"/>
        </w:rPr>
      </w:pPr>
      <w:r>
        <w:t>5.</w:t>
      </w:r>
      <w:r>
        <w:tab/>
        <w:t xml:space="preserve">üdvözli, hogy </w:t>
      </w:r>
      <w:r>
        <w:t>közel 4 millió személy részesült átmeneti védelemben azt követően, hogy a Tanács megbízta az EUAA-t, valamint az Európai Határ- és Partvédelmi Ügynökséget (Frontex) és a Bűnüldözési Együttműködés Európai Uniós Ügynökségét (Europol), hogy nyújtsanak operatí</w:t>
      </w:r>
      <w:r>
        <w:t xml:space="preserve">v támogatást azoknak a tagállamoknak, amelyek segítséget kérnek az Ukrajna elleni orosz inváziót követően érkező menekültek kezeléséhez; </w:t>
      </w:r>
    </w:p>
    <w:p w:rsidR="005E1355" w:rsidRPr="00ED4E93" w:rsidRDefault="00527FDA" w:rsidP="005E1355">
      <w:pPr>
        <w:pStyle w:val="NormalHanging12a"/>
      </w:pPr>
      <w:r>
        <w:t>6.</w:t>
      </w:r>
      <w:r>
        <w:tab/>
        <w:t xml:space="preserve">emlékeztet a mentesítésért felelős hatóság 2020. évi jelentésében megfogalmazott ajánlására; tudomásul veszi, hogy </w:t>
      </w:r>
      <w:r>
        <w:t xml:space="preserve">az EUAA továbbra is támogatja a tagállamokat a kísérő nélküli kiskorúakat védő befogadórendszer biztosításában, képzések, operatív támogatás, iránymutatás, eszközök, valamint tájékoztató anyagok, például a befogadás </w:t>
      </w:r>
      <w:r>
        <w:lastRenderedPageBreak/>
        <w:t>alatt álló kiskorúakat célzó tájékoztató</w:t>
      </w:r>
      <w:r>
        <w:t xml:space="preserve"> füzetek és videók biztosítása révén; emlékeztet arra, hogy 2022-ben 42 000 menedékjog iránti kérelmet nyújtottak be kísérő nélküli kiskorúak az EU-ban, valamint Izlandon, Liechtensteinben, Norvégiában és Svájcban (EU+ országok); nagyra értékeli továbbá a </w:t>
      </w:r>
      <w:r>
        <w:t>13 ország részvételével Szlovéniában megszervezett tematikus találkozót, amely lehetővé tette a különböző érdekelt felek számára, hogy megvitassák a kísérő nélküli kiskorúak befogadására szolgáló létesítményekkel kapcsolatos bevált gyakorlatokat;</w:t>
      </w:r>
    </w:p>
    <w:p w:rsidR="005E1355" w:rsidRPr="00ED4E93" w:rsidRDefault="00527FDA" w:rsidP="005E1355">
      <w:pPr>
        <w:pStyle w:val="NormalHanging12a"/>
      </w:pPr>
      <w:r>
        <w:t>7.</w:t>
      </w:r>
      <w:r>
        <w:tab/>
        <w:t>megelé</w:t>
      </w:r>
      <w:r>
        <w:t>gedéssel veszi tudomásul, hogy az EUAA 14 tagállamban hajtott végre operatív terveket, így hat további uniós országra is kiterjesztette műveleteit, és hogy az EUAA megalapítása óta először személyi állományt telepített egy nem uniós országba, Moldovába; na</w:t>
      </w:r>
      <w:r>
        <w:t>gyra értékeli továbbá az EUAA határozott szerepvállalását a közös európai menekültügyi rendszer (KEMR) külső dimenziójában, melynek keretében 13 kiválasztási és 3 indulás előtti misszióhoz biztosított támogatás révén EU+ országokat támogattak 2 585 személy</w:t>
      </w:r>
      <w:r>
        <w:t xml:space="preserve">nek az EU határain kívülről történő áttelepítésében; </w:t>
      </w:r>
    </w:p>
    <w:p w:rsidR="00C65CC0" w:rsidRPr="00ED4E93" w:rsidRDefault="00527FDA" w:rsidP="005E1355">
      <w:pPr>
        <w:pStyle w:val="NormalHanging12a"/>
      </w:pPr>
      <w:r>
        <w:t>8.</w:t>
      </w:r>
      <w:r>
        <w:tab/>
        <w:t>tudomásul veszi, hogy az EUAA intézményi kapacitásépítés, képzés és munkahelyi tanácsadás révén segítséget nyújt a nyugat-balkáni partnerországoknak az alapvető menekültügyi eljárásokkal kapcsolatban</w:t>
      </w:r>
      <w:r>
        <w:t>;</w:t>
      </w:r>
    </w:p>
    <w:p w:rsidR="005E1355" w:rsidRPr="00ED4E93" w:rsidRDefault="00527FDA" w:rsidP="005E1355">
      <w:pPr>
        <w:pStyle w:val="NormalHanging12a"/>
      </w:pPr>
      <w:r>
        <w:t>9.</w:t>
      </w:r>
      <w:r>
        <w:tab/>
        <w:t>tudomásul veszi a Számvevőszék azon észrevételét, hogy az EU és a schengeni társult országok közötti megállapodások, amelyek jogalapként szolgálnak az EUAA költségvetéséhez való hozzájárulásuk kiszámításához, nem egyértelműek, és eltérő értelmezéseket</w:t>
      </w:r>
      <w:r>
        <w:t xml:space="preserve"> tesznek lehetővé, ami a schengeni társult országok alacsonyabb hozzájárulását eredményezi; tudomásul veszi az EUAA válaszát, miszerint megközelítése összhangban van a jogi rendelkezésekkel; felhívja a Bizottságot, hogy vizsgálja meg ezeket a megállapodáso</w:t>
      </w:r>
      <w:r>
        <w:t xml:space="preserve">kat; </w:t>
      </w:r>
    </w:p>
    <w:p w:rsidR="009402E5" w:rsidRPr="00ED4E93" w:rsidRDefault="00527FDA" w:rsidP="00D645FB">
      <w:pPr>
        <w:ind w:left="560" w:hanging="560"/>
      </w:pPr>
      <w:r>
        <w:t>10.</w:t>
      </w:r>
      <w:r>
        <w:tab/>
        <w:t>emlékeztet arra, hogy az OLAF jelenleg vizsgálatokat folytat az EUAA felső vezetésében elkövetett állítólagos kötelességszegésekkel és a személyzettel kapcsolatos szabálytalanságokkal kapcsolatban; kéri a kötelességszegésre vonatkozó állítások al</w:t>
      </w:r>
      <w:r>
        <w:t>apos ellenőrzését és kivizsgálását; üdvözli az EUAA elkötelezettségét az OLAF-fal való teljes körű együttműködés mellett; felhívja az EUAA-t, hogy biztosítsa az OLAF-fal való teljes körű és lojális együttműködést a vizsgálat valamennyi szakaszában, és hogy</w:t>
      </w:r>
      <w:r>
        <w:t xml:space="preserve"> rendszeresen számoljon be az Európai Parlamentnek a vizsgálat aktuális állásáról és eredményéről.</w:t>
      </w:r>
    </w:p>
    <w:p w:rsidR="00C6127F" w:rsidRPr="00ED4E93" w:rsidRDefault="00527FDA" w:rsidP="00C6127F">
      <w:r>
        <w:br w:type="page"/>
      </w:r>
    </w:p>
    <w:p w:rsidR="00C6127F" w:rsidRPr="00ED4E93" w:rsidRDefault="00527FDA" w:rsidP="00C6127F">
      <w:pPr>
        <w:pStyle w:val="PageHeadingNotTOC"/>
      </w:pPr>
      <w:bookmarkStart w:id="2" w:name="ProcPageAD"/>
      <w:r>
        <w:lastRenderedPageBreak/>
        <w:t>INFORMÁCIÓ A VÉLEMÉNYNYILVÁNÍTÁSRA FELKÉRT BIZOTTSÁG ÁLTALI ELFOGADÁSRÓL</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53F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b/>
                <w:bCs/>
                <w:color w:val="000000"/>
                <w:sz w:val="20"/>
              </w:rPr>
            </w:pPr>
            <w:r>
              <w:rPr>
                <w:b/>
                <w:color w:val="000000"/>
                <w:sz w:val="20"/>
              </w:rPr>
              <w:t>Az elfogadás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ED4E93" w:rsidRDefault="00527FDA">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ED4E93" w:rsidRDefault="00C6127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6127F" w:rsidRPr="00ED4E93" w:rsidRDefault="00C6127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ED4E93" w:rsidRDefault="00C6127F">
            <w:pPr>
              <w:autoSpaceDE w:val="0"/>
              <w:autoSpaceDN w:val="0"/>
              <w:adjustRightInd w:val="0"/>
              <w:rPr>
                <w:rFonts w:ascii="sans-serif" w:hAnsi="sans-serif" w:cs="sans-serif"/>
                <w:color w:val="000000"/>
                <w:szCs w:val="24"/>
              </w:rPr>
            </w:pPr>
          </w:p>
        </w:tc>
      </w:tr>
      <w:tr w:rsidR="00753F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b/>
                <w:bCs/>
                <w:color w:val="000000"/>
                <w:sz w:val="20"/>
              </w:rPr>
            </w:pPr>
            <w:r>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6127F" w:rsidRPr="00ED4E93" w:rsidRDefault="00527FDA">
            <w:pPr>
              <w:autoSpaceDE w:val="0"/>
              <w:autoSpaceDN w:val="0"/>
              <w:adjustRightInd w:val="0"/>
              <w:rPr>
                <w:color w:val="000000"/>
                <w:sz w:val="20"/>
              </w:rPr>
            </w:pPr>
            <w:r>
              <w:rPr>
                <w:color w:val="000000"/>
                <w:sz w:val="20"/>
              </w:rPr>
              <w:t>+:</w:t>
            </w:r>
          </w:p>
          <w:p w:rsidR="00C6127F" w:rsidRPr="00ED4E93" w:rsidRDefault="00527FDA">
            <w:pPr>
              <w:autoSpaceDE w:val="0"/>
              <w:autoSpaceDN w:val="0"/>
              <w:adjustRightInd w:val="0"/>
              <w:rPr>
                <w:color w:val="000000"/>
                <w:sz w:val="20"/>
              </w:rPr>
            </w:pPr>
            <w:r>
              <w:rPr>
                <w:color w:val="000000"/>
                <w:sz w:val="20"/>
              </w:rPr>
              <w:t>–:</w:t>
            </w:r>
          </w:p>
          <w:p w:rsidR="00C6127F" w:rsidRPr="00ED4E93" w:rsidRDefault="00527FD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color w:val="000000"/>
                <w:sz w:val="20"/>
              </w:rPr>
            </w:pPr>
            <w:r>
              <w:rPr>
                <w:color w:val="000000"/>
                <w:sz w:val="20"/>
              </w:rPr>
              <w:t>51</w:t>
            </w:r>
          </w:p>
          <w:p w:rsidR="00C6127F" w:rsidRPr="00ED4E93" w:rsidRDefault="00527FDA">
            <w:pPr>
              <w:autoSpaceDE w:val="0"/>
              <w:autoSpaceDN w:val="0"/>
              <w:adjustRightInd w:val="0"/>
              <w:rPr>
                <w:color w:val="000000"/>
                <w:sz w:val="20"/>
              </w:rPr>
            </w:pPr>
            <w:r>
              <w:rPr>
                <w:color w:val="000000"/>
                <w:sz w:val="20"/>
              </w:rPr>
              <w:t>4</w:t>
            </w:r>
          </w:p>
          <w:p w:rsidR="00C6127F" w:rsidRPr="00ED4E93" w:rsidRDefault="00527FDA">
            <w:pPr>
              <w:autoSpaceDE w:val="0"/>
              <w:autoSpaceDN w:val="0"/>
              <w:adjustRightInd w:val="0"/>
              <w:rPr>
                <w:color w:val="000000"/>
                <w:sz w:val="20"/>
              </w:rPr>
            </w:pPr>
            <w:r>
              <w:rPr>
                <w:color w:val="000000"/>
                <w:sz w:val="20"/>
              </w:rPr>
              <w:t>0</w:t>
            </w:r>
          </w:p>
        </w:tc>
      </w:tr>
      <w:tr w:rsidR="00753F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b/>
                <w:bCs/>
                <w:color w:val="000000"/>
                <w:sz w:val="20"/>
              </w:rPr>
            </w:pPr>
            <w:r>
              <w:rPr>
                <w:b/>
                <w:color w:val="000000"/>
                <w:sz w:val="20"/>
              </w:rPr>
              <w:t xml:space="preserve">A </w:t>
            </w:r>
            <w:r>
              <w:rPr>
                <w:b/>
                <w:color w:val="000000"/>
                <w:sz w:val="20"/>
              </w:rPr>
              <w:t>zárószavazáson jelen lévő tagok</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color w:val="000000"/>
                <w:sz w:val="20"/>
              </w:rPr>
            </w:pPr>
            <w:r>
              <w:rPr>
                <w:color w:val="000000"/>
                <w:sz w:val="20"/>
              </w:rPr>
              <w:t>Magdalena Adamowicz, Abir Al-Sahlani, Katarina Barley, Pietro Bartolo, Theresa Bielowski, Patrick Breyer, Jorge Buxadé Villalba, Damien Carême, Patricia Chagnon, Lena Düpont, Lucia Ďuriš Nicholsonová, Cornelia Ernst, Laura F</w:t>
            </w:r>
            <w:r>
              <w:rPr>
                <w:color w:val="000000"/>
                <w:sz w:val="20"/>
              </w:rPr>
              <w:t>errara, Nicolaus Fest, Maria Grapini, Sylvie Guillaume, Andrzej Halicki, Evin Incir, Sophia in ‘t Veld, Patryk Jaki, Marina Kaljurand, Assita Kanko, Łukasz Kohut, Moritz Körner, Alice Kuhnke, Jeroen Lenaers, Juan Fernando López Aguilar, Erik Marquardt, Jav</w:t>
            </w:r>
            <w:r>
              <w:rPr>
                <w:color w:val="000000"/>
                <w:sz w:val="20"/>
              </w:rPr>
              <w:t>ier Moreno Sánchez, Maite Pagazaurtundúa, Diana Riba i Giner, Isabel Santos, Birgit Sippel, Vincenzo Sofo, Tineke Strik, Jana Toom, Milan Uhrík, Tom Vandendriessche, Elissavet Vozemberg-Vrionidi, Javier Zarzalejos</w:t>
            </w:r>
          </w:p>
        </w:tc>
      </w:tr>
      <w:tr w:rsidR="00753F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b/>
                <w:bCs/>
                <w:color w:val="000000"/>
                <w:sz w:val="20"/>
              </w:rPr>
            </w:pPr>
            <w:r>
              <w:rPr>
                <w:b/>
                <w:color w:val="000000"/>
                <w:sz w:val="20"/>
              </w:rPr>
              <w:t>A zárószavazáson jelen lévő póttagok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color w:val="000000"/>
                <w:sz w:val="20"/>
              </w:rPr>
            </w:pPr>
            <w:r>
              <w:rPr>
                <w:color w:val="000000"/>
                <w:sz w:val="20"/>
              </w:rPr>
              <w:t>Cyru</w:t>
            </w:r>
            <w:r>
              <w:rPr>
                <w:color w:val="000000"/>
                <w:sz w:val="20"/>
              </w:rPr>
              <w:t>s Engerer, José Gusmão, Beata Kempa, Leopoldo López Gil, Janina Ochojska, Anne-Sophie Pelletier, Bergur Løkke Rasmussen, Róża Thun und Hohenstein, Maria Walsh, Tomáš Zdechovský</w:t>
            </w:r>
          </w:p>
        </w:tc>
      </w:tr>
      <w:tr w:rsidR="00753F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b/>
                <w:bCs/>
                <w:color w:val="000000"/>
                <w:sz w:val="20"/>
              </w:rPr>
            </w:pPr>
            <w:r>
              <w:rPr>
                <w:b/>
                <w:color w:val="000000"/>
                <w:sz w:val="20"/>
              </w:rPr>
              <w:t>A zárószavazáson jelen lévő póttagok (209. cikk, (7) bekezdés)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6127F" w:rsidRPr="00ED4E93" w:rsidRDefault="00527FDA">
            <w:pPr>
              <w:autoSpaceDE w:val="0"/>
              <w:autoSpaceDN w:val="0"/>
              <w:adjustRightInd w:val="0"/>
              <w:rPr>
                <w:color w:val="000000"/>
                <w:sz w:val="20"/>
              </w:rPr>
            </w:pPr>
            <w:r>
              <w:rPr>
                <w:color w:val="000000"/>
                <w:sz w:val="20"/>
              </w:rPr>
              <w:t xml:space="preserve">Andrus Ansip, </w:t>
            </w:r>
            <w:r>
              <w:rPr>
                <w:color w:val="000000"/>
                <w:sz w:val="20"/>
              </w:rPr>
              <w:t>Hildegard Bentele, Maria da Graça Carvalho, Marisa Matias, Caroline Nagtegaal</w:t>
            </w:r>
          </w:p>
        </w:tc>
      </w:tr>
    </w:tbl>
    <w:p w:rsidR="00C6127F" w:rsidRPr="00ED4E93" w:rsidRDefault="00C6127F"/>
    <w:bookmarkEnd w:id="2"/>
    <w:p w:rsidR="004644BA" w:rsidRPr="00ED4E93" w:rsidRDefault="004644BA" w:rsidP="00C6127F">
      <w:pPr>
        <w:sectPr w:rsidR="004644BA" w:rsidRPr="00ED4E93" w:rsidSect="00D97FF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644BA" w:rsidRPr="00ED4E93" w:rsidRDefault="00527FDA" w:rsidP="002B2C72">
      <w:pPr>
        <w:pStyle w:val="PageHeadingNotTOC"/>
        <w:rPr>
          <w:noProof/>
        </w:rPr>
      </w:pPr>
      <w:bookmarkStart w:id="3" w:name="FootprintPageAD"/>
      <w:r>
        <w:lastRenderedPageBreak/>
        <w:t>MELLÉKLET: AZON SZERVEZETEK VAGY SZEMÉLYEK JEGYZÉKE, AMELYEKTŐL, ILLETVE AKIKTŐL AZ ELŐADÓ ÉSZREVÉTELEKET KAPOTT</w:t>
      </w:r>
    </w:p>
    <w:p w:rsidR="004644BA" w:rsidRPr="00ED4E93" w:rsidRDefault="00527FDA" w:rsidP="00037518">
      <w:pPr>
        <w:pStyle w:val="Normal24a"/>
      </w:pPr>
      <w:r>
        <w:rPr>
          <w:rStyle w:val="HideTWBExt"/>
        </w:rPr>
        <w:t>&lt;FootprintIntro&gt;</w:t>
      </w:r>
      <w:r>
        <w:t xml:space="preserve">Az előadó az alábbi szervezetektől vagy </w:t>
      </w:r>
      <w:r>
        <w:t>személyektől kapott észrevételeket a vélemény elkészítése során: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53FD9" w:rsidTr="00F42F07">
        <w:tc>
          <w:tcPr>
            <w:tcW w:w="9286" w:type="dxa"/>
            <w:shd w:val="clear" w:color="auto" w:fill="auto"/>
          </w:tcPr>
          <w:p w:rsidR="004644BA" w:rsidRPr="00ED4E93" w:rsidRDefault="00527FDA" w:rsidP="004644BA">
            <w:pPr>
              <w:pStyle w:val="NormalBoldCenter"/>
            </w:pPr>
            <w:r>
              <w:t>Szervezet és/vagy személy</w:t>
            </w:r>
          </w:p>
        </w:tc>
      </w:tr>
      <w:tr w:rsidR="00753FD9" w:rsidTr="00F42F07">
        <w:tc>
          <w:tcPr>
            <w:tcW w:w="9286" w:type="dxa"/>
            <w:shd w:val="clear" w:color="auto" w:fill="auto"/>
          </w:tcPr>
          <w:p w:rsidR="004644BA" w:rsidRPr="00ED4E93" w:rsidRDefault="00527FDA" w:rsidP="004644BA">
            <w:r>
              <w:t>European Union Agency for Asylum (“EUAA”)</w:t>
            </w:r>
          </w:p>
        </w:tc>
      </w:tr>
    </w:tbl>
    <w:p w:rsidR="004644BA" w:rsidRPr="00ED4E93" w:rsidRDefault="004644BA" w:rsidP="00AD5932"/>
    <w:p w:rsidR="004644BA" w:rsidRPr="00ED4E93" w:rsidRDefault="00527FDA" w:rsidP="004E1B62">
      <w:pPr>
        <w:rPr>
          <w:szCs w:val="24"/>
        </w:rPr>
      </w:pPr>
      <w:r>
        <w:t>A fenti felsorolás az előadó kizárólagos felelősségi körében készült.</w:t>
      </w:r>
    </w:p>
    <w:p w:rsidR="004644BA" w:rsidRPr="00ED4E93" w:rsidRDefault="004644BA" w:rsidP="004644BA"/>
    <w:bookmarkEnd w:id="3"/>
    <w:p w:rsidR="004644BA" w:rsidRPr="00ED4E93" w:rsidRDefault="004644BA" w:rsidP="00C6127F">
      <w:pPr>
        <w:sectPr w:rsidR="004644BA" w:rsidRPr="00ED4E93" w:rsidSect="004644BA">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6127F" w:rsidRPr="00ED4E93" w:rsidRDefault="00527FDA" w:rsidP="00C6127F">
      <w:pPr>
        <w:pStyle w:val="PageHeadingNotTOC"/>
      </w:pPr>
      <w:bookmarkStart w:id="4" w:name="RollCallPageAD"/>
      <w:r>
        <w:lastRenderedPageBreak/>
        <w:t xml:space="preserve">A </w:t>
      </w:r>
      <w:r>
        <w:t>VÉLEMÉNYNYILVÁNÍTÁSRA FELKÉRT BIZOTTSÁG 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3FD9" w:rsidTr="008920AC">
        <w:trPr>
          <w:cantSplit/>
        </w:trPr>
        <w:tc>
          <w:tcPr>
            <w:tcW w:w="1701" w:type="dxa"/>
            <w:shd w:val="pct10" w:color="000000" w:fill="FFFFFF"/>
            <w:vAlign w:val="center"/>
          </w:tcPr>
          <w:p w:rsidR="00C6127F" w:rsidRPr="00ED4E93" w:rsidRDefault="00527FDA" w:rsidP="003858C5">
            <w:pPr>
              <w:pStyle w:val="RollCallVotes"/>
            </w:pPr>
            <w:r>
              <w:t>51</w:t>
            </w:r>
          </w:p>
        </w:tc>
        <w:tc>
          <w:tcPr>
            <w:tcW w:w="7371" w:type="dxa"/>
            <w:shd w:val="pct10" w:color="000000" w:fill="FFFFFF"/>
          </w:tcPr>
          <w:p w:rsidR="00C6127F" w:rsidRPr="00ED4E93" w:rsidRDefault="00527FDA" w:rsidP="003858C5">
            <w:pPr>
              <w:pStyle w:val="RollCallSymbols14pt"/>
            </w:pPr>
            <w:r>
              <w:t>+</w:t>
            </w:r>
          </w:p>
        </w:tc>
      </w:tr>
      <w:tr w:rsidR="00753FD9" w:rsidTr="008920AC">
        <w:trPr>
          <w:cantSplit/>
        </w:trPr>
        <w:tc>
          <w:tcPr>
            <w:tcW w:w="1701" w:type="dxa"/>
            <w:shd w:val="clear" w:color="auto" w:fill="FFFFFF"/>
          </w:tcPr>
          <w:p w:rsidR="00C6127F" w:rsidRPr="00ED4E93" w:rsidRDefault="00527FDA" w:rsidP="003858C5">
            <w:pPr>
              <w:pStyle w:val="RollCallTable"/>
            </w:pPr>
            <w:r>
              <w:t>ECR</w:t>
            </w:r>
          </w:p>
        </w:tc>
        <w:tc>
          <w:tcPr>
            <w:tcW w:w="7371" w:type="dxa"/>
            <w:shd w:val="clear" w:color="auto" w:fill="FFFFFF"/>
          </w:tcPr>
          <w:p w:rsidR="00C6127F" w:rsidRPr="00ED4E93" w:rsidRDefault="00527FDA" w:rsidP="003858C5">
            <w:pPr>
              <w:pStyle w:val="RollCallTable"/>
            </w:pPr>
            <w:r>
              <w:t>Jorge Buxadé Villalba, Patryk Jaki, Assita Kanko, Beata Kempa, Vincenzo Sofo</w:t>
            </w:r>
          </w:p>
        </w:tc>
      </w:tr>
      <w:tr w:rsidR="00753FD9" w:rsidTr="008920AC">
        <w:trPr>
          <w:cantSplit/>
        </w:trPr>
        <w:tc>
          <w:tcPr>
            <w:tcW w:w="1701" w:type="dxa"/>
            <w:shd w:val="clear" w:color="auto" w:fill="FFFFFF"/>
          </w:tcPr>
          <w:p w:rsidR="00C6127F" w:rsidRPr="00ED4E93" w:rsidRDefault="00527FDA" w:rsidP="003858C5">
            <w:pPr>
              <w:pStyle w:val="RollCallTable"/>
            </w:pPr>
            <w:r>
              <w:t>NI</w:t>
            </w:r>
          </w:p>
        </w:tc>
        <w:tc>
          <w:tcPr>
            <w:tcW w:w="7371" w:type="dxa"/>
            <w:shd w:val="clear" w:color="auto" w:fill="FFFFFF"/>
          </w:tcPr>
          <w:p w:rsidR="00C6127F" w:rsidRPr="00ED4E93" w:rsidRDefault="00527FDA" w:rsidP="003858C5">
            <w:pPr>
              <w:pStyle w:val="RollCallTable"/>
            </w:pPr>
            <w:r>
              <w:t>Laura Ferrara</w:t>
            </w:r>
          </w:p>
        </w:tc>
      </w:tr>
      <w:tr w:rsidR="00753FD9" w:rsidTr="008920AC">
        <w:trPr>
          <w:cantSplit/>
        </w:trPr>
        <w:tc>
          <w:tcPr>
            <w:tcW w:w="1701" w:type="dxa"/>
            <w:shd w:val="clear" w:color="auto" w:fill="FFFFFF"/>
          </w:tcPr>
          <w:p w:rsidR="00C6127F" w:rsidRPr="00ED4E93" w:rsidRDefault="00527FDA" w:rsidP="003858C5">
            <w:pPr>
              <w:pStyle w:val="RollCallTable"/>
            </w:pPr>
            <w:r>
              <w:t>PPE</w:t>
            </w:r>
          </w:p>
        </w:tc>
        <w:tc>
          <w:tcPr>
            <w:tcW w:w="7371" w:type="dxa"/>
            <w:shd w:val="clear" w:color="auto" w:fill="FFFFFF"/>
          </w:tcPr>
          <w:p w:rsidR="00C6127F" w:rsidRPr="00ED4E93" w:rsidRDefault="00527FDA" w:rsidP="003858C5">
            <w:pPr>
              <w:pStyle w:val="RollCallTable"/>
            </w:pPr>
            <w:r>
              <w:t xml:space="preserve">Magdalena Adamowicz, Hildegard Bentele, Maria da Graça Carvalho, Lena Düpont, </w:t>
            </w:r>
            <w:r>
              <w:t>Andrzej Halicki, Jeroen Lenaers, Leopoldo López Gil, Janina Ochojska, Elissavet Vozemberg-Vrionidi, Maria Walsh, Javier Zarzalejos, Tomáš Zdechovský</w:t>
            </w:r>
          </w:p>
        </w:tc>
      </w:tr>
      <w:tr w:rsidR="00753FD9" w:rsidTr="008920AC">
        <w:trPr>
          <w:cantSplit/>
        </w:trPr>
        <w:tc>
          <w:tcPr>
            <w:tcW w:w="1701" w:type="dxa"/>
            <w:shd w:val="clear" w:color="auto" w:fill="FFFFFF"/>
          </w:tcPr>
          <w:p w:rsidR="00C6127F" w:rsidRPr="00ED4E93" w:rsidRDefault="00527FDA" w:rsidP="003858C5">
            <w:pPr>
              <w:pStyle w:val="RollCallTable"/>
            </w:pPr>
            <w:r>
              <w:t>Renew</w:t>
            </w:r>
          </w:p>
        </w:tc>
        <w:tc>
          <w:tcPr>
            <w:tcW w:w="7371" w:type="dxa"/>
            <w:shd w:val="clear" w:color="auto" w:fill="FFFFFF"/>
          </w:tcPr>
          <w:p w:rsidR="00C6127F" w:rsidRPr="00ED4E93" w:rsidRDefault="00527FDA" w:rsidP="003858C5">
            <w:pPr>
              <w:pStyle w:val="RollCallTable"/>
            </w:pPr>
            <w:r>
              <w:t xml:space="preserve">Abir Al-Sahlani, Andrus Ansip, Lucia Ďuriš Nicholsonová, Sophia in 't Veld, Moritz Körner, Caroline </w:t>
            </w:r>
            <w:r>
              <w:t>Nagtegaal, Maite Pagazaurtundúa, Bergur Løkke Rasmussen, Róża Thun und Hohenstein, Jana Toom</w:t>
            </w:r>
          </w:p>
        </w:tc>
      </w:tr>
      <w:tr w:rsidR="00753FD9" w:rsidTr="008920AC">
        <w:trPr>
          <w:cantSplit/>
        </w:trPr>
        <w:tc>
          <w:tcPr>
            <w:tcW w:w="1701" w:type="dxa"/>
            <w:shd w:val="clear" w:color="auto" w:fill="FFFFFF"/>
          </w:tcPr>
          <w:p w:rsidR="00C6127F" w:rsidRPr="00ED4E93" w:rsidRDefault="00527FDA" w:rsidP="003858C5">
            <w:pPr>
              <w:pStyle w:val="RollCallTable"/>
            </w:pPr>
            <w:r>
              <w:t>S&amp;D</w:t>
            </w:r>
          </w:p>
        </w:tc>
        <w:tc>
          <w:tcPr>
            <w:tcW w:w="7371" w:type="dxa"/>
            <w:shd w:val="clear" w:color="auto" w:fill="FFFFFF"/>
          </w:tcPr>
          <w:p w:rsidR="00C6127F" w:rsidRPr="00ED4E93" w:rsidRDefault="00527FDA" w:rsidP="003858C5">
            <w:pPr>
              <w:pStyle w:val="RollCallTable"/>
            </w:pPr>
            <w:r>
              <w:t xml:space="preserve">Katarina Barley, Pietro Bartolo, Theresa Bielowski, Cyrus Engerer, Maria Grapini, Sylvie Guillaume, Evin Incir, Marina Kaljurand, Łukasz Kohut, Juan Fernando </w:t>
            </w:r>
            <w:r>
              <w:t>López Aguilar, Javier Moreno Sánchez, Isabel Santos, Birgit Sippel</w:t>
            </w:r>
          </w:p>
        </w:tc>
      </w:tr>
      <w:tr w:rsidR="00753FD9" w:rsidTr="008920AC">
        <w:trPr>
          <w:cantSplit/>
        </w:trPr>
        <w:tc>
          <w:tcPr>
            <w:tcW w:w="1701" w:type="dxa"/>
            <w:shd w:val="clear" w:color="auto" w:fill="FFFFFF"/>
          </w:tcPr>
          <w:p w:rsidR="00C6127F" w:rsidRPr="00ED4E93" w:rsidRDefault="00527FDA" w:rsidP="003858C5">
            <w:pPr>
              <w:pStyle w:val="RollCallTable"/>
            </w:pPr>
            <w:r>
              <w:t>The Left</w:t>
            </w:r>
          </w:p>
        </w:tc>
        <w:tc>
          <w:tcPr>
            <w:tcW w:w="7371" w:type="dxa"/>
            <w:shd w:val="clear" w:color="auto" w:fill="FFFFFF"/>
          </w:tcPr>
          <w:p w:rsidR="00C6127F" w:rsidRPr="00ED4E93" w:rsidRDefault="00527FDA" w:rsidP="003858C5">
            <w:pPr>
              <w:pStyle w:val="RollCallTable"/>
            </w:pPr>
            <w:r>
              <w:t>Cornelia Ernst, José Gusmão, Marisa Matias, Anne-Sophie Pelletier</w:t>
            </w:r>
          </w:p>
        </w:tc>
      </w:tr>
      <w:tr w:rsidR="00753FD9" w:rsidTr="008920AC">
        <w:trPr>
          <w:cantSplit/>
        </w:trPr>
        <w:tc>
          <w:tcPr>
            <w:tcW w:w="1701" w:type="dxa"/>
            <w:shd w:val="clear" w:color="auto" w:fill="FFFFFF"/>
          </w:tcPr>
          <w:p w:rsidR="00C6127F" w:rsidRPr="00ED4E93" w:rsidRDefault="00527FDA" w:rsidP="003858C5">
            <w:pPr>
              <w:pStyle w:val="RollCallTable"/>
            </w:pPr>
            <w:r>
              <w:t>Verts/ALE</w:t>
            </w:r>
          </w:p>
        </w:tc>
        <w:tc>
          <w:tcPr>
            <w:tcW w:w="7371" w:type="dxa"/>
            <w:shd w:val="clear" w:color="auto" w:fill="FFFFFF"/>
          </w:tcPr>
          <w:p w:rsidR="00C6127F" w:rsidRPr="00ED4E93" w:rsidRDefault="00527FDA" w:rsidP="003858C5">
            <w:pPr>
              <w:pStyle w:val="RollCallTable"/>
            </w:pPr>
            <w:r>
              <w:t>Patrick Breyer, Damien Carême, Alice Kuhnke, Erik Marquardt, Diana Riba i Giner, Tineke Strik</w:t>
            </w:r>
          </w:p>
        </w:tc>
      </w:tr>
    </w:tbl>
    <w:p w:rsidR="00C6127F" w:rsidRPr="00ED4E93" w:rsidRDefault="00C6127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3FD9" w:rsidTr="008920AC">
        <w:trPr>
          <w:cantSplit/>
        </w:trPr>
        <w:tc>
          <w:tcPr>
            <w:tcW w:w="1701" w:type="dxa"/>
            <w:shd w:val="pct10" w:color="000000" w:fill="FFFFFF"/>
            <w:vAlign w:val="center"/>
          </w:tcPr>
          <w:p w:rsidR="00C6127F" w:rsidRPr="00ED4E93" w:rsidRDefault="00527FDA" w:rsidP="003858C5">
            <w:pPr>
              <w:pStyle w:val="RollCallVotes"/>
            </w:pPr>
            <w:r>
              <w:t>4</w:t>
            </w:r>
          </w:p>
        </w:tc>
        <w:tc>
          <w:tcPr>
            <w:tcW w:w="7371" w:type="dxa"/>
            <w:shd w:val="pct10" w:color="000000" w:fill="FFFFFF"/>
          </w:tcPr>
          <w:p w:rsidR="00C6127F" w:rsidRPr="00ED4E93" w:rsidRDefault="00527FDA" w:rsidP="003858C5">
            <w:pPr>
              <w:pStyle w:val="RollCallSymbols14pt"/>
            </w:pPr>
            <w:r>
              <w:t>-</w:t>
            </w:r>
          </w:p>
        </w:tc>
      </w:tr>
      <w:tr w:rsidR="00753FD9" w:rsidTr="008920AC">
        <w:trPr>
          <w:cantSplit/>
        </w:trPr>
        <w:tc>
          <w:tcPr>
            <w:tcW w:w="1701" w:type="dxa"/>
            <w:shd w:val="clear" w:color="auto" w:fill="FFFFFF"/>
          </w:tcPr>
          <w:p w:rsidR="00C6127F" w:rsidRPr="00ED4E93" w:rsidRDefault="00527FDA" w:rsidP="003858C5">
            <w:pPr>
              <w:pStyle w:val="RollCallTable"/>
            </w:pPr>
            <w:r>
              <w:t>ID</w:t>
            </w:r>
          </w:p>
        </w:tc>
        <w:tc>
          <w:tcPr>
            <w:tcW w:w="7371" w:type="dxa"/>
            <w:shd w:val="clear" w:color="auto" w:fill="FFFFFF"/>
          </w:tcPr>
          <w:p w:rsidR="00C6127F" w:rsidRPr="00ED4E93" w:rsidRDefault="00527FDA" w:rsidP="003858C5">
            <w:pPr>
              <w:pStyle w:val="RollCallTable"/>
            </w:pPr>
            <w:r>
              <w:t>Patricia Chagnon, Nicolaus Fest, Tom Vandendriessche</w:t>
            </w:r>
          </w:p>
        </w:tc>
      </w:tr>
      <w:tr w:rsidR="00753FD9" w:rsidTr="008920AC">
        <w:trPr>
          <w:cantSplit/>
        </w:trPr>
        <w:tc>
          <w:tcPr>
            <w:tcW w:w="1701" w:type="dxa"/>
            <w:shd w:val="clear" w:color="auto" w:fill="FFFFFF"/>
          </w:tcPr>
          <w:p w:rsidR="00C6127F" w:rsidRPr="00ED4E93" w:rsidRDefault="00527FDA" w:rsidP="003858C5">
            <w:pPr>
              <w:pStyle w:val="RollCallTable"/>
            </w:pPr>
            <w:r>
              <w:t>NI</w:t>
            </w:r>
          </w:p>
        </w:tc>
        <w:tc>
          <w:tcPr>
            <w:tcW w:w="7371" w:type="dxa"/>
            <w:shd w:val="clear" w:color="auto" w:fill="FFFFFF"/>
          </w:tcPr>
          <w:p w:rsidR="00C6127F" w:rsidRPr="00ED4E93" w:rsidRDefault="00527FDA" w:rsidP="003858C5">
            <w:pPr>
              <w:pStyle w:val="RollCallTable"/>
            </w:pPr>
            <w:r>
              <w:t>Milan Uhrík</w:t>
            </w:r>
          </w:p>
        </w:tc>
      </w:tr>
    </w:tbl>
    <w:p w:rsidR="00C6127F" w:rsidRPr="00ED4E93" w:rsidRDefault="00C6127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3FD9" w:rsidTr="008920AC">
        <w:trPr>
          <w:cantSplit/>
        </w:trPr>
        <w:tc>
          <w:tcPr>
            <w:tcW w:w="1701" w:type="dxa"/>
            <w:shd w:val="pct10" w:color="000000" w:fill="FFFFFF"/>
            <w:vAlign w:val="center"/>
          </w:tcPr>
          <w:p w:rsidR="00C6127F" w:rsidRPr="00ED4E93" w:rsidRDefault="00527FDA" w:rsidP="003858C5">
            <w:pPr>
              <w:pStyle w:val="RollCallVotes"/>
            </w:pPr>
            <w:r>
              <w:t>0</w:t>
            </w:r>
          </w:p>
        </w:tc>
        <w:tc>
          <w:tcPr>
            <w:tcW w:w="7371" w:type="dxa"/>
            <w:shd w:val="pct10" w:color="000000" w:fill="FFFFFF"/>
          </w:tcPr>
          <w:p w:rsidR="00C6127F" w:rsidRPr="00ED4E93" w:rsidRDefault="00527FDA" w:rsidP="003858C5">
            <w:pPr>
              <w:pStyle w:val="RollCallSymbols14pt"/>
            </w:pPr>
            <w:r>
              <w:t>0</w:t>
            </w:r>
          </w:p>
        </w:tc>
      </w:tr>
      <w:tr w:rsidR="00753FD9" w:rsidTr="008920AC">
        <w:trPr>
          <w:cantSplit/>
        </w:trPr>
        <w:tc>
          <w:tcPr>
            <w:tcW w:w="1701" w:type="dxa"/>
            <w:shd w:val="clear" w:color="auto" w:fill="FFFFFF"/>
          </w:tcPr>
          <w:p w:rsidR="00C6127F" w:rsidRPr="00ED4E93" w:rsidRDefault="00C6127F" w:rsidP="003858C5">
            <w:pPr>
              <w:pStyle w:val="RollCallTable"/>
            </w:pPr>
          </w:p>
        </w:tc>
        <w:tc>
          <w:tcPr>
            <w:tcW w:w="7371" w:type="dxa"/>
            <w:shd w:val="clear" w:color="auto" w:fill="FFFFFF"/>
          </w:tcPr>
          <w:p w:rsidR="00C6127F" w:rsidRPr="00ED4E93" w:rsidRDefault="00C6127F" w:rsidP="003858C5">
            <w:pPr>
              <w:pStyle w:val="RollCallTable"/>
            </w:pPr>
          </w:p>
        </w:tc>
      </w:tr>
    </w:tbl>
    <w:p w:rsidR="00C6127F" w:rsidRPr="00ED4E93" w:rsidRDefault="00C6127F" w:rsidP="00147FBF">
      <w:pPr>
        <w:pStyle w:val="Normal12a"/>
      </w:pPr>
    </w:p>
    <w:p w:rsidR="00C6127F" w:rsidRPr="00ED4E93" w:rsidRDefault="00527FDA" w:rsidP="00B735E3">
      <w:r>
        <w:t>Jelmagyarázat:</w:t>
      </w:r>
    </w:p>
    <w:p w:rsidR="00C6127F" w:rsidRPr="00ED4E93" w:rsidRDefault="00527FDA" w:rsidP="003858C5">
      <w:pPr>
        <w:pStyle w:val="RollCallTabs"/>
      </w:pPr>
      <w:r>
        <w:t>+</w:t>
      </w:r>
      <w:r>
        <w:tab/>
        <w:t>:</w:t>
      </w:r>
      <w:r>
        <w:tab/>
        <w:t>mellette</w:t>
      </w:r>
    </w:p>
    <w:p w:rsidR="00C6127F" w:rsidRPr="00ED4E93" w:rsidRDefault="00527FDA" w:rsidP="003858C5">
      <w:pPr>
        <w:pStyle w:val="RollCallTabs"/>
      </w:pPr>
      <w:r>
        <w:t>-</w:t>
      </w:r>
      <w:r>
        <w:tab/>
        <w:t>:</w:t>
      </w:r>
      <w:r>
        <w:tab/>
        <w:t>ellene</w:t>
      </w:r>
    </w:p>
    <w:p w:rsidR="00C6127F" w:rsidRPr="00ED4E93" w:rsidRDefault="00527FDA" w:rsidP="003858C5">
      <w:pPr>
        <w:pStyle w:val="RollCallTabs"/>
      </w:pPr>
      <w:r>
        <w:t>0</w:t>
      </w:r>
      <w:r>
        <w:tab/>
        <w:t>:</w:t>
      </w:r>
      <w:r>
        <w:tab/>
        <w:t>tartózkodás</w:t>
      </w:r>
    </w:p>
    <w:p w:rsidR="00C6127F" w:rsidRPr="00ED4E93" w:rsidRDefault="00C6127F" w:rsidP="00207509"/>
    <w:bookmarkEnd w:id="4"/>
    <w:p w:rsidR="002E6F98" w:rsidRPr="00ED4E93" w:rsidRDefault="002E6F98" w:rsidP="00C6127F"/>
    <w:sectPr w:rsidR="002E6F98" w:rsidRPr="00ED4E93" w:rsidSect="004644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27FDA">
      <w:r>
        <w:separator/>
      </w:r>
    </w:p>
  </w:endnote>
  <w:endnote w:type="continuationSeparator" w:id="0">
    <w:p w:rsidR="00000000" w:rsidRDefault="00527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FF2" w:rsidRPr="00ED4E93" w:rsidRDefault="00527FDA" w:rsidP="00D97FF2">
    <w:pPr>
      <w:pStyle w:val="EPFooter"/>
    </w:pPr>
    <w:r w:rsidRPr="00ED4E93">
      <w:t>PE</w:t>
    </w:r>
    <w:r w:rsidRPr="00ED4E93">
      <w:rPr>
        <w:rStyle w:val="HideTWBExt"/>
      </w:rPr>
      <w:t>&lt;NoPE&gt;</w:t>
    </w:r>
    <w:r w:rsidRPr="00ED4E93">
      <w:t>756.192</w:t>
    </w:r>
    <w:r w:rsidRPr="00ED4E93">
      <w:rPr>
        <w:rStyle w:val="HideTWBExt"/>
      </w:rPr>
      <w:t>&lt;/NoPE&gt;&lt;Version&gt;</w:t>
    </w:r>
    <w:r w:rsidRPr="00ED4E93">
      <w:t>v03-00</w:t>
    </w:r>
    <w:r w:rsidRPr="00ED4E93">
      <w:rPr>
        <w:rStyle w:val="HideTWBExt"/>
      </w:rPr>
      <w:t>&lt;/Version&gt;</w:t>
    </w:r>
    <w:r w:rsidRPr="00ED4E93">
      <w:tab/>
    </w:r>
    <w:r w:rsidRPr="00ED4E93">
      <w:fldChar w:fldCharType="begin"/>
    </w:r>
    <w:r w:rsidRPr="00ED4E93">
      <w:instrText xml:space="preserve"> PAGE  \* MERGEFORMAT </w:instrText>
    </w:r>
    <w:r w:rsidRPr="00ED4E93">
      <w:fldChar w:fldCharType="separate"/>
    </w:r>
    <w:r>
      <w:rPr>
        <w:noProof/>
      </w:rPr>
      <w:t>2</w:t>
    </w:r>
    <w:r w:rsidRPr="00ED4E93">
      <w:fldChar w:fldCharType="end"/>
    </w:r>
    <w:r w:rsidRPr="00ED4E93">
      <w:t>/</w:t>
    </w:r>
    <w:r w:rsidR="00ED4E93">
      <w:fldChar w:fldCharType="begin"/>
    </w:r>
    <w:r>
      <w:instrText xml:space="preserve"> NUMPAGES  \* MERGEFORMAT </w:instrText>
    </w:r>
    <w:r w:rsidR="00ED4E93">
      <w:fldChar w:fldCharType="separate"/>
    </w:r>
    <w:r>
      <w:rPr>
        <w:noProof/>
      </w:rPr>
      <w:t>7</w:t>
    </w:r>
    <w:r w:rsidR="00ED4E93">
      <w:rPr>
        <w:noProof/>
      </w:rPr>
      <w:fldChar w:fldCharType="end"/>
    </w:r>
    <w:r w:rsidRPr="00ED4E93">
      <w:tab/>
    </w:r>
    <w:r w:rsidRPr="00ED4E93">
      <w:rPr>
        <w:rStyle w:val="HideTWBExt"/>
      </w:rPr>
      <w:t>&lt;PathFdR&gt;</w:t>
    </w:r>
    <w:r w:rsidRPr="00ED4E93">
      <w:t>AD\1295225HU.docx</w:t>
    </w:r>
    <w:r w:rsidRPr="00ED4E93">
      <w:rPr>
        <w:rStyle w:val="HideTWBExt"/>
      </w:rPr>
      <w:t>&lt;/PathFdR&gt;</w:t>
    </w:r>
  </w:p>
  <w:p w:rsidR="002E2F2E" w:rsidRPr="00ED4E93" w:rsidRDefault="00527FDA" w:rsidP="00D97FF2">
    <w:pPr>
      <w:pStyle w:val="EPFooter2"/>
    </w:pPr>
    <w:r w:rsidRPr="00ED4E9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FF2" w:rsidRPr="00ED4E93" w:rsidRDefault="00527FDA" w:rsidP="00D97FF2">
    <w:pPr>
      <w:pStyle w:val="EPFooter"/>
    </w:pPr>
    <w:r w:rsidRPr="00ED4E93">
      <w:rPr>
        <w:rStyle w:val="HideTWBExt"/>
      </w:rPr>
      <w:t>&lt;PathFdR&gt;</w:t>
    </w:r>
    <w:r w:rsidRPr="00ED4E93">
      <w:t>AD\1295225HU.docx</w:t>
    </w:r>
    <w:r w:rsidRPr="00ED4E93">
      <w:rPr>
        <w:rStyle w:val="HideTWBExt"/>
      </w:rPr>
      <w:t>&lt;/PathFdR&gt;</w:t>
    </w:r>
    <w:r w:rsidRPr="00ED4E93">
      <w:tab/>
    </w:r>
    <w:r w:rsidRPr="00ED4E93">
      <w:fldChar w:fldCharType="begin"/>
    </w:r>
    <w:r w:rsidRPr="00ED4E93">
      <w:instrText xml:space="preserve"> PAGE  \* MERGEFORMAT </w:instrText>
    </w:r>
    <w:r w:rsidRPr="00ED4E93">
      <w:fldChar w:fldCharType="separate"/>
    </w:r>
    <w:r>
      <w:rPr>
        <w:noProof/>
      </w:rPr>
      <w:t>7</w:t>
    </w:r>
    <w:r w:rsidRPr="00ED4E93">
      <w:fldChar w:fldCharType="end"/>
    </w:r>
    <w:r w:rsidRPr="00ED4E93">
      <w:t>/</w:t>
    </w:r>
    <w:r w:rsidR="00ED4E93" w:rsidRPr="00ED4E93">
      <w:fldChar w:fldCharType="begin"/>
    </w:r>
    <w:r>
      <w:instrText xml:space="preserve"> NUMPAGES  \* MERGEFORMAT </w:instrText>
    </w:r>
    <w:r w:rsidR="00ED4E93" w:rsidRPr="00ED4E93">
      <w:fldChar w:fldCharType="separate"/>
    </w:r>
    <w:r>
      <w:rPr>
        <w:noProof/>
      </w:rPr>
      <w:t>7</w:t>
    </w:r>
    <w:r w:rsidR="00ED4E93" w:rsidRPr="00ED4E93">
      <w:rPr>
        <w:noProof/>
      </w:rPr>
      <w:fldChar w:fldCharType="end"/>
    </w:r>
    <w:r w:rsidRPr="00ED4E93">
      <w:tab/>
      <w:t>PE</w:t>
    </w:r>
    <w:r w:rsidRPr="00ED4E93">
      <w:rPr>
        <w:rStyle w:val="HideTWBExt"/>
      </w:rPr>
      <w:t>&lt;NoPE&gt;</w:t>
    </w:r>
    <w:r w:rsidRPr="00ED4E93">
      <w:t>756.192</w:t>
    </w:r>
    <w:r w:rsidRPr="00ED4E93">
      <w:rPr>
        <w:rStyle w:val="HideTWBExt"/>
      </w:rPr>
      <w:t>&lt;/NoPE&gt;&lt;Version&gt;</w:t>
    </w:r>
    <w:r w:rsidRPr="00ED4E93">
      <w:t>v03-00</w:t>
    </w:r>
    <w:r w:rsidRPr="00ED4E93">
      <w:rPr>
        <w:rStyle w:val="HideTWBExt"/>
      </w:rPr>
      <w:t>&lt;/Version&gt;</w:t>
    </w:r>
  </w:p>
  <w:p w:rsidR="002E2F2E" w:rsidRPr="00ED4E93" w:rsidRDefault="00527FDA" w:rsidP="00D97FF2">
    <w:pPr>
      <w:pStyle w:val="EPFooter2"/>
    </w:pPr>
    <w:r w:rsidRPr="00ED4E93">
      <w:tab/>
    </w:r>
    <w:r w:rsidRPr="00ED4E93">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FF2" w:rsidRPr="00ED4E93" w:rsidRDefault="00527FDA" w:rsidP="00D97FF2">
    <w:pPr>
      <w:pStyle w:val="EPFooter"/>
    </w:pPr>
    <w:r w:rsidRPr="00ED4E93">
      <w:rPr>
        <w:rStyle w:val="HideTWBExt"/>
      </w:rPr>
      <w:t>&lt;PathFdR&gt;</w:t>
    </w:r>
    <w:r w:rsidRPr="00ED4E93">
      <w:t>AD\1295225HU.docx</w:t>
    </w:r>
    <w:r w:rsidRPr="00ED4E93">
      <w:rPr>
        <w:rStyle w:val="HideTWBExt"/>
      </w:rPr>
      <w:t>&lt;/PathFdR&gt;</w:t>
    </w:r>
    <w:r w:rsidRPr="00ED4E93">
      <w:tab/>
    </w:r>
    <w:r w:rsidRPr="00ED4E93">
      <w:tab/>
      <w:t>PE</w:t>
    </w:r>
    <w:r w:rsidRPr="00ED4E93">
      <w:rPr>
        <w:rStyle w:val="HideTWBExt"/>
      </w:rPr>
      <w:t>&lt;NoPE&gt;</w:t>
    </w:r>
    <w:r w:rsidRPr="00ED4E93">
      <w:t>756.192</w:t>
    </w:r>
    <w:r w:rsidRPr="00ED4E93">
      <w:rPr>
        <w:rStyle w:val="HideTWBExt"/>
      </w:rPr>
      <w:t>&lt;/NoPE&gt;&lt;Version</w:t>
    </w:r>
    <w:r w:rsidRPr="00ED4E93">
      <w:rPr>
        <w:rStyle w:val="HideTWBExt"/>
      </w:rPr>
      <w:t>&gt;</w:t>
    </w:r>
    <w:r w:rsidRPr="00ED4E93">
      <w:t>v03-00</w:t>
    </w:r>
    <w:r w:rsidRPr="00ED4E93">
      <w:rPr>
        <w:rStyle w:val="HideTWBExt"/>
      </w:rPr>
      <w:t>&lt;/Version&gt;</w:t>
    </w:r>
  </w:p>
  <w:p w:rsidR="002E2F2E" w:rsidRPr="00ED4E93" w:rsidRDefault="00527FDA" w:rsidP="00D97FF2">
    <w:pPr>
      <w:pStyle w:val="EPFooter2"/>
    </w:pPr>
    <w:r w:rsidRPr="00ED4E93">
      <w:t>HU</w:t>
    </w:r>
    <w:r w:rsidRPr="00ED4E93">
      <w:tab/>
    </w:r>
    <w:r w:rsidRPr="00ED4E93">
      <w:rPr>
        <w:b w:val="0"/>
        <w:i/>
        <w:color w:val="C0C0C0"/>
        <w:sz w:val="22"/>
      </w:rPr>
      <w:t>Egyesülve a sokféleségben</w:t>
    </w:r>
    <w:r w:rsidRPr="00ED4E93">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27FDA">
      <w:r>
        <w:separator/>
      </w:r>
    </w:p>
  </w:footnote>
  <w:footnote w:type="continuationSeparator" w:id="0">
    <w:p w:rsidR="00000000" w:rsidRDefault="00527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DA" w:rsidRDefault="00527F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DA" w:rsidRDefault="00527F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7FDA" w:rsidRDefault="00527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16410 HideTWBInt;}{_x000d__x000a_\s18\ql \fi-567\li567\ri0\sa240\nowidctlpar\wrapdefault\aspalpha\aspnum\faauto\adjustright\rin0\lin567\itap0 \rtlch\fcs1 \af0\afs20\alang1025 \ltrch\fcs0 \fs24\lang2057\langfe2057\cgrid\langnp2057\langfenp2057 _x000d__x000a_\sbasedon0 \snext18 \spriority0 \styrsid11216410 NormalHanging12a;}}{\*\rsidtbl \rsid24658\rsid223860\rsid735077\rsid1718133\rsid2892074\rsid3565327\rsid4666813\rsid6641733\rsid7823322\rsid8084986\rsid9636012\rsid10377208\rsid11215221\rsid11216410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9\min41}{\revtim\yr2024\mo1\dy22\hr9\min41}{\version1}{\edmins0}{\nofpages1}{\nofwords1}{\nofchars12}{\nofcharsws12}{\vern109}}{\*\xmlnstbl {\xmlns1 http://schemas.microso_x000d__x000a_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6410\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084986 \chftnsep _x000d__x000a_\par }}{\*\ftnsepc \ltrpar \pard\plain \ltrpar\ql \li0\ri0\widctlpar\wrapdefault\aspalpha\aspnum\faauto\adjustright\rin0\lin0\itap0 \rtlch\fcs1 \af0\afs20\alang1025 \ltrch\fcs0 \fs24\lang2057\langfe2057\cgrid\langnp2057\langfenp2057 {\rtlch\fcs1 \af0 _x000d__x000a_\ltrch\fcs0 \insrsid8084986 \chftnsepc _x000d__x000a_\par }}{\*\aftnsep \ltrpar \pard\plain \ltrpar\ql \li0\ri0\widctlpar\wrapdefault\aspalpha\aspnum\faauto\adjustright\rin0\lin0\itap0 \rtlch\fcs1 \af0\afs20\alang1025 \ltrch\fcs0 \fs24\lang2057\langfe2057\cgrid\langnp2057\langfenp2057 {\rtlch\fcs1 \af0 _x000d__x000a_\ltrch\fcs0 \insrsid8084986 \chftnsep _x000d__x000a_\par }}{\*\aftnsepc \ltrpar \pard\plain \ltrpar\ql \li0\ri0\widctlpar\wrapdefault\aspalpha\aspnum\faauto\adjustright\rin0\lin0\itap0 \rtlch\fcs1 \af0\afs20\alang1025 \ltrch\fcs0 \fs24\lang2057\langfe2057\cgrid\langnp2057\langfenp2057 {\rtlch\fcs1 \af0 _x000d__x000a_\ltrch\fcs0 \insrsid8084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216410 \rtlch\fcs1 \af0\afs20\alang1025 \ltrch\fcs0 \fs24\lang2057\langfe2057\cgrid\langnp2057\langfenp2057 {\rtlch\fcs1 \af0 _x000d__x000a_\ltrch\fcs0 \insrsid11216410\charrsid13044652 {\*\bkmkstart restart}#}{\rtlch\fcs1 \af1 \ltrch\fcs0 \cs17\v\f1\fs20\cf15\insrsid11216410\charrsid13044652 NRMSG}{\rtlch\fcs1 \af0 \ltrch\fcs0 \insrsid11216410\charrsid13044652 #.\tab ##}{\rtlch\fcs1 \af0 _x000d__x000a_\ltrch\fcs0 \insrsid1121641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d2_x000d__x000a_05bc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573648 NormalHanging12a;}}{\*\rsidtbl \rsid24658\rsid223860\rsid735077\rsid1718133\rsid1902990\rsid2892074\rsid3565327\rsid4666813\rsid6641733\rsid7823322_x000d__x000a_\rsid9636012\rsid10377208\rsid10573648\rsid11215221\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9\min41}{\revtim\yr2024\mo1\dy22\hr9\min41}{\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736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902990 \chftnsep _x000d__x000a_\par }}{\*\ftnsepc \ltrpar \pard\plain \ltrpar\ql \li0\ri0\widctlpar\wrapdefault\aspalpha\aspnum\faauto\adjustright\rin0\lin0\itap0 \rtlch\fcs1 \af0\afs20\alang1025 \ltrch\fcs0 \fs24\lang2057\langfe2057\cgrid\langnp2057\langfenp2057 {\rtlch\fcs1 \af0 _x000d__x000a_\ltrch\fcs0 \insrsid1902990 \chftnsepc _x000d__x000a_\par }}{\*\aftnsep \ltrpar \pard\plain \ltrpar\ql \li0\ri0\widctlpar\wrapdefault\aspalpha\aspnum\faauto\adjustright\rin0\lin0\itap0 \rtlch\fcs1 \af0\afs20\alang1025 \ltrch\fcs0 \fs24\lang2057\langfe2057\cgrid\langnp2057\langfenp2057 {\rtlch\fcs1 \af0 _x000d__x000a_\ltrch\fcs0 \insrsid1902990 \chftnsep _x000d__x000a_\par }}{\*\aftnsepc \ltrpar \pard\plain \ltrpar\ql \li0\ri0\widctlpar\wrapdefault\aspalpha\aspnum\faauto\adjustright\rin0\lin0\itap0 \rtlch\fcs1 \af0\afs20\alang1025 \ltrch\fcs0 \fs24\lang2057\langfe2057\cgrid\langnp2057\langfenp2057 {\rtlch\fcs1 \af0 _x000d__x000a_\ltrch\fcs0 \insrsid19029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573648 \rtlch\fcs1 \af0\afs20\alang1025 \ltrch\fcs0 \fs24\lang2057\langfe2057\cgrid\langnp2057\langfenp2057 {\rtlch\fcs1 \af0 _x000d__x000a_\ltrch\fcs0 \insrsid10573648\charrsid1525456 {\*\bkmkstart restart}[ZSUGGESTIONNR]\tab [ZSUGGESTIONTEXT]}{\rtlch\fcs1 \af0 \ltrch\fcs0 \insrsid105736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8b_x000d__x000a_d9be0e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HU"/>
    <w:docVar w:name="TXTLANGUEMIN" w:val="hu"/>
    <w:docVar w:name="TXTNRPE" w:val="756.192"/>
    <w:docVar w:name="TXTNRPROC" w:val="2023/2164"/>
    <w:docVar w:name="TXTPEorAP" w:val="PE"/>
    <w:docVar w:name="TXTROUTE" w:val="AD\1295225HU.docx"/>
    <w:docVar w:name="TXTTITLE" w:val="of European Union Agency for Asylum (before 19.1.2022 the European Asylum Support Office) for the financial year 2022"/>
    <w:docVar w:name="TXTVERSION" w:val="03-00"/>
  </w:docVars>
  <w:rsids>
    <w:rsidRoot w:val="00D77785"/>
    <w:rsid w:val="00037518"/>
    <w:rsid w:val="000E7EBF"/>
    <w:rsid w:val="00124F60"/>
    <w:rsid w:val="00135121"/>
    <w:rsid w:val="00140BE6"/>
    <w:rsid w:val="00147F4E"/>
    <w:rsid w:val="00147FBF"/>
    <w:rsid w:val="0016635E"/>
    <w:rsid w:val="00171389"/>
    <w:rsid w:val="001746D0"/>
    <w:rsid w:val="0017543E"/>
    <w:rsid w:val="001B7393"/>
    <w:rsid w:val="001D2ED9"/>
    <w:rsid w:val="001F21C1"/>
    <w:rsid w:val="00207509"/>
    <w:rsid w:val="00273418"/>
    <w:rsid w:val="002B2C72"/>
    <w:rsid w:val="002D28A7"/>
    <w:rsid w:val="002E2F2E"/>
    <w:rsid w:val="002E6F98"/>
    <w:rsid w:val="00325BCB"/>
    <w:rsid w:val="00331944"/>
    <w:rsid w:val="00332AD9"/>
    <w:rsid w:val="00347D2C"/>
    <w:rsid w:val="0037356F"/>
    <w:rsid w:val="003858C5"/>
    <w:rsid w:val="00390EB2"/>
    <w:rsid w:val="00396A0E"/>
    <w:rsid w:val="003E2402"/>
    <w:rsid w:val="00422DF2"/>
    <w:rsid w:val="00434ED7"/>
    <w:rsid w:val="004644BA"/>
    <w:rsid w:val="004C28FB"/>
    <w:rsid w:val="004C44C0"/>
    <w:rsid w:val="004E1B62"/>
    <w:rsid w:val="0052544E"/>
    <w:rsid w:val="00527FDA"/>
    <w:rsid w:val="00545F4D"/>
    <w:rsid w:val="005940C3"/>
    <w:rsid w:val="00594C48"/>
    <w:rsid w:val="005B2F11"/>
    <w:rsid w:val="005C0BDF"/>
    <w:rsid w:val="005D60C6"/>
    <w:rsid w:val="005E1355"/>
    <w:rsid w:val="006102E7"/>
    <w:rsid w:val="00640C1B"/>
    <w:rsid w:val="00657AFB"/>
    <w:rsid w:val="006D5BF7"/>
    <w:rsid w:val="0072062D"/>
    <w:rsid w:val="00753FD9"/>
    <w:rsid w:val="008313E7"/>
    <w:rsid w:val="00854CAC"/>
    <w:rsid w:val="008622E4"/>
    <w:rsid w:val="008A32C5"/>
    <w:rsid w:val="008C6203"/>
    <w:rsid w:val="008D61E7"/>
    <w:rsid w:val="008F7002"/>
    <w:rsid w:val="009402E5"/>
    <w:rsid w:val="009513E2"/>
    <w:rsid w:val="0099493F"/>
    <w:rsid w:val="009A491D"/>
    <w:rsid w:val="00A16BEA"/>
    <w:rsid w:val="00A312B3"/>
    <w:rsid w:val="00A72C35"/>
    <w:rsid w:val="00A85BE5"/>
    <w:rsid w:val="00A929AB"/>
    <w:rsid w:val="00AD5932"/>
    <w:rsid w:val="00AE180F"/>
    <w:rsid w:val="00B362F7"/>
    <w:rsid w:val="00B5456B"/>
    <w:rsid w:val="00B735E3"/>
    <w:rsid w:val="00B74B53"/>
    <w:rsid w:val="00B843C2"/>
    <w:rsid w:val="00BA65A4"/>
    <w:rsid w:val="00BC26E4"/>
    <w:rsid w:val="00BD1EAA"/>
    <w:rsid w:val="00C51E21"/>
    <w:rsid w:val="00C52739"/>
    <w:rsid w:val="00C6127F"/>
    <w:rsid w:val="00C65CC0"/>
    <w:rsid w:val="00C827FF"/>
    <w:rsid w:val="00C85D0F"/>
    <w:rsid w:val="00CA475C"/>
    <w:rsid w:val="00CD34AC"/>
    <w:rsid w:val="00D645FB"/>
    <w:rsid w:val="00D77785"/>
    <w:rsid w:val="00D97FF2"/>
    <w:rsid w:val="00DE19FF"/>
    <w:rsid w:val="00E81BA6"/>
    <w:rsid w:val="00E856D2"/>
    <w:rsid w:val="00E929A7"/>
    <w:rsid w:val="00ED4E93"/>
    <w:rsid w:val="00F25B6E"/>
    <w:rsid w:val="00F26DDD"/>
    <w:rsid w:val="00F92E72"/>
    <w:rsid w:val="00F97AEF"/>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E2CA2BB-99F4-4CF0-888E-22F510ED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5E1355"/>
    <w:pPr>
      <w:tabs>
        <w:tab w:val="center" w:pos="4513"/>
        <w:tab w:val="right" w:pos="9026"/>
      </w:tabs>
    </w:pPr>
  </w:style>
  <w:style w:type="character" w:customStyle="1" w:styleId="FooterChar">
    <w:name w:val="Footer Char"/>
    <w:basedOn w:val="DefaultParagraphFont"/>
    <w:link w:val="Footer"/>
    <w:semiHidden/>
    <w:rsid w:val="005E1355"/>
    <w:rPr>
      <w:sz w:val="24"/>
    </w:rPr>
  </w:style>
  <w:style w:type="paragraph" w:styleId="BalloonText">
    <w:name w:val="Balloon Text"/>
    <w:basedOn w:val="Normal"/>
    <w:link w:val="BalloonTextChar"/>
    <w:semiHidden/>
    <w:unhideWhenUsed/>
    <w:rsid w:val="00F97AEF"/>
    <w:rPr>
      <w:rFonts w:ascii="Segoe UI" w:hAnsi="Segoe UI" w:cs="Segoe UI"/>
      <w:sz w:val="18"/>
      <w:szCs w:val="18"/>
    </w:rPr>
  </w:style>
  <w:style w:type="character" w:customStyle="1" w:styleId="BalloonTextChar">
    <w:name w:val="Balloon Text Char"/>
    <w:basedOn w:val="DefaultParagraphFont"/>
    <w:link w:val="BalloonText"/>
    <w:semiHidden/>
    <w:rsid w:val="00F97AEF"/>
    <w:rPr>
      <w:rFonts w:ascii="Segoe UI" w:hAnsi="Segoe UI" w:cs="Segoe UI"/>
      <w:sz w:val="18"/>
      <w:szCs w:val="18"/>
    </w:rPr>
  </w:style>
  <w:style w:type="paragraph" w:customStyle="1" w:styleId="RollCallSymbols14pt">
    <w:name w:val="RollCallSymbols14pt"/>
    <w:basedOn w:val="Normal"/>
    <w:rsid w:val="00C6127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6127F"/>
    <w:pPr>
      <w:tabs>
        <w:tab w:val="center" w:pos="284"/>
        <w:tab w:val="left" w:pos="426"/>
      </w:tabs>
    </w:pPr>
    <w:rPr>
      <w:snapToGrid w:val="0"/>
      <w:lang w:eastAsia="en-US"/>
    </w:rPr>
  </w:style>
  <w:style w:type="paragraph" w:customStyle="1" w:styleId="RollCallVotes">
    <w:name w:val="RollCallVotes"/>
    <w:basedOn w:val="Normal"/>
    <w:rsid w:val="00C6127F"/>
    <w:pPr>
      <w:spacing w:before="120" w:after="120"/>
      <w:jc w:val="center"/>
    </w:pPr>
    <w:rPr>
      <w:b/>
      <w:bCs/>
      <w:snapToGrid w:val="0"/>
      <w:sz w:val="16"/>
      <w:lang w:eastAsia="en-US"/>
    </w:rPr>
  </w:style>
  <w:style w:type="paragraph" w:customStyle="1" w:styleId="RollCallTable">
    <w:name w:val="RollCallTable"/>
    <w:basedOn w:val="Normal"/>
    <w:rsid w:val="00C6127F"/>
    <w:pPr>
      <w:spacing w:before="120" w:after="120"/>
    </w:pPr>
    <w:rPr>
      <w:snapToGrid w:val="0"/>
      <w:sz w:val="16"/>
      <w:lang w:eastAsia="en-US"/>
    </w:rPr>
  </w:style>
  <w:style w:type="paragraph" w:customStyle="1" w:styleId="Normal24a">
    <w:name w:val="Normal24a"/>
    <w:basedOn w:val="Normal"/>
    <w:rsid w:val="004644BA"/>
    <w:pPr>
      <w:spacing w:after="480"/>
    </w:pPr>
  </w:style>
  <w:style w:type="paragraph" w:customStyle="1" w:styleId="NormalBoldCenter">
    <w:name w:val="NormalBoldCenter"/>
    <w:basedOn w:val="Normal"/>
    <w:rsid w:val="004644BA"/>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1081</Words>
  <Characters>7636</Characters>
  <Application>Microsoft Office Word</Application>
  <DocSecurity>0</DocSecurity>
  <Lines>181</Lines>
  <Paragraphs>74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2024-02-08T10:20:00Z</dcterms:created>
  <dcterms:modified xsi:type="dcterms:W3CDTF">2024-02-08T10:20:00Z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1295225</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AD\1295225HU.docx</vt:lpwstr>
  </property>
  <property fmtid="{D5CDD505-2E9C-101B-9397-08002B2CF9AE}" pid="10" name="LastEdited with">
    <vt:lpwstr>9.17.1 Build [20240101]</vt:lpwstr>
  </property>
  <property fmtid="{D5CDD505-2E9C-101B-9397-08002B2CF9AE}" pid="11" name="PE number">
    <vt:lpwstr>756.192</vt:lpwstr>
  </property>
  <property fmtid="{D5CDD505-2E9C-101B-9397-08002B2CF9AE}" pid="12" name="SDLStudio">
    <vt:lpwstr/>
  </property>
  <property fmtid="{D5CDD505-2E9C-101B-9397-08002B2CF9AE}" pid="13" name="SendToEpades">
    <vt:lpwstr>OK - 2024/01/25 13:04</vt:lpwstr>
  </property>
  <property fmtid="{D5CDD505-2E9C-101B-9397-08002B2CF9AE}" pid="14" name="Bookout">
    <vt:lpwstr>OK - 2024/02/08 11:20</vt:lpwstr>
  </property>
</Properties>
</file>