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7D07E4" w:rsidTr="00C85D0F">
        <w:trPr>
          <w:trHeight w:hRule="exact" w:val="1418"/>
        </w:trPr>
        <w:tc>
          <w:tcPr>
            <w:tcW w:w="6804" w:type="dxa"/>
            <w:shd w:val="clear" w:color="auto" w:fill="auto"/>
            <w:vAlign w:val="center"/>
          </w:tcPr>
          <w:p w:rsidR="00854CAC" w:rsidRPr="007D07E4" w:rsidRDefault="00CA0817" w:rsidP="00C85D0F">
            <w:pPr>
              <w:pStyle w:val="EPName"/>
            </w:pPr>
            <w:r>
              <w:rPr>
                <w:color w:val="000000"/>
              </w:rPr>
              <w:t>Eiropas Parlaments</w:t>
            </w:r>
          </w:p>
          <w:p w:rsidR="00854CAC" w:rsidRPr="007D07E4" w:rsidRDefault="009C02B5" w:rsidP="009C02B5">
            <w:pPr>
              <w:pStyle w:val="EPTerm"/>
            </w:pPr>
            <w:r>
              <w:t>2019-2024</w:t>
            </w:r>
          </w:p>
        </w:tc>
        <w:tc>
          <w:tcPr>
            <w:tcW w:w="2268" w:type="dxa"/>
            <w:shd w:val="clear" w:color="auto" w:fill="auto"/>
          </w:tcPr>
          <w:p w:rsidR="00854CAC" w:rsidRPr="007D07E4" w:rsidRDefault="00854CAC" w:rsidP="00C85D0F">
            <w:pPr>
              <w:pStyle w:val="EPLogo"/>
            </w:pPr>
            <w:r w:rsidRPr="007D07E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7D07E4" w:rsidRDefault="001746D0" w:rsidP="001746D0">
      <w:pPr>
        <w:pStyle w:val="LineTop"/>
      </w:pPr>
    </w:p>
    <w:p w:rsidR="001746D0" w:rsidRPr="007D07E4" w:rsidRDefault="001746D0" w:rsidP="001746D0">
      <w:pPr>
        <w:pStyle w:val="EPBody"/>
      </w:pPr>
      <w:r>
        <w:rPr>
          <w:rStyle w:val="HideTWBExt"/>
        </w:rPr>
        <w:t>&lt;</w:t>
      </w:r>
      <w:r>
        <w:rPr>
          <w:rStyle w:val="HideTWBExt"/>
          <w:i w:val="0"/>
        </w:rPr>
        <w:t>Commission</w:t>
      </w:r>
      <w:r>
        <w:rPr>
          <w:rStyle w:val="HideTWBExt"/>
        </w:rPr>
        <w:t>&gt;</w:t>
      </w:r>
      <w:r>
        <w:rPr>
          <w:rStyle w:val="HideTWBInt"/>
        </w:rPr>
        <w:t>{LIBE}</w:t>
      </w:r>
      <w:r>
        <w:t>Pilsoņu brīvību, tieslietu un iekšlietu komiteja</w:t>
      </w:r>
      <w:r>
        <w:rPr>
          <w:rStyle w:val="HideTWBExt"/>
        </w:rPr>
        <w:t>&lt;/</w:t>
      </w:r>
      <w:r>
        <w:rPr>
          <w:rStyle w:val="HideTWBExt"/>
          <w:i w:val="0"/>
        </w:rPr>
        <w:t>Commission</w:t>
      </w:r>
      <w:r>
        <w:rPr>
          <w:rStyle w:val="HideTWBExt"/>
        </w:rPr>
        <w:t>&gt;</w:t>
      </w:r>
    </w:p>
    <w:p w:rsidR="001746D0" w:rsidRPr="007D07E4" w:rsidRDefault="001746D0" w:rsidP="001746D0">
      <w:pPr>
        <w:pStyle w:val="LineBottom"/>
      </w:pPr>
    </w:p>
    <w:p w:rsidR="002E2F2E" w:rsidRPr="007D07E4" w:rsidRDefault="002E2F2E">
      <w:pPr>
        <w:pStyle w:val="CoverReference"/>
      </w:pPr>
      <w:r>
        <w:rPr>
          <w:rStyle w:val="HideTWBExt"/>
          <w:b w:val="0"/>
        </w:rPr>
        <w:t>&lt;RefProc&gt;</w:t>
      </w:r>
      <w:r>
        <w:t>2023/2138</w:t>
      </w:r>
      <w:r>
        <w:rPr>
          <w:rStyle w:val="HideTWBExt"/>
          <w:b w:val="0"/>
        </w:rPr>
        <w:t>&lt;/RefProc&gt;&lt;RefTypeProc&gt;</w:t>
      </w:r>
      <w:r>
        <w:t>(DEC)</w:t>
      </w:r>
      <w:r>
        <w:rPr>
          <w:rStyle w:val="HideTWBExt"/>
          <w:b w:val="0"/>
        </w:rPr>
        <w:t>&lt;/RefTypeProc&gt;</w:t>
      </w:r>
    </w:p>
    <w:p w:rsidR="002E2F2E" w:rsidRPr="007D07E4" w:rsidRDefault="002E2F2E">
      <w:pPr>
        <w:pStyle w:val="CoverDate"/>
      </w:pPr>
      <w:r>
        <w:rPr>
          <w:rStyle w:val="HideTWBExt"/>
        </w:rPr>
        <w:t>&lt;Date&gt;</w:t>
      </w:r>
      <w:r>
        <w:rPr>
          <w:rStyle w:val="HideTWBInt"/>
        </w:rPr>
        <w:t>{23/01/2024}</w:t>
      </w:r>
      <w:r>
        <w:t>23.1.2024</w:t>
      </w:r>
      <w:r>
        <w:rPr>
          <w:rStyle w:val="HideTWBExt"/>
        </w:rPr>
        <w:t>&lt;/Date&gt;</w:t>
      </w:r>
    </w:p>
    <w:p w:rsidR="002E2F2E" w:rsidRPr="007D07E4" w:rsidRDefault="002E2F2E">
      <w:pPr>
        <w:pStyle w:val="CoverDocType24a"/>
      </w:pPr>
      <w:r>
        <w:rPr>
          <w:rStyle w:val="HideTWBExt"/>
          <w:b w:val="0"/>
        </w:rPr>
        <w:t>&lt;TitreType&gt;</w:t>
      </w:r>
      <w:r>
        <w:t>ATZINUMS</w:t>
      </w:r>
      <w:r>
        <w:rPr>
          <w:rStyle w:val="HideTWBExt"/>
          <w:b w:val="0"/>
        </w:rPr>
        <w:t>&lt;/TitreType&gt;</w:t>
      </w:r>
    </w:p>
    <w:p w:rsidR="002E2F2E" w:rsidRPr="007D07E4" w:rsidRDefault="002E2F2E">
      <w:pPr>
        <w:pStyle w:val="CoverNormal24a"/>
      </w:pPr>
      <w:r>
        <w:rPr>
          <w:rStyle w:val="HideTWBExt"/>
        </w:rPr>
        <w:t>&lt;CommissionResp&gt;</w:t>
      </w:r>
      <w:r>
        <w:t>Sniegusi Pilsoņu brīvību, tieslietu un iekšlietu komiteja</w:t>
      </w:r>
      <w:r>
        <w:rPr>
          <w:rStyle w:val="HideTWBExt"/>
        </w:rPr>
        <w:t>&lt;/CommissionResp&gt;</w:t>
      </w:r>
    </w:p>
    <w:p w:rsidR="002E2F2E" w:rsidRPr="007D07E4" w:rsidRDefault="002E2F2E">
      <w:pPr>
        <w:pStyle w:val="CoverNormal24a"/>
      </w:pPr>
      <w:r>
        <w:rPr>
          <w:rStyle w:val="HideTWBExt"/>
        </w:rPr>
        <w:t>&lt;CommissionInt&gt;</w:t>
      </w:r>
      <w:r>
        <w:t>Budžeta kontroles komitejai</w:t>
      </w:r>
      <w:r>
        <w:rPr>
          <w:rStyle w:val="HideTWBExt"/>
        </w:rPr>
        <w:t>&lt;/CommissionInt&gt;</w:t>
      </w:r>
    </w:p>
    <w:p w:rsidR="002E2F2E" w:rsidRPr="007D07E4" w:rsidRDefault="002E2F2E">
      <w:pPr>
        <w:pStyle w:val="CoverNormal"/>
      </w:pPr>
      <w:r>
        <w:rPr>
          <w:rStyle w:val="HideTWBExt"/>
        </w:rPr>
        <w:t>&lt;Titre&gt;</w:t>
      </w:r>
      <w:r>
        <w:t>par 2022. finanšu gada vispārējā budžeta izpildes apstiprināšanu, IX iedaļa — Eiropas Datu aizsardzības uzraudzītājs</w:t>
      </w:r>
      <w:r>
        <w:rPr>
          <w:rStyle w:val="HideTWBExt"/>
        </w:rPr>
        <w:t>&lt;/Titre&gt;</w:t>
      </w:r>
    </w:p>
    <w:p w:rsidR="002E2F2E" w:rsidRPr="007D07E4" w:rsidRDefault="002E2F2E">
      <w:pPr>
        <w:pStyle w:val="CoverNormal24a"/>
      </w:pPr>
      <w:r>
        <w:rPr>
          <w:rStyle w:val="HideTWBExt"/>
        </w:rPr>
        <w:t>&lt;DocRef&gt;</w:t>
      </w:r>
      <w:r>
        <w:t>(2023/2138(DEC))</w:t>
      </w:r>
      <w:r>
        <w:rPr>
          <w:rStyle w:val="HideTWBExt"/>
        </w:rPr>
        <w:t>&lt;/DocRef&gt;</w:t>
      </w:r>
    </w:p>
    <w:p w:rsidR="002E2F2E" w:rsidRPr="007D07E4" w:rsidRDefault="00CA0817">
      <w:pPr>
        <w:pStyle w:val="CoverNormal24a"/>
      </w:pPr>
      <w:r>
        <w:t xml:space="preserve">Atzinuma sagatavotājs: </w:t>
      </w:r>
      <w:r>
        <w:rPr>
          <w:rStyle w:val="HideTWBExt"/>
        </w:rPr>
        <w:t>&lt;Depute&gt;</w:t>
      </w:r>
      <w:r>
        <w:rPr>
          <w:i/>
        </w:rPr>
        <w:t>Tomáš Zdechovský</w:t>
      </w:r>
      <w:r>
        <w:rPr>
          <w:rStyle w:val="HideTWBExt"/>
        </w:rPr>
        <w:t>&lt;/Depute&gt;</w:t>
      </w:r>
    </w:p>
    <w:p w:rsidR="00A72C35" w:rsidRPr="007D07E4" w:rsidRDefault="00A72C35" w:rsidP="00A72C35">
      <w:pPr>
        <w:pStyle w:val="CoverNormal"/>
      </w:pPr>
    </w:p>
    <w:p w:rsidR="002E2F2E" w:rsidRPr="007D07E4" w:rsidRDefault="002E2F2E" w:rsidP="00E856D2">
      <w:pPr>
        <w:widowControl/>
        <w:tabs>
          <w:tab w:val="center" w:pos="4677"/>
        </w:tabs>
      </w:pPr>
      <w:r>
        <w:br w:type="page"/>
      </w:r>
      <w:r>
        <w:lastRenderedPageBreak/>
        <w:t>PA_NonLeg</w:t>
      </w:r>
    </w:p>
    <w:p w:rsidR="002E2F2E" w:rsidRPr="007D07E4" w:rsidRDefault="002E2F2E">
      <w:pPr>
        <w:pStyle w:val="PageHeadingNotTOC"/>
      </w:pPr>
      <w:r>
        <w:br w:type="page"/>
      </w:r>
      <w:r>
        <w:lastRenderedPageBreak/>
        <w:t>IEROSINĀJUMI</w:t>
      </w:r>
    </w:p>
    <w:p w:rsidR="002E2F2E" w:rsidRPr="007D07E4" w:rsidRDefault="000B5B33" w:rsidP="008313E7">
      <w:pPr>
        <w:pStyle w:val="Normal12a"/>
      </w:pPr>
      <w:r>
        <w:t>Pilsoņu brīvību, tieslietu un iekšlietu komiteja aicina par jautājumu atbildīgo Budžeta kontroles komiteju rezolūcijas priekšlikumā, ko tā pieņems, iekļaut šādus ierosinājumus:</w:t>
      </w:r>
    </w:p>
    <w:p w:rsidR="002E2F2E" w:rsidRPr="007D07E4" w:rsidRDefault="009C02B5" w:rsidP="009C02B5">
      <w:pPr>
        <w:pStyle w:val="NormalHanging12a"/>
        <w:jc w:val="both"/>
      </w:pPr>
      <w:bookmarkStart w:id="0" w:name="restart"/>
      <w:r>
        <w:t>1.</w:t>
      </w:r>
      <w:r>
        <w:tab/>
        <w:t>norāda, ka Revīzijas palātas pārskatā par budžeta izpildi 2022. finanšu gadā nav iekļautas nekādas piezīmes par Eiropas Datu aizsardzības uzraudzītāju (EDAU); atkārtoti aicina Revīzijas palātu ikgadējā revīzijā iekļaut EDAU gada pārskatus un sagatavot ziņojumu, ņemot vērā pārredzamības nozīmi visu Savienības struktūru pienācīgā darbībā;</w:t>
      </w:r>
    </w:p>
    <w:bookmarkEnd w:id="0"/>
    <w:p w:rsidR="009C02B5" w:rsidRPr="007D07E4" w:rsidRDefault="009C02B5" w:rsidP="009C02B5">
      <w:pPr>
        <w:pStyle w:val="NormalHanging12a"/>
      </w:pPr>
      <w:r>
        <w:t>2.</w:t>
      </w:r>
      <w:r>
        <w:tab/>
        <w:t>ar gandarījumu norāda uz EDAU publicēto 2022. gada ziņojumu; uzsver EDAU lomu Eiropas iestāžu, biroju un struktūru (EUI) datu apstrādes darbību uzraudzībā un konsultēšanā par tām; atzinīgi vērtē EDAU rīkoto konferenci “Datu aizsardzības nākotne: efektīva īstenošana digitālajā pasaulē”, kurā piedalījās vairāk nekā 2000 dalībnieku un tika apspriests, kā efektīvi aizsargāt personu tiesības uz privātumu un datu aizsardzību; atgādina, ka šī konference palīdzēja izstrādāt Komisijas priekšlikumu regulai, ar ko paredz papildu procesuālos noteikumus attiecībā uz Vispārīgās datu aizsardzības regulas īstenošanu;</w:t>
      </w:r>
    </w:p>
    <w:p w:rsidR="00C423A7" w:rsidRPr="007D07E4" w:rsidRDefault="00C423A7" w:rsidP="009C02B5">
      <w:pPr>
        <w:pStyle w:val="NormalHanging12a"/>
      </w:pPr>
      <w:r>
        <w:t>3.</w:t>
      </w:r>
      <w:r>
        <w:tab/>
        <w:t>pauž nožēlu par to, ka aizpildīto štatu saraksta vietu līmenis ir zemāks nekā 2022. gada mērķis; atzīst kvalificētu speciālistu trūkumu; mudina Uzraudzītāju izskatīt noderīgas stratēģijas, lai palielinātu tā vakanču pamanāmību;</w:t>
      </w:r>
    </w:p>
    <w:p w:rsidR="009C02B5" w:rsidRPr="007D07E4" w:rsidRDefault="00C423A7" w:rsidP="009C02B5">
      <w:pPr>
        <w:pStyle w:val="NormalHanging12a"/>
      </w:pPr>
      <w:r>
        <w:t>4.</w:t>
      </w:r>
      <w:r>
        <w:tab/>
        <w:t xml:space="preserve">atzinīgi vērtē EDAU turpmākos pasākumus pēc </w:t>
      </w:r>
      <w:r>
        <w:rPr>
          <w:i/>
          <w:iCs/>
        </w:rPr>
        <w:t>Schrems II</w:t>
      </w:r>
      <w:r>
        <w:t xml:space="preserve"> sprieduma, jo īpaši to, ka 2022. gadā galvenā uzmanība tika pievērsta EUI līgumiem ar privātām struktūrām, sevišķi lieliem IKT pakalpojumu sniedzējiem, un sadarbības kārtībai starp EUI un publiskām struktūrām, kuras nav ES/EEZ sastāvā, va</w:t>
      </w:r>
      <w:r w:rsidR="00680761">
        <w:t>i starptautiskām organizācijām;</w:t>
      </w:r>
      <w:bookmarkStart w:id="1" w:name="_GoBack"/>
      <w:bookmarkEnd w:id="1"/>
    </w:p>
    <w:p w:rsidR="009C02B5" w:rsidRPr="007D07E4" w:rsidRDefault="00C423A7" w:rsidP="009C02B5">
      <w:pPr>
        <w:pStyle w:val="NormalHanging12a"/>
      </w:pPr>
      <w:r>
        <w:t>5.</w:t>
      </w:r>
      <w:r>
        <w:tab/>
        <w:t>atzinīgi vērtē apmācību, kas nodrošināta EUI, kā arī saprašanās memorandu, kuru EDAU un Eiropas Savienības Kiberdrošības aģentūra (</w:t>
      </w:r>
      <w:r>
        <w:rPr>
          <w:i/>
        </w:rPr>
        <w:t>ENISA</w:t>
      </w:r>
      <w:r>
        <w:t xml:space="preserve">) parakstīja 2022. gada decembrī; īpaši atzinīgi vērtē EDAU dalību Koordinētās uzraudzības komitejā, kas nodrošina Eiropola, </w:t>
      </w:r>
      <w:r>
        <w:rPr>
          <w:i/>
        </w:rPr>
        <w:t>Eurojust</w:t>
      </w:r>
      <w:r>
        <w:t xml:space="preserve"> un </w:t>
      </w:r>
      <w:r>
        <w:rPr>
          <w:i/>
        </w:rPr>
        <w:t>EPPO</w:t>
      </w:r>
      <w:r>
        <w:t xml:space="preserve"> koordinētu uzraudzību; uzsver, ka EDAU uzraudzības un izpildes darbs ir nozīmīgs, lai nodrošinātu, ka EUI, kas darbojas policijas un tieslietu jomā, pilnībā ievēro piemērojamo ES datu aizsardzības </w:t>
      </w:r>
      <w:r>
        <w:rPr>
          <w:i/>
          <w:iCs/>
        </w:rPr>
        <w:t>acquis</w:t>
      </w:r>
      <w:r>
        <w:t>;</w:t>
      </w:r>
    </w:p>
    <w:p w:rsidR="00694DCE" w:rsidRPr="007D07E4" w:rsidRDefault="009C02B5" w:rsidP="00E22D42">
      <w:pPr>
        <w:pStyle w:val="NormalHanging12a"/>
      </w:pPr>
      <w:r>
        <w:t>6.</w:t>
      </w:r>
      <w:r>
        <w:tab/>
        <w:t>atzinīgi vērtē turpmākos pasākumus, ko EDAU veicis saistībā ar pilsoņa piekļuves datiem pieprasījumu; norāda, ka EDAU pieņēma lēmumu šajā lietā, pirms visi fakti bija pārbaudīti un konstatēti; norāda, ka EDAU lēmumu ir apstrīdējis gan sūdzības iesniedzējs, gan Eiropols; atzīst, ka EDAU veiktā pārbaude patlaban ir apturēta, jo šo lietu izskata valsts tiesa; uzsver, ka ir svarīgi attiecīgi pielāgot cilvēkresursus un finanšu resursus EDAU pieaugošajai darba slodzei; atzīst, ka ir nepieciešams vairāk tehniski kvalificētu darbinieku, lai nodrošinātu pienācīgus turpmākos pasākumus saistībā ar EDAU uzdevumiem; iesaka EDAU šīs lietas kontekstā pārskatīt savu darba procesu, īpaši saistībā ar iedzīvotāju sūdzībām, un ņemt vērā visu attiecīgo informāciju, kā arī informēt budžeta izpildes apstiprinātājiestādi par progresu šajā jomā;</w:t>
      </w:r>
    </w:p>
    <w:p w:rsidR="00E22D42" w:rsidRPr="007D07E4" w:rsidRDefault="00E22D42" w:rsidP="00E22D42">
      <w:pPr>
        <w:pStyle w:val="NormalHanging12a"/>
      </w:pPr>
      <w:r>
        <w:t>7.</w:t>
      </w:r>
      <w:r>
        <w:tab/>
        <w:t xml:space="preserve">atzinīgi vērtē to, ka, reaģējot uz Covid-19 pandēmiju, EDAU izveidoja iekšēju darba grupu ES un EUI uzraudzībai un novērtēšanai; atzinīgi vērtē to, ka EDAU ir bijis </w:t>
      </w:r>
      <w:r>
        <w:lastRenderedPageBreak/>
        <w:t>iesaistīts darbībās, kas saistītas ar EUI kā pārziņu darbību, iniciatīvu un priekšlikumu novērtēšanu, kā arī Covid-19 pandēmijas apkarošanai ierosināto tehnoloģisko risinājumu izvērtēšanu un norādījumu izdošanu EUI, lai palīdzētu tām pienācīgi cīnīties pret pandēmiju, vienlaikus nodrošinot atbilstību datu aizsardzības tiesību aktiem;</w:t>
      </w:r>
    </w:p>
    <w:p w:rsidR="00E22D42" w:rsidRPr="007D07E4" w:rsidRDefault="00E22D42" w:rsidP="005B17A2">
      <w:pPr>
        <w:pStyle w:val="NormalHanging12a"/>
        <w:ind w:left="560" w:hanging="560"/>
      </w:pPr>
      <w:r>
        <w:t>8.</w:t>
      </w:r>
      <w:r>
        <w:tab/>
        <w:t>pieņem zināšanai Eiropas Ombuda 2022. gadā pabeigto izmeklēšanu lietā 1995/2022/OAM pret EDAU, kura attiecās uz piekļuvi dokumentiem un kurā tika secināts, ka EDAU nav pieļāvis administratīvu kļūmi, atsakot pilnīgu publisku piekļuvi dokumentiem Nr. 8–10, un ka EDAU ir atrisinājis sūdzības otro aspektu attiecībā uz dokumentiem, uz kuriem attiecas pieprasījums, piešķirot daļēju papildu piekļuvi vienam dokumentam, kas sākotnēji tika kļūdaini aizklāts; aicina EDAU apsvērt iespēju ieviest integrētas pārredzamības politiku un proaktīvi, saprātīgā termiņā, lietotājdraudzīgā un pieejamā veidā publicēt ar EDAU darbībām saistītos dokumentus.</w:t>
      </w:r>
    </w:p>
    <w:p w:rsidR="00DD6E5F" w:rsidRPr="007D07E4" w:rsidRDefault="00DD6E5F" w:rsidP="00DD6E5F">
      <w:r>
        <w:br w:type="page"/>
      </w:r>
    </w:p>
    <w:p w:rsidR="00DD6E5F" w:rsidRPr="007D07E4" w:rsidRDefault="00CA0817" w:rsidP="00DD6E5F">
      <w:pPr>
        <w:pStyle w:val="PageHeadingNotTOC"/>
      </w:pPr>
      <w:bookmarkStart w:id="2" w:name="ProcPageAD"/>
      <w:r>
        <w:lastRenderedPageBreak/>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D6E5F" w:rsidRPr="007D07E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557C87" w:rsidRDefault="00557C87">
            <w:pPr>
              <w:autoSpaceDE w:val="0"/>
              <w:autoSpaceDN w:val="0"/>
              <w:adjustRightInd w:val="0"/>
              <w:rPr>
                <w:b/>
                <w:bCs/>
                <w:color w:val="000000"/>
                <w:sz w:val="20"/>
              </w:rPr>
            </w:pPr>
            <w:r>
              <w:rPr>
                <w:b/>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6E5F" w:rsidRPr="007D07E4" w:rsidRDefault="00DD6E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D6E5F" w:rsidRPr="007D07E4" w:rsidRDefault="00DD6E5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7D07E4" w:rsidRDefault="00DD6E5F">
            <w:pPr>
              <w:autoSpaceDE w:val="0"/>
              <w:autoSpaceDN w:val="0"/>
              <w:adjustRightInd w:val="0"/>
              <w:rPr>
                <w:rFonts w:ascii="sans-serif" w:hAnsi="sans-serif" w:cs="sans-serif"/>
                <w:color w:val="000000"/>
                <w:szCs w:val="24"/>
              </w:rPr>
            </w:pPr>
          </w:p>
        </w:tc>
      </w:tr>
      <w:tr w:rsidR="00DD6E5F" w:rsidRPr="007D07E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557C87" w:rsidRDefault="00557C87">
            <w:pPr>
              <w:autoSpaceDE w:val="0"/>
              <w:autoSpaceDN w:val="0"/>
              <w:adjustRightInd w:val="0"/>
              <w:rPr>
                <w:b/>
                <w:bCs/>
                <w:color w:val="000000"/>
                <w:sz w:val="20"/>
              </w:rPr>
            </w:pPr>
            <w:r>
              <w:rPr>
                <w:b/>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w:t>
            </w:r>
          </w:p>
          <w:p w:rsidR="00DD6E5F" w:rsidRPr="007D07E4" w:rsidRDefault="00DD6E5F">
            <w:pPr>
              <w:autoSpaceDE w:val="0"/>
              <w:autoSpaceDN w:val="0"/>
              <w:adjustRightInd w:val="0"/>
              <w:rPr>
                <w:color w:val="000000"/>
                <w:sz w:val="20"/>
              </w:rPr>
            </w:pPr>
            <w:r>
              <w:rPr>
                <w:color w:val="000000"/>
                <w:sz w:val="20"/>
              </w:rPr>
              <w:t>–:</w:t>
            </w:r>
          </w:p>
          <w:p w:rsidR="00DD6E5F" w:rsidRPr="007D07E4" w:rsidRDefault="00DD6E5F">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52</w:t>
            </w:r>
          </w:p>
          <w:p w:rsidR="00DD6E5F" w:rsidRPr="007D07E4" w:rsidRDefault="00DD6E5F">
            <w:pPr>
              <w:autoSpaceDE w:val="0"/>
              <w:autoSpaceDN w:val="0"/>
              <w:adjustRightInd w:val="0"/>
              <w:rPr>
                <w:color w:val="000000"/>
                <w:sz w:val="20"/>
              </w:rPr>
            </w:pPr>
            <w:r>
              <w:rPr>
                <w:color w:val="000000"/>
                <w:sz w:val="20"/>
              </w:rPr>
              <w:t>0</w:t>
            </w:r>
          </w:p>
          <w:p w:rsidR="00DD6E5F" w:rsidRPr="007D07E4" w:rsidRDefault="00DD6E5F">
            <w:pPr>
              <w:autoSpaceDE w:val="0"/>
              <w:autoSpaceDN w:val="0"/>
              <w:adjustRightInd w:val="0"/>
              <w:rPr>
                <w:color w:val="000000"/>
                <w:sz w:val="20"/>
              </w:rPr>
            </w:pPr>
            <w:r>
              <w:rPr>
                <w:color w:val="000000"/>
                <w:sz w:val="20"/>
              </w:rPr>
              <w:t>4</w:t>
            </w:r>
          </w:p>
        </w:tc>
      </w:tr>
      <w:tr w:rsidR="00DD6E5F" w:rsidRPr="007D07E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D6E5F" w:rsidRPr="00557C87" w:rsidRDefault="00557C87">
            <w:pPr>
              <w:autoSpaceDE w:val="0"/>
              <w:autoSpaceDN w:val="0"/>
              <w:adjustRightInd w:val="0"/>
              <w:rPr>
                <w:b/>
                <w:bCs/>
                <w:color w:val="000000"/>
                <w:sz w:val="20"/>
              </w:rPr>
            </w:pPr>
            <w:r>
              <w:rPr>
                <w:b/>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DD6E5F" w:rsidRPr="007D07E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6E5F" w:rsidRPr="00557C87" w:rsidRDefault="00557C87">
            <w:pPr>
              <w:autoSpaceDE w:val="0"/>
              <w:autoSpaceDN w:val="0"/>
              <w:adjustRightInd w:val="0"/>
              <w:rPr>
                <w:b/>
                <w:bCs/>
                <w:color w:val="000000"/>
                <w:sz w:val="20"/>
              </w:rPr>
            </w:pPr>
            <w:r>
              <w:rPr>
                <w:b/>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Cyrus Engerer, José Gusmão, Beata Kempa, Janina Ochojska, Anne-Sophie Pelletier, Bergur Løkke Rasmussen, Róża Thun und Hohenstein, Maria Walsh, Tomáš Zdechovský</w:t>
            </w:r>
          </w:p>
        </w:tc>
      </w:tr>
      <w:tr w:rsidR="00DD6E5F" w:rsidRPr="007D07E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D6E5F" w:rsidRPr="00557C87" w:rsidRDefault="00557C87">
            <w:pPr>
              <w:autoSpaceDE w:val="0"/>
              <w:autoSpaceDN w:val="0"/>
              <w:adjustRightInd w:val="0"/>
              <w:rPr>
                <w:b/>
                <w:bCs/>
                <w:color w:val="000000"/>
                <w:sz w:val="20"/>
              </w:rPr>
            </w:pPr>
            <w:r>
              <w:rPr>
                <w:b/>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D6E5F" w:rsidRPr="007D07E4" w:rsidRDefault="00DD6E5F">
            <w:pPr>
              <w:autoSpaceDE w:val="0"/>
              <w:autoSpaceDN w:val="0"/>
              <w:adjustRightInd w:val="0"/>
              <w:rPr>
                <w:color w:val="000000"/>
                <w:sz w:val="20"/>
              </w:rPr>
            </w:pPr>
            <w:r>
              <w:rPr>
                <w:color w:val="000000"/>
                <w:sz w:val="20"/>
              </w:rPr>
              <w:t>Andrus Ansip, Hildegard Bentele, Maria da Graça Carvalho, Leopoldo López Gil, Marisa Matias, Caroline Nagtegaal</w:t>
            </w:r>
          </w:p>
        </w:tc>
      </w:tr>
    </w:tbl>
    <w:p w:rsidR="00DD6E5F" w:rsidRPr="007D07E4" w:rsidRDefault="00DD6E5F"/>
    <w:bookmarkEnd w:id="2"/>
    <w:p w:rsidR="00796CED" w:rsidRPr="007D07E4" w:rsidRDefault="00796CED" w:rsidP="00DD6E5F">
      <w:pPr>
        <w:sectPr w:rsidR="00796CED" w:rsidRPr="007D07E4" w:rsidSect="00557C8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796CED" w:rsidRPr="007D07E4" w:rsidRDefault="00796CED" w:rsidP="002B2C72">
      <w:pPr>
        <w:pStyle w:val="PageHeadingNotTOC"/>
        <w:rPr>
          <w:noProof/>
        </w:rPr>
      </w:pPr>
      <w:bookmarkStart w:id="3" w:name="FootprintPageAD"/>
      <w:r>
        <w:lastRenderedPageBreak/>
        <w:t>PIELIKUMS. VIENĪBAS VAI PERSONAS,</w:t>
      </w:r>
      <w:r>
        <w:br/>
        <w:t>NO KURĀM ATZINUMA SAGATAVOTĀJS IR SAŅĒMIS PIENESUMU</w:t>
      </w:r>
    </w:p>
    <w:p w:rsidR="00796CED" w:rsidRPr="007D07E4" w:rsidRDefault="00796CED" w:rsidP="00037518">
      <w:pPr>
        <w:pStyle w:val="Normal24a"/>
      </w:pPr>
      <w:r>
        <w:rPr>
          <w:rStyle w:val="HideTWBExt"/>
        </w:rPr>
        <w:t>&lt;FootprintIntro&gt;</w:t>
      </w:r>
      <w:r>
        <w:t>Atzinuma sagatavotājs, pilnībā uzņemoties visu atbildību, apliecina, ka viņš nav saņēmis nekādu pienesumu no vienībām vai personām, kas būtu jānorāda šajā pielikumā saskaņā ar Reglamenta I pielikuma 8. pantu.</w:t>
      </w:r>
      <w:r>
        <w:rPr>
          <w:rStyle w:val="HideTWBExt"/>
        </w:rPr>
        <w:t>&lt;/FootprintIntro&gt;</w:t>
      </w:r>
    </w:p>
    <w:p w:rsidR="00796CED" w:rsidRPr="007D07E4" w:rsidRDefault="00796CED" w:rsidP="00AD5932"/>
    <w:p w:rsidR="00796CED" w:rsidRPr="00557C87" w:rsidRDefault="00796CED" w:rsidP="00557C87"/>
    <w:bookmarkEnd w:id="3"/>
    <w:p w:rsidR="00557C87" w:rsidRDefault="00557C87" w:rsidP="00557C87">
      <w:pPr>
        <w:sectPr w:rsidR="00557C87" w:rsidSect="00557C8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57C87" w:rsidRPr="0099178F" w:rsidRDefault="00557C87" w:rsidP="00C36610">
      <w:pPr>
        <w:pStyle w:val="PageHeadingNotTOC"/>
      </w:pPr>
      <w:bookmarkStart w:id="4" w:name="RollCallPageAD"/>
      <w:r>
        <w:lastRenderedPageBreak/>
        <w:t>ATZINUMU SNIEDZOŠĀS KOMITEJAS</w:t>
      </w:r>
      <w:r>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C87" w:rsidRPr="00606CE1" w:rsidTr="00980A6A">
        <w:trPr>
          <w:cantSplit/>
        </w:trPr>
        <w:tc>
          <w:tcPr>
            <w:tcW w:w="1701" w:type="dxa"/>
            <w:shd w:val="pct10" w:color="000000" w:fill="FFFFFF"/>
            <w:vAlign w:val="center"/>
          </w:tcPr>
          <w:p w:rsidR="00557C87" w:rsidRPr="00606CE1" w:rsidRDefault="00557C87" w:rsidP="00980A6A">
            <w:pPr>
              <w:pStyle w:val="RollCallVotes"/>
            </w:pPr>
            <w:r>
              <w:t>52</w:t>
            </w:r>
          </w:p>
        </w:tc>
        <w:tc>
          <w:tcPr>
            <w:tcW w:w="7371" w:type="dxa"/>
            <w:shd w:val="pct10" w:color="000000" w:fill="FFFFFF"/>
          </w:tcPr>
          <w:p w:rsidR="00557C87" w:rsidRPr="00606CE1" w:rsidRDefault="00557C87" w:rsidP="00980A6A">
            <w:pPr>
              <w:pStyle w:val="RollCallSymbols14pt"/>
            </w:pPr>
            <w:r>
              <w:t>+</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ECR</w:t>
            </w:r>
          </w:p>
        </w:tc>
        <w:tc>
          <w:tcPr>
            <w:tcW w:w="7371" w:type="dxa"/>
            <w:shd w:val="clear" w:color="auto" w:fill="FFFFFF"/>
          </w:tcPr>
          <w:p w:rsidR="00557C87" w:rsidRPr="00606CE1" w:rsidRDefault="00557C87" w:rsidP="00980A6A">
            <w:pPr>
              <w:pStyle w:val="RollCallTable"/>
            </w:pPr>
            <w:r>
              <w:t>Jorge Buxadé Villalba, Patryk Jaki, Assita Kanko, Beata Kempa, Vincenzo Sofo</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NI</w:t>
            </w:r>
          </w:p>
        </w:tc>
        <w:tc>
          <w:tcPr>
            <w:tcW w:w="7371" w:type="dxa"/>
            <w:shd w:val="clear" w:color="auto" w:fill="FFFFFF"/>
          </w:tcPr>
          <w:p w:rsidR="00557C87" w:rsidRPr="00606CE1" w:rsidRDefault="00557C87" w:rsidP="00980A6A">
            <w:pPr>
              <w:pStyle w:val="RollCallTable"/>
            </w:pPr>
            <w:r>
              <w:t>Laura Ferrara</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PPE</w:t>
            </w:r>
          </w:p>
        </w:tc>
        <w:tc>
          <w:tcPr>
            <w:tcW w:w="7371" w:type="dxa"/>
            <w:shd w:val="clear" w:color="auto" w:fill="FFFFFF"/>
          </w:tcPr>
          <w:p w:rsidR="00557C87" w:rsidRPr="00606CE1" w:rsidRDefault="00557C87" w:rsidP="00980A6A">
            <w:pPr>
              <w:pStyle w:val="RollCallTable"/>
            </w:pPr>
            <w:r>
              <w:t>Magdalena Adamowicz, Hildegard Bentele, Maria da Graça Carvalho, Lena Düpont, Andrzej Halicki, Jeroen Lenaers, Leopoldo López Gil, Janina Ochojska, Elissavet Vozemberg-Vrionidi, Maria Walsh, Javier Zarzalejos, Tomáš Zdechovský</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Renew</w:t>
            </w:r>
          </w:p>
        </w:tc>
        <w:tc>
          <w:tcPr>
            <w:tcW w:w="7371" w:type="dxa"/>
            <w:shd w:val="clear" w:color="auto" w:fill="FFFFFF"/>
          </w:tcPr>
          <w:p w:rsidR="00557C87" w:rsidRPr="00606CE1" w:rsidRDefault="00557C87" w:rsidP="00980A6A">
            <w:pPr>
              <w:pStyle w:val="RollCallTable"/>
            </w:pPr>
            <w:r>
              <w:t>Abir Al-Sahlani, Andrus Ansip, Lucia Ďuriš Nicholsonová, Sophia in 't Veld, Moritz Körner, Caroline Nagtegaal, Maite Pagazaurtundúa, Bergur Løkke Rasmussen, Róża Thun und Hohenstein, Jana Toom</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S&amp;D</w:t>
            </w:r>
          </w:p>
        </w:tc>
        <w:tc>
          <w:tcPr>
            <w:tcW w:w="7371" w:type="dxa"/>
            <w:shd w:val="clear" w:color="auto" w:fill="FFFFFF"/>
          </w:tcPr>
          <w:p w:rsidR="00557C87" w:rsidRPr="00606CE1" w:rsidRDefault="00557C87" w:rsidP="00980A6A">
            <w:pPr>
              <w:pStyle w:val="RollCallTable"/>
            </w:pPr>
            <w:r>
              <w:t>Katarina Barley, Pietro Bartolo, Theresa Bielowski, Cyrus Engerer, Maria Grapini, Sylvie Guillaume, Evin Incir, Marina Kaljurand, Łukasz Kohut, Juan Fernando López Aguilar, Javier Moreno Sánchez, Isabel Santos, Birgit Sippel</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The Left</w:t>
            </w:r>
          </w:p>
        </w:tc>
        <w:tc>
          <w:tcPr>
            <w:tcW w:w="7371" w:type="dxa"/>
            <w:shd w:val="clear" w:color="auto" w:fill="FFFFFF"/>
          </w:tcPr>
          <w:p w:rsidR="00557C87" w:rsidRPr="00606CE1" w:rsidRDefault="00557C87" w:rsidP="00980A6A">
            <w:pPr>
              <w:pStyle w:val="RollCallTable"/>
            </w:pPr>
            <w:r>
              <w:t>Cornelia Ernst, José Gusmão, Marisa Matias, Anne-Sophie Pelletier</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Verts/ALE</w:t>
            </w:r>
          </w:p>
        </w:tc>
        <w:tc>
          <w:tcPr>
            <w:tcW w:w="7371" w:type="dxa"/>
            <w:shd w:val="clear" w:color="auto" w:fill="FFFFFF"/>
          </w:tcPr>
          <w:p w:rsidR="00557C87" w:rsidRPr="00606CE1" w:rsidRDefault="00557C87" w:rsidP="00980A6A">
            <w:pPr>
              <w:pStyle w:val="RollCallTable"/>
            </w:pPr>
            <w:r>
              <w:t>Patrick Breyer, Saskia Bricmont, Damien Carême, Alice Kuhnke, Erik Marquardt, Diana Riba i Giner, Tineke Strik</w:t>
            </w:r>
          </w:p>
        </w:tc>
      </w:tr>
    </w:tbl>
    <w:p w:rsidR="00557C87" w:rsidRPr="00606CE1" w:rsidRDefault="00557C87" w:rsidP="00557C8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C87" w:rsidRPr="00606CE1" w:rsidTr="00980A6A">
        <w:trPr>
          <w:cantSplit/>
        </w:trPr>
        <w:tc>
          <w:tcPr>
            <w:tcW w:w="1701" w:type="dxa"/>
            <w:shd w:val="pct10" w:color="000000" w:fill="FFFFFF"/>
            <w:vAlign w:val="center"/>
          </w:tcPr>
          <w:p w:rsidR="00557C87" w:rsidRPr="00606CE1" w:rsidRDefault="00557C87" w:rsidP="00980A6A">
            <w:pPr>
              <w:pStyle w:val="RollCallVotes"/>
            </w:pPr>
            <w:r>
              <w:t>0</w:t>
            </w:r>
          </w:p>
        </w:tc>
        <w:tc>
          <w:tcPr>
            <w:tcW w:w="7371" w:type="dxa"/>
            <w:shd w:val="pct10" w:color="000000" w:fill="FFFFFF"/>
          </w:tcPr>
          <w:p w:rsidR="00557C87" w:rsidRPr="00606CE1" w:rsidRDefault="00557C87" w:rsidP="00980A6A">
            <w:pPr>
              <w:pStyle w:val="RollCallSymbols14pt"/>
            </w:pPr>
            <w:r>
              <w:t>-</w:t>
            </w:r>
          </w:p>
        </w:tc>
      </w:tr>
      <w:tr w:rsidR="00557C87" w:rsidRPr="00606CE1" w:rsidTr="00980A6A">
        <w:trPr>
          <w:cantSplit/>
        </w:trPr>
        <w:tc>
          <w:tcPr>
            <w:tcW w:w="1701" w:type="dxa"/>
            <w:shd w:val="clear" w:color="auto" w:fill="FFFFFF"/>
          </w:tcPr>
          <w:p w:rsidR="00557C87" w:rsidRPr="00606CE1" w:rsidRDefault="00557C87" w:rsidP="00980A6A">
            <w:pPr>
              <w:pStyle w:val="RollCallTable"/>
            </w:pPr>
          </w:p>
        </w:tc>
        <w:tc>
          <w:tcPr>
            <w:tcW w:w="7371" w:type="dxa"/>
            <w:shd w:val="clear" w:color="auto" w:fill="FFFFFF"/>
          </w:tcPr>
          <w:p w:rsidR="00557C87" w:rsidRPr="00606CE1" w:rsidRDefault="00557C87" w:rsidP="00980A6A">
            <w:pPr>
              <w:pStyle w:val="RollCallTable"/>
            </w:pPr>
          </w:p>
        </w:tc>
      </w:tr>
    </w:tbl>
    <w:p w:rsidR="00557C87" w:rsidRPr="00606CE1" w:rsidRDefault="00557C87" w:rsidP="00557C8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57C87" w:rsidRPr="00606CE1" w:rsidTr="00980A6A">
        <w:trPr>
          <w:cantSplit/>
        </w:trPr>
        <w:tc>
          <w:tcPr>
            <w:tcW w:w="1701" w:type="dxa"/>
            <w:shd w:val="pct10" w:color="000000" w:fill="FFFFFF"/>
            <w:vAlign w:val="center"/>
          </w:tcPr>
          <w:p w:rsidR="00557C87" w:rsidRPr="00606CE1" w:rsidRDefault="00557C87" w:rsidP="00980A6A">
            <w:pPr>
              <w:pStyle w:val="RollCallVotes"/>
            </w:pPr>
            <w:r>
              <w:t>4</w:t>
            </w:r>
          </w:p>
        </w:tc>
        <w:tc>
          <w:tcPr>
            <w:tcW w:w="7371" w:type="dxa"/>
            <w:shd w:val="pct10" w:color="000000" w:fill="FFFFFF"/>
          </w:tcPr>
          <w:p w:rsidR="00557C87" w:rsidRPr="00606CE1" w:rsidRDefault="00557C87" w:rsidP="00980A6A">
            <w:pPr>
              <w:pStyle w:val="RollCallSymbols14pt"/>
            </w:pPr>
            <w:r>
              <w:t>0</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ID</w:t>
            </w:r>
          </w:p>
        </w:tc>
        <w:tc>
          <w:tcPr>
            <w:tcW w:w="7371" w:type="dxa"/>
            <w:shd w:val="clear" w:color="auto" w:fill="FFFFFF"/>
          </w:tcPr>
          <w:p w:rsidR="00557C87" w:rsidRPr="00606CE1" w:rsidRDefault="00557C87" w:rsidP="00980A6A">
            <w:pPr>
              <w:pStyle w:val="RollCallTable"/>
            </w:pPr>
            <w:r>
              <w:t>Patricia Chagnon, Nicolaus Fest, Tom Vandendriessche</w:t>
            </w:r>
          </w:p>
        </w:tc>
      </w:tr>
      <w:tr w:rsidR="00557C87" w:rsidRPr="00606CE1" w:rsidTr="00980A6A">
        <w:trPr>
          <w:cantSplit/>
        </w:trPr>
        <w:tc>
          <w:tcPr>
            <w:tcW w:w="1701" w:type="dxa"/>
            <w:shd w:val="clear" w:color="auto" w:fill="FFFFFF"/>
          </w:tcPr>
          <w:p w:rsidR="00557C87" w:rsidRPr="00606CE1" w:rsidRDefault="00557C87" w:rsidP="00980A6A">
            <w:pPr>
              <w:pStyle w:val="RollCallTable"/>
            </w:pPr>
            <w:r>
              <w:t>NI</w:t>
            </w:r>
          </w:p>
        </w:tc>
        <w:tc>
          <w:tcPr>
            <w:tcW w:w="7371" w:type="dxa"/>
            <w:shd w:val="clear" w:color="auto" w:fill="FFFFFF"/>
          </w:tcPr>
          <w:p w:rsidR="00557C87" w:rsidRPr="00606CE1" w:rsidRDefault="00557C87" w:rsidP="00980A6A">
            <w:pPr>
              <w:pStyle w:val="RollCallTable"/>
            </w:pPr>
            <w:r>
              <w:t>Milan Uhrík</w:t>
            </w:r>
          </w:p>
        </w:tc>
      </w:tr>
    </w:tbl>
    <w:p w:rsidR="00557C87" w:rsidRPr="00606CE1" w:rsidRDefault="00557C87" w:rsidP="00557C87">
      <w:pPr>
        <w:pStyle w:val="Normal12a"/>
      </w:pPr>
    </w:p>
    <w:p w:rsidR="00557C87" w:rsidRDefault="00557C87" w:rsidP="00B735E3">
      <w:r>
        <w:t>Izmantoto apzīmējumu skaidrojums:</w:t>
      </w:r>
    </w:p>
    <w:p w:rsidR="00557C87" w:rsidRDefault="00557C87" w:rsidP="003858C5">
      <w:pPr>
        <w:pStyle w:val="RollCallTabs"/>
      </w:pPr>
      <w:r>
        <w:t>+</w:t>
      </w:r>
      <w:r>
        <w:tab/>
        <w:t>:</w:t>
      </w:r>
      <w:r>
        <w:tab/>
        <w:t>par</w:t>
      </w:r>
    </w:p>
    <w:p w:rsidR="00557C87" w:rsidRDefault="00557C87" w:rsidP="003858C5">
      <w:pPr>
        <w:pStyle w:val="RollCallTabs"/>
      </w:pPr>
      <w:r>
        <w:t>-</w:t>
      </w:r>
      <w:r>
        <w:tab/>
        <w:t>:</w:t>
      </w:r>
      <w:r>
        <w:tab/>
        <w:t>pret</w:t>
      </w:r>
    </w:p>
    <w:p w:rsidR="00557C87" w:rsidRDefault="00557C87" w:rsidP="003858C5">
      <w:pPr>
        <w:pStyle w:val="RollCallTabs"/>
      </w:pPr>
      <w:r>
        <w:t>0</w:t>
      </w:r>
      <w:r>
        <w:tab/>
        <w:t>:</w:t>
      </w:r>
      <w:r>
        <w:tab/>
        <w:t>atturas</w:t>
      </w:r>
    </w:p>
    <w:p w:rsidR="00557C87" w:rsidRDefault="00557C87" w:rsidP="00207509"/>
    <w:bookmarkEnd w:id="4"/>
    <w:p w:rsidR="002E6F98" w:rsidRPr="00557C87" w:rsidRDefault="002E6F98" w:rsidP="00557C87"/>
    <w:sectPr w:rsidR="002E6F98" w:rsidRPr="00557C87" w:rsidSect="00557C8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B33" w:rsidRPr="007D07E4" w:rsidRDefault="000B5B33">
      <w:r w:rsidRPr="007D07E4">
        <w:separator/>
      </w:r>
    </w:p>
  </w:endnote>
  <w:endnote w:type="continuationSeparator" w:id="0">
    <w:p w:rsidR="000B5B33" w:rsidRPr="007D07E4" w:rsidRDefault="000B5B33">
      <w:r w:rsidRPr="007D07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DE" w:rsidRPr="007D07E4" w:rsidRDefault="005D55DE" w:rsidP="005D55DE">
    <w:pPr>
      <w:pStyle w:val="EPFooter"/>
    </w:pPr>
    <w:r w:rsidRPr="007D07E4">
      <w:t>PE</w:t>
    </w:r>
    <w:r w:rsidRPr="007D07E4">
      <w:rPr>
        <w:rStyle w:val="HideTWBExt"/>
      </w:rPr>
      <w:t>&lt;NoPE&gt;</w:t>
    </w:r>
    <w:r w:rsidRPr="007D07E4">
      <w:t>756.193</w:t>
    </w:r>
    <w:r w:rsidRPr="007D07E4">
      <w:rPr>
        <w:rStyle w:val="HideTWBExt"/>
      </w:rPr>
      <w:t>&lt;/NoPE&gt;&lt;Version&gt;</w:t>
    </w:r>
    <w:r w:rsidRPr="007D07E4">
      <w:t>v03-00</w:t>
    </w:r>
    <w:r w:rsidRPr="007D07E4">
      <w:rPr>
        <w:rStyle w:val="HideTWBExt"/>
      </w:rPr>
      <w:t>&lt;/Version&gt;</w:t>
    </w:r>
    <w:r w:rsidRPr="007D07E4">
      <w:tab/>
    </w:r>
    <w:r w:rsidRPr="007D07E4">
      <w:fldChar w:fldCharType="begin"/>
    </w:r>
    <w:r w:rsidRPr="007D07E4">
      <w:instrText xml:space="preserve"> PAGE  \* MERGEFORMAT </w:instrText>
    </w:r>
    <w:r w:rsidRPr="007D07E4">
      <w:fldChar w:fldCharType="separate"/>
    </w:r>
    <w:r w:rsidR="00290A7F">
      <w:rPr>
        <w:noProof/>
      </w:rPr>
      <w:t>4</w:t>
    </w:r>
    <w:r w:rsidRPr="007D07E4">
      <w:fldChar w:fldCharType="end"/>
    </w:r>
    <w:r w:rsidRPr="007D07E4">
      <w:t>/</w:t>
    </w:r>
    <w:r w:rsidR="00290A7F">
      <w:fldChar w:fldCharType="begin"/>
    </w:r>
    <w:r w:rsidR="00290A7F">
      <w:instrText xml:space="preserve"> NUMPAGES  \* MERGEFORMAT </w:instrText>
    </w:r>
    <w:r w:rsidR="00290A7F">
      <w:fldChar w:fldCharType="separate"/>
    </w:r>
    <w:r w:rsidR="00290A7F">
      <w:rPr>
        <w:noProof/>
      </w:rPr>
      <w:t>7</w:t>
    </w:r>
    <w:r w:rsidR="00290A7F">
      <w:rPr>
        <w:noProof/>
      </w:rPr>
      <w:fldChar w:fldCharType="end"/>
    </w:r>
    <w:r w:rsidRPr="007D07E4">
      <w:tab/>
    </w:r>
    <w:r w:rsidRPr="007D07E4">
      <w:rPr>
        <w:rStyle w:val="HideTWBExt"/>
      </w:rPr>
      <w:t>&lt;PathFdR&gt;</w:t>
    </w:r>
    <w:r w:rsidRPr="007D07E4">
      <w:t>AD\1295222LV.docx</w:t>
    </w:r>
    <w:r w:rsidRPr="007D07E4">
      <w:rPr>
        <w:rStyle w:val="HideTWBExt"/>
      </w:rPr>
      <w:t>&lt;/PathFdR&gt;</w:t>
    </w:r>
  </w:p>
  <w:p w:rsidR="002E2F2E" w:rsidRPr="007D07E4" w:rsidRDefault="005D55DE" w:rsidP="005D55DE">
    <w:pPr>
      <w:pStyle w:val="EPFooter2"/>
    </w:pPr>
    <w:r w:rsidRPr="007D07E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DE" w:rsidRPr="007D07E4" w:rsidRDefault="005D55DE" w:rsidP="005D55DE">
    <w:pPr>
      <w:pStyle w:val="EPFooter"/>
    </w:pPr>
    <w:r w:rsidRPr="007D07E4">
      <w:rPr>
        <w:rStyle w:val="HideTWBExt"/>
      </w:rPr>
      <w:t>&lt;PathFdR&gt;</w:t>
    </w:r>
    <w:r w:rsidRPr="007D07E4">
      <w:t>AD\1295222LV.docx</w:t>
    </w:r>
    <w:r w:rsidRPr="007D07E4">
      <w:rPr>
        <w:rStyle w:val="HideTWBExt"/>
      </w:rPr>
      <w:t>&lt;/PathFdR&gt;</w:t>
    </w:r>
    <w:r w:rsidRPr="007D07E4">
      <w:tab/>
    </w:r>
    <w:r w:rsidRPr="007D07E4">
      <w:fldChar w:fldCharType="begin"/>
    </w:r>
    <w:r w:rsidRPr="007D07E4">
      <w:instrText xml:space="preserve"> PAGE  \* MERGEFORMAT </w:instrText>
    </w:r>
    <w:r w:rsidRPr="007D07E4">
      <w:fldChar w:fldCharType="separate"/>
    </w:r>
    <w:r w:rsidR="00290A7F">
      <w:rPr>
        <w:noProof/>
      </w:rPr>
      <w:t>3</w:t>
    </w:r>
    <w:r w:rsidRPr="007D07E4">
      <w:fldChar w:fldCharType="end"/>
    </w:r>
    <w:r w:rsidRPr="007D07E4">
      <w:t>/</w:t>
    </w:r>
    <w:r w:rsidR="00290A7F">
      <w:fldChar w:fldCharType="begin"/>
    </w:r>
    <w:r w:rsidR="00290A7F">
      <w:instrText xml:space="preserve"> NUMPAGES  \* MERGEFORMAT </w:instrText>
    </w:r>
    <w:r w:rsidR="00290A7F">
      <w:fldChar w:fldCharType="separate"/>
    </w:r>
    <w:r w:rsidR="00290A7F">
      <w:rPr>
        <w:noProof/>
      </w:rPr>
      <w:t>7</w:t>
    </w:r>
    <w:r w:rsidR="00290A7F">
      <w:rPr>
        <w:noProof/>
      </w:rPr>
      <w:fldChar w:fldCharType="end"/>
    </w:r>
    <w:r w:rsidRPr="007D07E4">
      <w:tab/>
      <w:t>PE</w:t>
    </w:r>
    <w:r w:rsidRPr="007D07E4">
      <w:rPr>
        <w:rStyle w:val="HideTWBExt"/>
      </w:rPr>
      <w:t>&lt;NoPE&gt;</w:t>
    </w:r>
    <w:r w:rsidRPr="007D07E4">
      <w:t>756.193</w:t>
    </w:r>
    <w:r w:rsidRPr="007D07E4">
      <w:rPr>
        <w:rStyle w:val="HideTWBExt"/>
      </w:rPr>
      <w:t>&lt;/NoPE&gt;&lt;Version&gt;</w:t>
    </w:r>
    <w:r w:rsidRPr="007D07E4">
      <w:t>v03-00</w:t>
    </w:r>
    <w:r w:rsidRPr="007D07E4">
      <w:rPr>
        <w:rStyle w:val="HideTWBExt"/>
      </w:rPr>
      <w:t>&lt;/Version&gt;</w:t>
    </w:r>
  </w:p>
  <w:p w:rsidR="002E2F2E" w:rsidRPr="007D07E4" w:rsidRDefault="005D55DE" w:rsidP="005D55DE">
    <w:pPr>
      <w:pStyle w:val="EPFooter2"/>
    </w:pPr>
    <w:r w:rsidRPr="007D07E4">
      <w:tab/>
    </w:r>
    <w:r w:rsidRPr="007D07E4">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5DE" w:rsidRPr="007D07E4" w:rsidRDefault="005D55DE" w:rsidP="005D55DE">
    <w:pPr>
      <w:pStyle w:val="EPFooter"/>
    </w:pPr>
    <w:r w:rsidRPr="007D07E4">
      <w:rPr>
        <w:rStyle w:val="HideTWBExt"/>
      </w:rPr>
      <w:t>&lt;PathFdR&gt;</w:t>
    </w:r>
    <w:r w:rsidRPr="007D07E4">
      <w:t>AD\1295222LV.docx</w:t>
    </w:r>
    <w:r w:rsidRPr="007D07E4">
      <w:rPr>
        <w:rStyle w:val="HideTWBExt"/>
      </w:rPr>
      <w:t>&lt;/PathFdR&gt;</w:t>
    </w:r>
    <w:r w:rsidRPr="007D07E4">
      <w:tab/>
    </w:r>
    <w:r w:rsidRPr="007D07E4">
      <w:tab/>
      <w:t>PE</w:t>
    </w:r>
    <w:r w:rsidRPr="007D07E4">
      <w:rPr>
        <w:rStyle w:val="HideTWBExt"/>
      </w:rPr>
      <w:t>&lt;NoPE&gt;</w:t>
    </w:r>
    <w:r w:rsidRPr="007D07E4">
      <w:t>756.193</w:t>
    </w:r>
    <w:r w:rsidRPr="007D07E4">
      <w:rPr>
        <w:rStyle w:val="HideTWBExt"/>
      </w:rPr>
      <w:t>&lt;/NoPE&gt;&lt;Version&gt;</w:t>
    </w:r>
    <w:r w:rsidRPr="007D07E4">
      <w:t>v03-00</w:t>
    </w:r>
    <w:r w:rsidRPr="007D07E4">
      <w:rPr>
        <w:rStyle w:val="HideTWBExt"/>
      </w:rPr>
      <w:t>&lt;/Version&gt;</w:t>
    </w:r>
  </w:p>
  <w:p w:rsidR="002E2F2E" w:rsidRPr="007D07E4" w:rsidRDefault="005D55DE" w:rsidP="005D55DE">
    <w:pPr>
      <w:pStyle w:val="EPFooter2"/>
    </w:pPr>
    <w:r w:rsidRPr="007D07E4">
      <w:t>LV</w:t>
    </w:r>
    <w:r w:rsidRPr="007D07E4">
      <w:tab/>
    </w:r>
    <w:r w:rsidRPr="007D07E4">
      <w:rPr>
        <w:b w:val="0"/>
        <w:i/>
        <w:color w:val="C0C0C0"/>
        <w:sz w:val="22"/>
      </w:rPr>
      <w:t>Vienoti daudzveidībā</w:t>
    </w:r>
    <w:r w:rsidRPr="007D07E4">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B33" w:rsidRPr="007D07E4" w:rsidRDefault="000B5B33">
      <w:r w:rsidRPr="007D07E4">
        <w:separator/>
      </w:r>
    </w:p>
  </w:footnote>
  <w:footnote w:type="continuationSeparator" w:id="0">
    <w:p w:rsidR="000B5B33" w:rsidRPr="007D07E4" w:rsidRDefault="000B5B33">
      <w:r w:rsidRPr="007D07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87" w:rsidRDefault="00557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87" w:rsidRDefault="00557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C87" w:rsidRDefault="00557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LIBE"/>
    <w:docVar w:name="CONTRIBUTIONMNU" w:val=" 2"/>
    <w:docVar w:name="FONCTIONMNU" w:val=" 1"/>
    <w:docVar w:name="LastEditedSection" w:val=" 3"/>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243255 HideTWBInt;}{_x000d__x000a_\s18\ql \fi-567\li567\ri0\sa240\nowidctlpar\wrapdefault\aspalpha\aspnum\faauto\adjustright\rin0\lin567\itap0 \rtlch\fcs1 \af0\afs20\alang1025 \ltrch\fcs0 \fs24\lang2057\langfe2057\cgrid\langnp2057\langfenp2057 _x000d__x000a_\sbasedon0 \snext18 \spriority0 \styrsid2243255 NormalHanging12a;}}{\*\rsidtbl \rsid24658\rsid145421\rsid223860\rsid735077\rsid1718133\rsid2243255\rsid2892074\rsid3565327\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19\hr11\min45}{\revtim\yr2024\mo1\dy19\hr11\min45}{\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43255\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45421 \chftnsep _x000d__x000a_\par }}{\*\ftnsepc \ltrpar \pard\plain \ltrpar\ql \li0\ri0\widctlpar\wrapdefault\aspalpha\aspnum\faauto\adjustright\rin0\lin0\itap0 \rtlch\fcs1 \af0\afs20\alang1025 \ltrch\fcs0 \fs24\lang2057\langfe2057\cgrid\langnp2057\langfenp2057 {\rtlch\fcs1 \af0 _x000d__x000a_\ltrch\fcs0 \insrsid145421 \chftnsepc _x000d__x000a_\par }}{\*\aftnsep \ltrpar \pard\plain \ltrpar\ql \li0\ri0\widctlpar\wrapdefault\aspalpha\aspnum\faauto\adjustright\rin0\lin0\itap0 \rtlch\fcs1 \af0\afs20\alang1025 \ltrch\fcs0 \fs24\lang2057\langfe2057\cgrid\langnp2057\langfenp2057 {\rtlch\fcs1 \af0 _x000d__x000a_\ltrch\fcs0 \insrsid145421 \chftnsep _x000d__x000a_\par }}{\*\aftnsepc \ltrpar \pard\plain \ltrpar\ql \li0\ri0\widctlpar\wrapdefault\aspalpha\aspnum\faauto\adjustright\rin0\lin0\itap0 \rtlch\fcs1 \af0\afs20\alang1025 \ltrch\fcs0 \fs24\lang2057\langfe2057\cgrid\langnp2057\langfenp2057 {\rtlch\fcs1 \af0 _x000d__x000a_\ltrch\fcs0 \insrsid1454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2243255 \rtlch\fcs1 \af0\afs20\alang1025 \ltrch\fcs0 \fs24\lang2057\langfe2057\cgrid\langnp2057\langfenp2057 {\rtlch\fcs1 \af0 _x000d__x000a_\ltrch\fcs0 \insrsid2243255\charrsid13044652 {\*\bkmkstart restart}#}{\rtlch\fcs1 \af1 \ltrch\fcs0 \cs17\v\f1\fs20\cf15\insrsid2243255\charrsid13044652 NRMSG}{\rtlch\fcs1 \af0 \ltrch\fcs0 \insrsid2243255\charrsid13044652 #.\tab ##}{\rtlch\fcs1 \af0 _x000d__x000a_\ltrch\fcs0 \insrsid224325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b0_x000d__x000a_a799c4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873259 NormalHanging12a;}}{\*\rsidtbl \rsid24658\rsid223860\rsid735077\rsid1718133\rsid2892074\rsid3565327\rsid4666813\rsid6641733\rsid7823322\rsid9636012_x000d__x000a_\rsid10377208\rsid11215221\rsid11549030\rsid11873259\rsid12074949\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19\hr11\min45}{\revtim\yr2024\mo1\dy19\hr11\min45}{\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873259\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2074949 \chftnsep _x000d__x000a_\par }}{\*\ftnsepc \ltrpar \pard\plain \ltrpar\ql \li0\ri0\widctlpar\wrapdefault\aspalpha\aspnum\faauto\adjustright\rin0\lin0\itap0 \rtlch\fcs1 \af0\afs20\alang1025 \ltrch\fcs0 \fs24\lang2057\langfe2057\cgrid\langnp2057\langfenp2057 {\rtlch\fcs1 \af0 _x000d__x000a_\ltrch\fcs0 \insrsid12074949 \chftnsepc _x000d__x000a_\par }}{\*\aftnsep \ltrpar \pard\plain \ltrpar\ql \li0\ri0\widctlpar\wrapdefault\aspalpha\aspnum\faauto\adjustright\rin0\lin0\itap0 \rtlch\fcs1 \af0\afs20\alang1025 \ltrch\fcs0 \fs24\lang2057\langfe2057\cgrid\langnp2057\langfenp2057 {\rtlch\fcs1 \af0 _x000d__x000a_\ltrch\fcs0 \insrsid12074949 \chftnsep _x000d__x000a_\par }}{\*\aftnsepc \ltrpar \pard\plain \ltrpar\ql \li0\ri0\widctlpar\wrapdefault\aspalpha\aspnum\faauto\adjustright\rin0\lin0\itap0 \rtlch\fcs1 \af0\afs20\alang1025 \ltrch\fcs0 \fs24\lang2057\langfe2057\cgrid\langnp2057\langfenp2057 {\rtlch\fcs1 \af0 _x000d__x000a_\ltrch\fcs0 \insrsid120749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873259 \rtlch\fcs1 \af0\afs20\alang1025 \ltrch\fcs0 \fs24\lang2057\langfe2057\cgrid\langnp2057\langfenp2057 {\rtlch\fcs1 \af0 _x000d__x000a_\ltrch\fcs0 \insrsid11873259\charrsid1525456 {\*\bkmkstart restart}[ZSUGGESTIONNR]\tab [ZSUGGESTIONTEXT]}{\rtlch\fcs1 \af0 \ltrch\fcs0 \insrsid1187325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94_x000d__x000a_419cc44a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LV"/>
    <w:docVar w:name="TXTLANGUEMIN" w:val="lv"/>
    <w:docVar w:name="TXTNRPE" w:val="756.193"/>
    <w:docVar w:name="TXTNRPROC" w:val="2023/2138"/>
    <w:docVar w:name="TXTPEorAP" w:val="PE"/>
    <w:docVar w:name="TXTROUTE" w:val="AD\1295222LV.docx"/>
    <w:docVar w:name="TXTTITLE" w:val="for the financial year 2022, Section IX – European Data Protection Supervisor"/>
    <w:docVar w:name="TXTVERSION" w:val="03-00"/>
  </w:docVars>
  <w:rsids>
    <w:rsidRoot w:val="000B5B33"/>
    <w:rsid w:val="000A6C20"/>
    <w:rsid w:val="000B5B33"/>
    <w:rsid w:val="000C149A"/>
    <w:rsid w:val="000E7EBF"/>
    <w:rsid w:val="00124F60"/>
    <w:rsid w:val="00135121"/>
    <w:rsid w:val="00140BE6"/>
    <w:rsid w:val="00147F4E"/>
    <w:rsid w:val="0016635E"/>
    <w:rsid w:val="001746D0"/>
    <w:rsid w:val="001B7393"/>
    <w:rsid w:val="001D2ED9"/>
    <w:rsid w:val="001F21C1"/>
    <w:rsid w:val="00210424"/>
    <w:rsid w:val="00290A7F"/>
    <w:rsid w:val="002D28A7"/>
    <w:rsid w:val="002E2F2E"/>
    <w:rsid w:val="002E6F98"/>
    <w:rsid w:val="00325BCB"/>
    <w:rsid w:val="00331944"/>
    <w:rsid w:val="00332AD9"/>
    <w:rsid w:val="00347D2C"/>
    <w:rsid w:val="0037356F"/>
    <w:rsid w:val="00390EB2"/>
    <w:rsid w:val="00396A0E"/>
    <w:rsid w:val="003E2402"/>
    <w:rsid w:val="004C28FB"/>
    <w:rsid w:val="004C44C0"/>
    <w:rsid w:val="004D721C"/>
    <w:rsid w:val="0052544E"/>
    <w:rsid w:val="00557C87"/>
    <w:rsid w:val="005940C3"/>
    <w:rsid w:val="00594C48"/>
    <w:rsid w:val="005B17A2"/>
    <w:rsid w:val="005B2F11"/>
    <w:rsid w:val="005C0BDF"/>
    <w:rsid w:val="005C2078"/>
    <w:rsid w:val="005D55DE"/>
    <w:rsid w:val="005D60C6"/>
    <w:rsid w:val="00606CE1"/>
    <w:rsid w:val="006102E7"/>
    <w:rsid w:val="00640C1B"/>
    <w:rsid w:val="00657AFB"/>
    <w:rsid w:val="00680761"/>
    <w:rsid w:val="00686C9F"/>
    <w:rsid w:val="00694DCE"/>
    <w:rsid w:val="006D5BF7"/>
    <w:rsid w:val="00796CED"/>
    <w:rsid w:val="007D07E4"/>
    <w:rsid w:val="007F0A3F"/>
    <w:rsid w:val="00801294"/>
    <w:rsid w:val="008313E7"/>
    <w:rsid w:val="00854CAC"/>
    <w:rsid w:val="008A32C5"/>
    <w:rsid w:val="008C6203"/>
    <w:rsid w:val="008D61E7"/>
    <w:rsid w:val="008F7002"/>
    <w:rsid w:val="0099493F"/>
    <w:rsid w:val="00996D10"/>
    <w:rsid w:val="009C02B5"/>
    <w:rsid w:val="00A16BEA"/>
    <w:rsid w:val="00A312B3"/>
    <w:rsid w:val="00A32C4C"/>
    <w:rsid w:val="00A42E52"/>
    <w:rsid w:val="00A72C35"/>
    <w:rsid w:val="00AE180F"/>
    <w:rsid w:val="00B362F7"/>
    <w:rsid w:val="00B5456B"/>
    <w:rsid w:val="00B74B53"/>
    <w:rsid w:val="00BC26E4"/>
    <w:rsid w:val="00BD1EAA"/>
    <w:rsid w:val="00BE6891"/>
    <w:rsid w:val="00C423A7"/>
    <w:rsid w:val="00C52739"/>
    <w:rsid w:val="00C827FF"/>
    <w:rsid w:val="00CA0817"/>
    <w:rsid w:val="00CC58B8"/>
    <w:rsid w:val="00CD34AC"/>
    <w:rsid w:val="00D6489B"/>
    <w:rsid w:val="00DD6E5F"/>
    <w:rsid w:val="00DE19FF"/>
    <w:rsid w:val="00E1798F"/>
    <w:rsid w:val="00E22D42"/>
    <w:rsid w:val="00E81BA6"/>
    <w:rsid w:val="00E856D2"/>
    <w:rsid w:val="00E929A7"/>
    <w:rsid w:val="00F86FD2"/>
    <w:rsid w:val="00FC6460"/>
    <w:rsid w:val="00FD0D14"/>
    <w:rsid w:val="00FD4BC4"/>
    <w:rsid w:val="00FE38F2"/>
    <w:rsid w:val="00FF4B50"/>
    <w:rsid w:val="00FF6C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40B71F8"/>
  <w15:chartTrackingRefBased/>
  <w15:docId w15:val="{E97A7D39-7619-4FD9-93A2-78A39A822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801294"/>
    <w:pPr>
      <w:tabs>
        <w:tab w:val="center" w:pos="4513"/>
        <w:tab w:val="right" w:pos="9026"/>
      </w:tabs>
    </w:pPr>
  </w:style>
  <w:style w:type="character" w:customStyle="1" w:styleId="FooterChar">
    <w:name w:val="Footer Char"/>
    <w:basedOn w:val="DefaultParagraphFont"/>
    <w:link w:val="Footer"/>
    <w:semiHidden/>
    <w:rsid w:val="00801294"/>
    <w:rPr>
      <w:sz w:val="24"/>
    </w:rPr>
  </w:style>
  <w:style w:type="paragraph" w:styleId="BalloonText">
    <w:name w:val="Balloon Text"/>
    <w:basedOn w:val="Normal"/>
    <w:link w:val="BalloonTextChar"/>
    <w:semiHidden/>
    <w:unhideWhenUsed/>
    <w:rsid w:val="00C423A7"/>
    <w:rPr>
      <w:rFonts w:ascii="Segoe UI" w:hAnsi="Segoe UI" w:cs="Segoe UI"/>
      <w:sz w:val="18"/>
      <w:szCs w:val="18"/>
    </w:rPr>
  </w:style>
  <w:style w:type="character" w:customStyle="1" w:styleId="BalloonTextChar">
    <w:name w:val="Balloon Text Char"/>
    <w:basedOn w:val="DefaultParagraphFont"/>
    <w:link w:val="BalloonText"/>
    <w:semiHidden/>
    <w:rsid w:val="00C423A7"/>
    <w:rPr>
      <w:rFonts w:ascii="Segoe UI" w:hAnsi="Segoe UI" w:cs="Segoe UI"/>
      <w:sz w:val="18"/>
      <w:szCs w:val="18"/>
      <w:lang w:val="lv-LV"/>
    </w:rPr>
  </w:style>
  <w:style w:type="paragraph" w:customStyle="1" w:styleId="RollCallSymbols14pt">
    <w:name w:val="RollCallSymbols14pt"/>
    <w:basedOn w:val="Normal"/>
    <w:rsid w:val="00FE38F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38F2"/>
    <w:pPr>
      <w:tabs>
        <w:tab w:val="center" w:pos="284"/>
        <w:tab w:val="left" w:pos="426"/>
      </w:tabs>
    </w:pPr>
    <w:rPr>
      <w:snapToGrid w:val="0"/>
      <w:lang w:eastAsia="en-US"/>
    </w:rPr>
  </w:style>
  <w:style w:type="paragraph" w:customStyle="1" w:styleId="RollCallVotes">
    <w:name w:val="RollCallVotes"/>
    <w:basedOn w:val="Normal"/>
    <w:rsid w:val="00FE38F2"/>
    <w:pPr>
      <w:spacing w:before="120" w:after="120"/>
      <w:jc w:val="center"/>
    </w:pPr>
    <w:rPr>
      <w:b/>
      <w:bCs/>
      <w:snapToGrid w:val="0"/>
      <w:sz w:val="16"/>
      <w:lang w:eastAsia="en-US"/>
    </w:rPr>
  </w:style>
  <w:style w:type="paragraph" w:customStyle="1" w:styleId="RollCallTable">
    <w:name w:val="RollCallTable"/>
    <w:basedOn w:val="Normal"/>
    <w:rsid w:val="00FE38F2"/>
    <w:pPr>
      <w:spacing w:before="120" w:after="120"/>
    </w:pPr>
    <w:rPr>
      <w:snapToGrid w:val="0"/>
      <w:sz w:val="16"/>
      <w:lang w:eastAsia="en-US"/>
    </w:rPr>
  </w:style>
  <w:style w:type="paragraph" w:customStyle="1" w:styleId="Normal24a">
    <w:name w:val="Normal24a"/>
    <w:basedOn w:val="Normal"/>
    <w:rsid w:val="00796CED"/>
    <w:pPr>
      <w:spacing w:after="480"/>
    </w:pPr>
  </w:style>
  <w:style w:type="paragraph" w:customStyle="1" w:styleId="NormalBoldCenter">
    <w:name w:val="NormalBoldCenter"/>
    <w:basedOn w:val="Normal"/>
    <w:rsid w:val="00796CED"/>
    <w:pPr>
      <w:jc w:val="center"/>
    </w:pPr>
    <w:rPr>
      <w:b/>
    </w:rPr>
  </w:style>
  <w:style w:type="paragraph" w:styleId="EndnoteText">
    <w:name w:val="endnote text"/>
    <w:basedOn w:val="Normal"/>
    <w:link w:val="EndnoteTextChar"/>
    <w:rsid w:val="00CA0817"/>
    <w:rPr>
      <w:snapToGrid w:val="0"/>
      <w:lang w:eastAsia="en-US"/>
    </w:rPr>
  </w:style>
  <w:style w:type="character" w:customStyle="1" w:styleId="EndnoteTextChar">
    <w:name w:val="Endnote Text Char"/>
    <w:basedOn w:val="DefaultParagraphFont"/>
    <w:link w:val="EndnoteText"/>
    <w:rsid w:val="00CA0817"/>
    <w:rPr>
      <w:snapToGrid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796641">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963</Words>
  <Characters>6632</Characters>
  <Application>Microsoft Office Word</Application>
  <DocSecurity>0</DocSecurity>
  <Lines>170</Lines>
  <Paragraphs>82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2024-02-07T19:19:00Z</dcterms:created>
  <dcterms:modified xsi:type="dcterms:W3CDTF">2024-02-07T19:19:00Z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9.16.1 Build [20230920]</vt:lpwstr>
  </property>
  <property fmtid="{D5CDD505-2E9C-101B-9397-08002B2CF9AE}" pid="4" name="LastEdited with">
    <vt:lpwstr>9.17.1 Build [20240101]</vt:lpwstr>
  </property>
  <property fmtid="{D5CDD505-2E9C-101B-9397-08002B2CF9AE}" pid="5" name="&lt;FdR&gt;">
    <vt:lpwstr>1295222</vt:lpwstr>
  </property>
  <property fmtid="{D5CDD505-2E9C-101B-9397-08002B2CF9AE}" pid="6" name="&lt;Type&gt;">
    <vt:lpwstr>AD</vt:lpwstr>
  </property>
  <property fmtid="{D5CDD505-2E9C-101B-9397-08002B2CF9AE}" pid="7" name="&lt;ModelCod&gt;">
    <vt:lpwstr>\\eiciBRUpr1\pdocep$\DocEP\DOCS\General\PA\PA_NonLeg\PA_NonLeg.dotx(18/09/2023 10:25:02)</vt:lpwstr>
  </property>
  <property fmtid="{D5CDD505-2E9C-101B-9397-08002B2CF9AE}" pid="8" name="&lt;ModelTra&gt;">
    <vt:lpwstr>\\eiciBRUpr1\pdocep$\DocEP\TRANSFIL\EN\PA_NonLeg.EN(18/09/2023 10:08:01)</vt:lpwstr>
  </property>
  <property fmtid="{D5CDD505-2E9C-101B-9397-08002B2CF9AE}" pid="9" name="&lt;Model&gt;">
    <vt:lpwstr>PA_NonLeg</vt:lpwstr>
  </property>
  <property fmtid="{D5CDD505-2E9C-101B-9397-08002B2CF9AE}" pid="10" name="FooterPath">
    <vt:lpwstr>AD\1295222LV.docx</vt:lpwstr>
  </property>
  <property fmtid="{D5CDD505-2E9C-101B-9397-08002B2CF9AE}" pid="11" name="PE number">
    <vt:lpwstr>756.193</vt:lpwstr>
  </property>
  <property fmtid="{D5CDD505-2E9C-101B-9397-08002B2CF9AE}" pid="12" name="SendToEpades">
    <vt:lpwstr>OK - 2024/01/25 12:40</vt:lpwstr>
  </property>
  <property fmtid="{D5CDD505-2E9C-101B-9397-08002B2CF9AE}" pid="13" name="Bookout">
    <vt:lpwstr>OK - 2024/02/07 20:13</vt:lpwstr>
  </property>
  <property fmtid="{D5CDD505-2E9C-101B-9397-08002B2CF9AE}" pid="14" name="SDLStudio">
    <vt:lpwstr/>
  </property>
</Properties>
</file>