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F0437C" w:rsidTr="00C85D0F">
        <w:trPr>
          <w:trHeight w:hRule="exact" w:val="1418"/>
        </w:trPr>
        <w:tc>
          <w:tcPr>
            <w:tcW w:w="6804" w:type="dxa"/>
            <w:shd w:val="clear" w:color="auto" w:fill="auto"/>
            <w:vAlign w:val="center"/>
          </w:tcPr>
          <w:p w:rsidR="00854CAC" w:rsidRPr="00F0437C" w:rsidRDefault="007E0C16" w:rsidP="00C85D0F">
            <w:pPr>
              <w:pStyle w:val="EPName"/>
            </w:pPr>
            <w:r>
              <w:t>Evropský parlament</w:t>
            </w:r>
          </w:p>
          <w:p w:rsidR="00854CAC" w:rsidRPr="00F0437C" w:rsidRDefault="004A09C5" w:rsidP="004A09C5">
            <w:pPr>
              <w:pStyle w:val="EPTerm"/>
            </w:pPr>
            <w:r>
              <w:t>2019-2024</w:t>
            </w:r>
          </w:p>
        </w:tc>
        <w:tc>
          <w:tcPr>
            <w:tcW w:w="2268" w:type="dxa"/>
            <w:shd w:val="clear" w:color="auto" w:fill="auto"/>
          </w:tcPr>
          <w:p w:rsidR="00854CAC" w:rsidRPr="00F0437C" w:rsidRDefault="00854CAC" w:rsidP="00C85D0F">
            <w:pPr>
              <w:pStyle w:val="EPLogo"/>
            </w:pPr>
            <w:r w:rsidRPr="00F0437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F0437C" w:rsidRDefault="001746D0" w:rsidP="001746D0">
      <w:pPr>
        <w:pStyle w:val="LineTop"/>
      </w:pPr>
    </w:p>
    <w:p w:rsidR="001746D0" w:rsidRPr="00F0437C" w:rsidRDefault="001746D0" w:rsidP="001746D0">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 a vnitřní věci</w:t>
      </w:r>
      <w:r>
        <w:rPr>
          <w:rStyle w:val="HideTWBExt"/>
        </w:rPr>
        <w:t>&lt;/</w:t>
      </w:r>
      <w:r>
        <w:rPr>
          <w:rStyle w:val="HideTWBExt"/>
          <w:i w:val="0"/>
        </w:rPr>
        <w:t>Commission</w:t>
      </w:r>
      <w:r>
        <w:rPr>
          <w:rStyle w:val="HideTWBExt"/>
        </w:rPr>
        <w:t>&gt;</w:t>
      </w:r>
    </w:p>
    <w:p w:rsidR="001746D0" w:rsidRPr="00F0437C" w:rsidRDefault="001746D0" w:rsidP="001746D0">
      <w:pPr>
        <w:pStyle w:val="LineBottom"/>
      </w:pPr>
    </w:p>
    <w:p w:rsidR="002E2F2E" w:rsidRPr="00F0437C" w:rsidRDefault="002E2F2E">
      <w:pPr>
        <w:pStyle w:val="CoverReference"/>
      </w:pPr>
      <w:r>
        <w:rPr>
          <w:rStyle w:val="HideTWBExt"/>
          <w:b w:val="0"/>
        </w:rPr>
        <w:t>&lt;RefProc&gt;</w:t>
      </w:r>
      <w:r>
        <w:t>2023/2157</w:t>
      </w:r>
      <w:r>
        <w:rPr>
          <w:rStyle w:val="HideTWBExt"/>
          <w:b w:val="0"/>
        </w:rPr>
        <w:t>&lt;/RefProc&gt;&lt;RefTypeProc&gt;</w:t>
      </w:r>
      <w:r>
        <w:t>(DEC)</w:t>
      </w:r>
      <w:r>
        <w:rPr>
          <w:rStyle w:val="HideTWBExt"/>
          <w:b w:val="0"/>
        </w:rPr>
        <w:t>&lt;/RefTypeProc&gt;</w:t>
      </w:r>
    </w:p>
    <w:p w:rsidR="002E2F2E" w:rsidRPr="00F0437C" w:rsidRDefault="002E2F2E">
      <w:pPr>
        <w:pStyle w:val="CoverDate"/>
      </w:pPr>
      <w:r>
        <w:rPr>
          <w:rStyle w:val="HideTWBExt"/>
        </w:rPr>
        <w:t>&lt;Date&gt;</w:t>
      </w:r>
      <w:r>
        <w:rPr>
          <w:rStyle w:val="HideTWBInt"/>
        </w:rPr>
        <w:t>{24/01/2024}</w:t>
      </w:r>
      <w:r>
        <w:t>24.1.2024</w:t>
      </w:r>
      <w:r>
        <w:rPr>
          <w:rStyle w:val="HideTWBExt"/>
        </w:rPr>
        <w:t>&lt;/Date&gt;</w:t>
      </w:r>
    </w:p>
    <w:p w:rsidR="002E2F2E" w:rsidRPr="00F0437C" w:rsidRDefault="002E2F2E">
      <w:pPr>
        <w:pStyle w:val="CoverDocType24a"/>
      </w:pPr>
      <w:r>
        <w:rPr>
          <w:rStyle w:val="HideTWBExt"/>
          <w:b w:val="0"/>
        </w:rPr>
        <w:t>&lt;TitreType&gt;</w:t>
      </w:r>
      <w:r>
        <w:t>STANOVISKO</w:t>
      </w:r>
      <w:r>
        <w:rPr>
          <w:rStyle w:val="HideTWBExt"/>
          <w:b w:val="0"/>
        </w:rPr>
        <w:t>&lt;/TitreType&gt;</w:t>
      </w:r>
    </w:p>
    <w:p w:rsidR="002E2F2E" w:rsidRPr="00F0437C" w:rsidRDefault="002E2F2E">
      <w:pPr>
        <w:pStyle w:val="CoverNormal24a"/>
      </w:pPr>
      <w:r>
        <w:rPr>
          <w:rStyle w:val="HideTWBExt"/>
        </w:rPr>
        <w:t>&lt;CommissionResp&gt;</w:t>
      </w:r>
      <w:r>
        <w:t>Výboru pro občanské svobody, spravedlnost a vnitřní věci</w:t>
      </w:r>
      <w:r>
        <w:rPr>
          <w:rStyle w:val="HideTWBExt"/>
        </w:rPr>
        <w:t>&lt;/CommissionResp&gt;</w:t>
      </w:r>
    </w:p>
    <w:p w:rsidR="002E2F2E" w:rsidRPr="00F0437C" w:rsidRDefault="002E2F2E">
      <w:pPr>
        <w:pStyle w:val="CoverNormal24a"/>
      </w:pPr>
      <w:r>
        <w:rPr>
          <w:rStyle w:val="HideTWBExt"/>
        </w:rPr>
        <w:t>&lt;CommissionInt&gt;</w:t>
      </w:r>
      <w:r>
        <w:t>pro Výbor pro rozpočtovou kontrolu</w:t>
      </w:r>
      <w:r>
        <w:rPr>
          <w:rStyle w:val="HideTWBExt"/>
        </w:rPr>
        <w:t>&lt;/CommissionInt&gt;</w:t>
      </w:r>
    </w:p>
    <w:p w:rsidR="002E2F2E" w:rsidRPr="00F0437C" w:rsidRDefault="002E2F2E">
      <w:pPr>
        <w:pStyle w:val="CoverNormal"/>
      </w:pPr>
      <w:r>
        <w:rPr>
          <w:rStyle w:val="HideTWBExt"/>
        </w:rPr>
        <w:t>&lt;Titre&gt;</w:t>
      </w:r>
      <w:r>
        <w:t>k udělení absolutoria za plnění rozpočtu Evropského monitorovacího centra pro drogy a drogovou závislost na rozpočtový rok 2022</w:t>
      </w:r>
      <w:r>
        <w:rPr>
          <w:rStyle w:val="HideTWBExt"/>
        </w:rPr>
        <w:t>&lt;/Titre&gt;</w:t>
      </w:r>
    </w:p>
    <w:p w:rsidR="002E2F2E" w:rsidRPr="00F0437C" w:rsidRDefault="002E2F2E">
      <w:pPr>
        <w:pStyle w:val="CoverNormal24a"/>
      </w:pPr>
      <w:r>
        <w:rPr>
          <w:rStyle w:val="HideTWBExt"/>
        </w:rPr>
        <w:t>&lt;DocRef&gt;</w:t>
      </w:r>
      <w:r>
        <w:t>(2023/2157(DEC))</w:t>
      </w:r>
      <w:r>
        <w:rPr>
          <w:rStyle w:val="HideTWBExt"/>
        </w:rPr>
        <w:t>&lt;/DocRef&gt;</w:t>
      </w:r>
    </w:p>
    <w:p w:rsidR="002E2F2E" w:rsidRPr="00F0437C" w:rsidRDefault="004A09C5">
      <w:pPr>
        <w:pStyle w:val="CoverNormal24a"/>
      </w:pPr>
      <w:r>
        <w:t xml:space="preserve">Zpravodaj: </w:t>
      </w:r>
      <w:r>
        <w:rPr>
          <w:rStyle w:val="HideTWBExt"/>
        </w:rPr>
        <w:t>&lt;Depute&gt;</w:t>
      </w:r>
      <w:r>
        <w:t>Tomáš Zdechovský</w:t>
      </w:r>
      <w:r>
        <w:rPr>
          <w:rStyle w:val="HideTWBExt"/>
        </w:rPr>
        <w:t>&lt;/Depute&gt;</w:t>
      </w:r>
    </w:p>
    <w:p w:rsidR="00A72C35" w:rsidRPr="00F0437C" w:rsidRDefault="00A72C35" w:rsidP="00A72C35">
      <w:pPr>
        <w:pStyle w:val="CoverNormal"/>
      </w:pPr>
    </w:p>
    <w:p w:rsidR="002E2F2E" w:rsidRPr="00F0437C" w:rsidRDefault="002E2F2E" w:rsidP="00E856D2">
      <w:pPr>
        <w:widowControl/>
        <w:tabs>
          <w:tab w:val="center" w:pos="4677"/>
        </w:tabs>
      </w:pPr>
      <w:r>
        <w:br w:type="page"/>
      </w:r>
      <w:r>
        <w:lastRenderedPageBreak/>
        <w:t>PA_NonLeg</w:t>
      </w:r>
    </w:p>
    <w:p w:rsidR="002E2F2E" w:rsidRPr="00F0437C" w:rsidRDefault="002E2F2E">
      <w:pPr>
        <w:pStyle w:val="PageHeadingNotTOC"/>
      </w:pPr>
      <w:r>
        <w:br w:type="page"/>
      </w:r>
      <w:r>
        <w:lastRenderedPageBreak/>
        <w:t>NÁVRHY</w:t>
      </w:r>
    </w:p>
    <w:p w:rsidR="002E2F2E" w:rsidRPr="00F0437C" w:rsidRDefault="004A09C5" w:rsidP="008313E7">
      <w:pPr>
        <w:pStyle w:val="Normal12a"/>
      </w:pPr>
      <w:r>
        <w:t>Výbor pro občanské svobody, spravedlnost a vnitřní věci vyzývá Výbor pro rozpočtovou kontrolu jako příslušný výbor, aby do návrhu usnesení, který přijme, začlenil tyto návrhy:</w:t>
      </w:r>
    </w:p>
    <w:p w:rsidR="009E1F61" w:rsidRPr="00F0437C" w:rsidRDefault="004A09C5" w:rsidP="009E1F61">
      <w:pPr>
        <w:pStyle w:val="NormalHanging12a"/>
      </w:pPr>
      <w:bookmarkStart w:id="0" w:name="restart"/>
      <w:r>
        <w:t>1.</w:t>
      </w:r>
      <w:r>
        <w:tab/>
      </w:r>
      <w:bookmarkEnd w:id="0"/>
      <w:r>
        <w:t>vítá skutečnost, že Účetní dvůr prohlásil, že transakce, na nichž se zakládá roční účetní závěrka Evropského monitorovacího centra pro drogy a drogovou závislost (dále jen „centrum“) za rozpočtový rok 2022, jsou ve všech významných ohledech legální a správné; konstatuje, že podle výroční zprávy Účetního dvora o agenturách EU za rok 2022 činil jeho rozpočet v roce 2022 26 milionů EUR, což ve srovnání s rokem 2021 (25 milionů EUR) představuje nárůst o 4 %, zatímco počet zaměstnanců centra zůstal na základě rozhodnutí příslušného rozpočtového orgánu nezměněn;</w:t>
      </w:r>
    </w:p>
    <w:p w:rsidR="009E1F61" w:rsidRPr="00F0437C" w:rsidRDefault="009E1F61" w:rsidP="009E1F61">
      <w:pPr>
        <w:pStyle w:val="NormalHanging12a"/>
        <w:rPr>
          <w:szCs w:val="24"/>
        </w:rPr>
      </w:pPr>
      <w:r>
        <w:t>2.</w:t>
      </w:r>
      <w:r>
        <w:tab/>
        <w:t>vítá, že byla přijata vhodná nápravná opatření k řešení připomínek Účetního dvora z předchozích let; vítá výroční stěžejní publikaci evropské zprávy o problematice drog za rok 2022, statistického bulletinu za rok 2022 a přidanou hodnotu systému včasného varování EU před novými psychoaktivními látkami, který centrum spravuje a který v roce 2022 oslavil 25 let fungování; vítá zveřejnění 69 publikací, mezi nimiž bylo sedm stručných příruček a tři klíčové body v rámci stěžejní zprávy centra nazvané „Zdraví a sociální reakce na drogové problémy: evropská příručka“; vítá uspořádání čtvrté evropské konference o návykovém chování a závislostech, na němž se společně podílelo centrum a jeho partneři; vybízí centrum, aby pokračovalo ve svých činnostech v oblasti sdílení znalostí;</w:t>
      </w:r>
    </w:p>
    <w:p w:rsidR="009E1F61" w:rsidRPr="00F0437C" w:rsidRDefault="009E1F61" w:rsidP="009E1F61">
      <w:pPr>
        <w:pStyle w:val="NormalHanging12a"/>
        <w:rPr>
          <w:szCs w:val="24"/>
        </w:rPr>
      </w:pPr>
      <w:r>
        <w:t>3.</w:t>
      </w:r>
      <w:r>
        <w:tab/>
        <w:t>vítá vzdělávací činnosti v oblasti drog, kterých se zúčastnilo 609 příslušníků donucovacích orgánů z EU a partnerů projektu technické spolupráce a které středisko provádí ve spolupráci s Agenturou Evropské unie pro vzdělávání a výcvik v oblasti prosazování práva (CEPOL); vítá skutečnost, že téměř 950 odborníků pracujících v oblasti drog, včetně pracovníků donucovacích orgánů a tvůrců politik, absolvovalo v roce 2022 školení zajišťované centrem, zatímco přibližně 1200 odborníků pracujících v oblasti drog se zúčastnilo sedmi webinářů, které centrum organizovalo; zdůrazňuje důležitou úlohu centra při poskytování analýz veřejného zdraví a informací týkajících se drog a drogové závislosti tvůrcům politik a odborníkům z praxe;</w:t>
      </w:r>
    </w:p>
    <w:p w:rsidR="009E1F61" w:rsidRPr="00F0437C" w:rsidRDefault="009E1F61" w:rsidP="009E1F61">
      <w:pPr>
        <w:pStyle w:val="NormalHanging12a"/>
        <w:rPr>
          <w:szCs w:val="24"/>
        </w:rPr>
      </w:pPr>
      <w:r>
        <w:t>4.</w:t>
      </w:r>
      <w:r>
        <w:tab/>
        <w:t>vítá neochvějné úsilí střediska o zdůraznění sociálních aspektů a společenského dopadu drog, podporu politik opětovného začlenění uživatelů drog do společnosti a přístup k tématu drog s multidisciplinárním výhledem</w:t>
      </w:r>
      <w:r w:rsidR="00500957">
        <w:t>;</w:t>
      </w:r>
      <w:r>
        <w:t xml:space="preserve"> domnívá se, že je nezbytné i nadále zvyšovat povědomí o významu prevence a o tom, že je důležité, aby protidrogová politika byla založena na duševním zdraví;</w:t>
      </w:r>
    </w:p>
    <w:p w:rsidR="009E1F61" w:rsidRPr="00F0437C" w:rsidRDefault="009E1F61" w:rsidP="009E1F61">
      <w:pPr>
        <w:pStyle w:val="NormalHanging12a"/>
        <w:rPr>
          <w:szCs w:val="24"/>
        </w:rPr>
      </w:pPr>
      <w:r>
        <w:t>5.</w:t>
      </w:r>
      <w:r>
        <w:tab/>
        <w:t>připomíná, že činnost střediska je založena na strategické schopnosti posuzovat hrozby v oblasti zdraví a bezpečnosti na základě důkazů s cílem rozpoznat nový vývoj drogové problematiky, který by mohl mít negativní dopad na veřejné zdraví, sociální záležitosti, bezpečnost a ochranu v Unii, již v počáteční fázi, a tím pomáhat příslušným zúčastněným stranám včas a účinně reagovat na nové hrozby; připomíná, že součástí činnosti střediska by mělo být i posuzování hrozeb v oblasti zdraví;</w:t>
      </w:r>
    </w:p>
    <w:p w:rsidR="009E1F61" w:rsidRPr="00F0437C" w:rsidRDefault="009E1F61" w:rsidP="009E1F61">
      <w:pPr>
        <w:pStyle w:val="NormalHanging12a"/>
      </w:pPr>
      <w:r>
        <w:t>6.</w:t>
      </w:r>
      <w:r>
        <w:tab/>
        <w:t>vítá pokrok, kterého centrum dosáhlo spolu s Europolem při práci na hloubkové analýze trhu s drogami v EU, jejíž součástí jsou moduly o konkrétních drogách, z nichž některé byly zveřejněny v roce 2022 a některé jsou plánovány na rok 2023; vítá, že centrum v roce 2022 pracovalo na zlepšení kvality a dostupnosti základních údajů o nabídce drog ve spolupráci s národními kontaktními místy sítě Reitox a Europolem; vítá, že centrum plnilo všechny úkoly v rámci operativních akčních plánů multidisciplinární platformy pro boj proti hrozbám vyplývajícím z trestné činnosti, které se týkají konopí, kokainu a heroinu;</w:t>
      </w:r>
      <w:r>
        <w:rPr>
          <w:rStyle w:val="FootnoteReference"/>
        </w:rPr>
        <w:t xml:space="preserve"> </w:t>
      </w:r>
      <w:r>
        <w:t>připomíná, že obchod s drogami byl označen za významný zdroj zisku a jedním ze způsobů náboru ve zločineckých a teroristických organizacích, a zdůrazňuje, že centrum přispívá k tomu, aby bylo v Evropě bezpečněji;</w:t>
      </w:r>
    </w:p>
    <w:p w:rsidR="009E1F61" w:rsidRPr="00F0437C" w:rsidRDefault="009E1F61" w:rsidP="009E1F61">
      <w:pPr>
        <w:pStyle w:val="NormalHanging12a"/>
        <w:rPr>
          <w:szCs w:val="24"/>
        </w:rPr>
      </w:pPr>
      <w:r>
        <w:t>7.</w:t>
      </w:r>
      <w:r>
        <w:tab/>
        <w:t xml:space="preserve">vítá internetovou stránku „EMCDDA 4 Ukraine“, která byla vytvořena pro odborníky, kteří pracují v oblasti drog v Evropě a poskytují podporu osobám vysídleným z Ukrajiny; </w:t>
      </w:r>
    </w:p>
    <w:p w:rsidR="009E1F61" w:rsidRPr="00F0437C" w:rsidRDefault="009E1F61" w:rsidP="009E1F61">
      <w:pPr>
        <w:pStyle w:val="NormalHanging12a"/>
      </w:pPr>
      <w:r>
        <w:t>8.</w:t>
      </w:r>
      <w:r>
        <w:tab/>
        <w:t>vítá probíhající spolupráci mezi centrem a partnerskými zeměmi evropské politiky sousedství na regionální úrovni, která má podobu pro</w:t>
      </w:r>
      <w:r w:rsidR="00500957">
        <w:t>jektu technické pomoci EU4MD, a </w:t>
      </w:r>
      <w:r>
        <w:t>to, že se nyní realizuje dvoustranný projekt technické pomoci EMCDDA4GE s Gruzií; vítá, že v oblasti protidrogové politiky bylo navázáno oficiální partnerství v rámci programu spolupráce mezi Latinskou Amerikou, Karibikem a Evropskou unií;</w:t>
      </w:r>
    </w:p>
    <w:p w:rsidR="004A09C5" w:rsidRPr="00F0437C" w:rsidRDefault="009E1F61" w:rsidP="009E1F61">
      <w:pPr>
        <w:pStyle w:val="NormalHanging12a"/>
      </w:pPr>
      <w:r>
        <w:t>9.</w:t>
      </w:r>
      <w:r>
        <w:tab/>
        <w:t>vítá spolupráci centra s ostatními agenturami a jeho příspěvek v rámci sítě agentur působících v oblasti spravedlnosti a vnitřních věcí; vítá, že centrum neustále spolupracuje s vnitrostátními protidrogovými agenturami, třetími zeměmi a mezinárodními organizacemi, jako je UNODC a WHO;</w:t>
      </w:r>
    </w:p>
    <w:p w:rsidR="009E1F61" w:rsidRPr="00F0437C" w:rsidRDefault="009E1F61" w:rsidP="00E6047E">
      <w:pPr>
        <w:sectPr w:rsidR="009E1F61" w:rsidRPr="00F0437C" w:rsidSect="00F0437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E1F61" w:rsidRPr="00F0437C" w:rsidRDefault="009E1F61" w:rsidP="002B2C72">
      <w:pPr>
        <w:pStyle w:val="PageHeadingNotTOC"/>
        <w:rPr>
          <w:noProof/>
        </w:rPr>
      </w:pPr>
      <w:bookmarkStart w:id="1" w:name="FootprintPageAD"/>
      <w:r>
        <w:t>PŘÍLOHA: SUBJEKTY NEBO OSOBY,</w:t>
      </w:r>
      <w:r>
        <w:br/>
        <w:t>OD NICHŽ ZPRAVODAJ OBDRŽEL PODNĚTY</w:t>
      </w:r>
    </w:p>
    <w:p w:rsidR="009E1F61" w:rsidRPr="00F0437C" w:rsidRDefault="009E1F61" w:rsidP="00037518">
      <w:pPr>
        <w:pStyle w:val="Normal24a"/>
      </w:pPr>
      <w:r>
        <w:rPr>
          <w:rStyle w:val="HideTWBExt"/>
        </w:rPr>
        <w:t>&lt;FootprintIntro&gt;</w:t>
      </w:r>
      <w:r>
        <w:t>Zpravodaj prohlašuje na svou výhradní odpovědnost, že neobdržel žádný podnět od subjektu nebo osoby, který musí být uveden v této příloze v souladu s článkem 8 přílohy I jednacího řádu.</w:t>
      </w:r>
      <w:r>
        <w:rPr>
          <w:rStyle w:val="HideTWBExt"/>
        </w:rPr>
        <w:t>&lt;/FootprintIntro&gt;</w:t>
      </w:r>
    </w:p>
    <w:p w:rsidR="009E1F61" w:rsidRPr="00F0437C" w:rsidRDefault="009E1F61" w:rsidP="00AD5932"/>
    <w:p w:rsidR="009E1F61" w:rsidRPr="00F0437C" w:rsidRDefault="009E1F61" w:rsidP="009E1F61"/>
    <w:bookmarkEnd w:id="1"/>
    <w:p w:rsidR="009E1F61" w:rsidRPr="00F0437C" w:rsidRDefault="009E1F61" w:rsidP="00E6047E">
      <w:pPr>
        <w:sectPr w:rsidR="009E1F61" w:rsidRPr="00F0437C" w:rsidSect="009E1F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6047E" w:rsidRPr="00F0437C" w:rsidRDefault="00E6047E" w:rsidP="00E6047E"/>
    <w:p w:rsidR="00E6047E" w:rsidRPr="00F0437C" w:rsidRDefault="00E6047E" w:rsidP="00E6047E">
      <w:pPr>
        <w:pStyle w:val="PageHeadingNotTOC"/>
      </w:pPr>
      <w:bookmarkStart w:id="2" w:name="ProcPageAD"/>
      <w:r>
        <w:t>INFORMACE O PŘIJETÍ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6047E" w:rsidRPr="00F0437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6047E" w:rsidRPr="00F0437C" w:rsidRDefault="00E6047E">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6047E" w:rsidRPr="00F0437C" w:rsidRDefault="00E6047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6047E" w:rsidRPr="00F0437C" w:rsidRDefault="00E6047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rFonts w:ascii="sans-serif" w:hAnsi="sans-serif" w:cs="sans-serif"/>
                <w:color w:val="000000"/>
                <w:szCs w:val="24"/>
              </w:rPr>
            </w:pPr>
          </w:p>
        </w:tc>
      </w:tr>
      <w:tr w:rsidR="00E6047E" w:rsidRPr="00F0437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6047E" w:rsidRPr="00F0437C" w:rsidRDefault="00E6047E">
            <w:pPr>
              <w:autoSpaceDE w:val="0"/>
              <w:autoSpaceDN w:val="0"/>
              <w:adjustRightInd w:val="0"/>
              <w:rPr>
                <w:color w:val="000000"/>
                <w:sz w:val="20"/>
              </w:rPr>
            </w:pPr>
            <w:r>
              <w:rPr>
                <w:color w:val="000000"/>
                <w:sz w:val="20"/>
              </w:rPr>
              <w:t>+:</w:t>
            </w:r>
          </w:p>
          <w:p w:rsidR="00E6047E" w:rsidRPr="00F0437C" w:rsidRDefault="00E6047E">
            <w:pPr>
              <w:autoSpaceDE w:val="0"/>
              <w:autoSpaceDN w:val="0"/>
              <w:adjustRightInd w:val="0"/>
              <w:rPr>
                <w:color w:val="000000"/>
                <w:sz w:val="20"/>
              </w:rPr>
            </w:pPr>
            <w:r>
              <w:rPr>
                <w:color w:val="000000"/>
                <w:sz w:val="20"/>
              </w:rPr>
              <w:t>–:</w:t>
            </w:r>
          </w:p>
          <w:p w:rsidR="00E6047E" w:rsidRPr="00F0437C" w:rsidRDefault="00E6047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color w:val="000000"/>
                <w:sz w:val="20"/>
              </w:rPr>
            </w:pPr>
            <w:r>
              <w:rPr>
                <w:color w:val="000000"/>
                <w:sz w:val="20"/>
              </w:rPr>
              <w:t>52</w:t>
            </w:r>
          </w:p>
          <w:p w:rsidR="00E6047E" w:rsidRPr="00F0437C" w:rsidRDefault="00E6047E">
            <w:pPr>
              <w:autoSpaceDE w:val="0"/>
              <w:autoSpaceDN w:val="0"/>
              <w:adjustRightInd w:val="0"/>
              <w:rPr>
                <w:color w:val="000000"/>
                <w:sz w:val="20"/>
              </w:rPr>
            </w:pPr>
            <w:r>
              <w:rPr>
                <w:color w:val="000000"/>
                <w:sz w:val="20"/>
              </w:rPr>
              <w:t>1</w:t>
            </w:r>
          </w:p>
          <w:p w:rsidR="00E6047E" w:rsidRPr="00F0437C" w:rsidRDefault="00E6047E">
            <w:pPr>
              <w:autoSpaceDE w:val="0"/>
              <w:autoSpaceDN w:val="0"/>
              <w:adjustRightInd w:val="0"/>
              <w:rPr>
                <w:color w:val="000000"/>
                <w:sz w:val="20"/>
              </w:rPr>
            </w:pPr>
            <w:r>
              <w:rPr>
                <w:color w:val="000000"/>
                <w:sz w:val="20"/>
              </w:rPr>
              <w:t>3</w:t>
            </w:r>
          </w:p>
        </w:tc>
      </w:tr>
      <w:tr w:rsidR="00E6047E" w:rsidRPr="00F0437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E6047E" w:rsidRPr="00F0437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E6047E" w:rsidRPr="00F0437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b/>
                <w:bCs/>
                <w:color w:val="000000"/>
                <w:sz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6047E" w:rsidRPr="00F0437C" w:rsidRDefault="00E6047E">
            <w:pPr>
              <w:autoSpaceDE w:val="0"/>
              <w:autoSpaceDN w:val="0"/>
              <w:adjustRightInd w:val="0"/>
              <w:rPr>
                <w:color w:val="000000"/>
                <w:sz w:val="20"/>
              </w:rPr>
            </w:pPr>
            <w:r>
              <w:rPr>
                <w:color w:val="000000"/>
                <w:sz w:val="20"/>
              </w:rPr>
              <w:t>Andrus Ansip, Hildegard Bentele, Maria da Graça Carvalho, Marisa Matias, Caroline Nagtegaal</w:t>
            </w:r>
          </w:p>
        </w:tc>
      </w:tr>
    </w:tbl>
    <w:p w:rsidR="00E6047E" w:rsidRPr="00F0437C" w:rsidRDefault="00E6047E" w:rsidP="009E1F61"/>
    <w:bookmarkEnd w:id="2"/>
    <w:p w:rsidR="009E1F61" w:rsidRPr="00F0437C" w:rsidRDefault="009E1F61" w:rsidP="009E1F61">
      <w:pPr>
        <w:sectPr w:rsidR="009E1F61" w:rsidRPr="00F0437C" w:rsidSect="009E1F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E1F61" w:rsidRPr="00F0437C" w:rsidRDefault="009E1F61" w:rsidP="00C36610">
      <w:pPr>
        <w:pStyle w:val="PageHeadingNotTOC"/>
      </w:pPr>
      <w:bookmarkStart w:id="3" w:name="RollCallPageAD"/>
      <w:r>
        <w:t xml:space="preserve">JMENOVITÉ KONEČNÉ HLASOVÁNÍ </w:t>
      </w:r>
      <w:r w:rsidR="00D23BF3">
        <w:br/>
      </w:r>
      <w:bookmarkStart w:id="4" w:name="_GoBack"/>
      <w:bookmarkEnd w:id="4"/>
      <w:r>
        <w:t>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1F61" w:rsidRPr="00F0437C" w:rsidTr="00845DC7">
        <w:trPr>
          <w:cantSplit/>
        </w:trPr>
        <w:tc>
          <w:tcPr>
            <w:tcW w:w="1701" w:type="dxa"/>
            <w:shd w:val="pct10" w:color="000000" w:fill="FFFFFF"/>
            <w:vAlign w:val="center"/>
          </w:tcPr>
          <w:p w:rsidR="009E1F61" w:rsidRPr="00F0437C" w:rsidRDefault="009E1F61" w:rsidP="00845DC7">
            <w:pPr>
              <w:pStyle w:val="RollCallVotes"/>
            </w:pPr>
            <w:r>
              <w:t>52</w:t>
            </w:r>
          </w:p>
        </w:tc>
        <w:tc>
          <w:tcPr>
            <w:tcW w:w="7371" w:type="dxa"/>
            <w:shd w:val="pct10" w:color="000000" w:fill="FFFFFF"/>
          </w:tcPr>
          <w:p w:rsidR="009E1F61" w:rsidRPr="00F0437C" w:rsidRDefault="009E1F61" w:rsidP="00845DC7">
            <w:pPr>
              <w:pStyle w:val="RollCallSymbols14pt"/>
            </w:pPr>
            <w:r>
              <w:t>+</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ECR</w:t>
            </w:r>
          </w:p>
        </w:tc>
        <w:tc>
          <w:tcPr>
            <w:tcW w:w="7371" w:type="dxa"/>
            <w:shd w:val="clear" w:color="auto" w:fill="FFFFFF"/>
          </w:tcPr>
          <w:p w:rsidR="009E1F61" w:rsidRPr="00F0437C" w:rsidRDefault="009E1F61" w:rsidP="00845DC7">
            <w:pPr>
              <w:pStyle w:val="RollCallTable"/>
            </w:pPr>
            <w:r>
              <w:t>Jorge Buxadé Villalba, Patryk Jaki, Assita Kanko, Beata Kempa, Vincenzo Sofo</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NI</w:t>
            </w:r>
          </w:p>
        </w:tc>
        <w:tc>
          <w:tcPr>
            <w:tcW w:w="7371" w:type="dxa"/>
            <w:shd w:val="clear" w:color="auto" w:fill="FFFFFF"/>
          </w:tcPr>
          <w:p w:rsidR="009E1F61" w:rsidRPr="00F0437C" w:rsidRDefault="009E1F61" w:rsidP="00845DC7">
            <w:pPr>
              <w:pStyle w:val="RollCallTable"/>
            </w:pPr>
            <w:r>
              <w:t>Laura Ferrara</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PPE</w:t>
            </w:r>
          </w:p>
        </w:tc>
        <w:tc>
          <w:tcPr>
            <w:tcW w:w="7371" w:type="dxa"/>
            <w:shd w:val="clear" w:color="auto" w:fill="FFFFFF"/>
          </w:tcPr>
          <w:p w:rsidR="009E1F61" w:rsidRPr="00F0437C" w:rsidRDefault="009E1F61" w:rsidP="00845DC7">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Renew</w:t>
            </w:r>
          </w:p>
        </w:tc>
        <w:tc>
          <w:tcPr>
            <w:tcW w:w="7371" w:type="dxa"/>
            <w:shd w:val="clear" w:color="auto" w:fill="FFFFFF"/>
          </w:tcPr>
          <w:p w:rsidR="009E1F61" w:rsidRPr="00F0437C" w:rsidRDefault="009E1F61" w:rsidP="00845DC7">
            <w:pPr>
              <w:pStyle w:val="RollCallTable"/>
            </w:pPr>
            <w:r>
              <w:t>Abir Al-Sahlani, Andrus Ansip, Lucia Ďuriš Nicholsonová, Sophia in 't Veld, Moritz Körner, Caroline Nagtegaal, Maite Pagazaurtundúa, Bergur Løkke Rasmussen, Róża Thun und Hohenstein, Jana Toom</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S&amp;D</w:t>
            </w:r>
          </w:p>
        </w:tc>
        <w:tc>
          <w:tcPr>
            <w:tcW w:w="7371" w:type="dxa"/>
            <w:shd w:val="clear" w:color="auto" w:fill="FFFFFF"/>
          </w:tcPr>
          <w:p w:rsidR="009E1F61" w:rsidRPr="00F0437C" w:rsidRDefault="009E1F61" w:rsidP="00845DC7">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The Left</w:t>
            </w:r>
          </w:p>
        </w:tc>
        <w:tc>
          <w:tcPr>
            <w:tcW w:w="7371" w:type="dxa"/>
            <w:shd w:val="clear" w:color="auto" w:fill="FFFFFF"/>
          </w:tcPr>
          <w:p w:rsidR="009E1F61" w:rsidRPr="00F0437C" w:rsidRDefault="009E1F61" w:rsidP="00845DC7">
            <w:pPr>
              <w:pStyle w:val="RollCallTable"/>
            </w:pPr>
            <w:r>
              <w:t>Cornelia Ernst, José Gusmão, Marisa Matias, Anne-Sophie Pelletier</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Verts/ALE</w:t>
            </w:r>
          </w:p>
        </w:tc>
        <w:tc>
          <w:tcPr>
            <w:tcW w:w="7371" w:type="dxa"/>
            <w:shd w:val="clear" w:color="auto" w:fill="FFFFFF"/>
          </w:tcPr>
          <w:p w:rsidR="009E1F61" w:rsidRPr="00F0437C" w:rsidRDefault="009E1F61" w:rsidP="00845DC7">
            <w:pPr>
              <w:pStyle w:val="RollCallTable"/>
            </w:pPr>
            <w:r>
              <w:t>Patrick Breyer, Saskia Bricmont, Damien Carême, Alice Kuhnke, Erik Marquardt, Diana Riba i Giner, Tineke Strik</w:t>
            </w:r>
          </w:p>
        </w:tc>
      </w:tr>
    </w:tbl>
    <w:p w:rsidR="009E1F61" w:rsidRPr="00F0437C" w:rsidRDefault="009E1F61" w:rsidP="009E1F6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1F61" w:rsidRPr="00F0437C" w:rsidTr="00845DC7">
        <w:trPr>
          <w:cantSplit/>
        </w:trPr>
        <w:tc>
          <w:tcPr>
            <w:tcW w:w="1701" w:type="dxa"/>
            <w:shd w:val="pct10" w:color="000000" w:fill="FFFFFF"/>
            <w:vAlign w:val="center"/>
          </w:tcPr>
          <w:p w:rsidR="009E1F61" w:rsidRPr="00F0437C" w:rsidRDefault="009E1F61" w:rsidP="00845DC7">
            <w:pPr>
              <w:pStyle w:val="RollCallVotes"/>
            </w:pPr>
            <w:r>
              <w:t>1</w:t>
            </w:r>
          </w:p>
        </w:tc>
        <w:tc>
          <w:tcPr>
            <w:tcW w:w="7371" w:type="dxa"/>
            <w:shd w:val="pct10" w:color="000000" w:fill="FFFFFF"/>
          </w:tcPr>
          <w:p w:rsidR="009E1F61" w:rsidRPr="00F0437C" w:rsidRDefault="009E1F61" w:rsidP="00845DC7">
            <w:pPr>
              <w:pStyle w:val="RollCallSymbols14pt"/>
            </w:pPr>
            <w:r>
              <w:t>-</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NI</w:t>
            </w:r>
          </w:p>
        </w:tc>
        <w:tc>
          <w:tcPr>
            <w:tcW w:w="7371" w:type="dxa"/>
            <w:shd w:val="clear" w:color="auto" w:fill="FFFFFF"/>
          </w:tcPr>
          <w:p w:rsidR="009E1F61" w:rsidRPr="00F0437C" w:rsidRDefault="009E1F61" w:rsidP="00845DC7">
            <w:pPr>
              <w:pStyle w:val="RollCallTable"/>
            </w:pPr>
            <w:r>
              <w:t>Milan Uhrík</w:t>
            </w:r>
          </w:p>
        </w:tc>
      </w:tr>
    </w:tbl>
    <w:p w:rsidR="009E1F61" w:rsidRPr="00F0437C" w:rsidRDefault="009E1F61" w:rsidP="009E1F6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1F61" w:rsidRPr="00F0437C" w:rsidTr="00845DC7">
        <w:trPr>
          <w:cantSplit/>
        </w:trPr>
        <w:tc>
          <w:tcPr>
            <w:tcW w:w="1701" w:type="dxa"/>
            <w:shd w:val="pct10" w:color="000000" w:fill="FFFFFF"/>
            <w:vAlign w:val="center"/>
          </w:tcPr>
          <w:p w:rsidR="009E1F61" w:rsidRPr="00F0437C" w:rsidRDefault="009E1F61" w:rsidP="00845DC7">
            <w:pPr>
              <w:pStyle w:val="RollCallVotes"/>
            </w:pPr>
            <w:r>
              <w:t>3</w:t>
            </w:r>
          </w:p>
        </w:tc>
        <w:tc>
          <w:tcPr>
            <w:tcW w:w="7371" w:type="dxa"/>
            <w:shd w:val="pct10" w:color="000000" w:fill="FFFFFF"/>
          </w:tcPr>
          <w:p w:rsidR="009E1F61" w:rsidRPr="00F0437C" w:rsidRDefault="009E1F61" w:rsidP="00845DC7">
            <w:pPr>
              <w:pStyle w:val="RollCallSymbols14pt"/>
            </w:pPr>
            <w:r>
              <w:t>0</w:t>
            </w:r>
          </w:p>
        </w:tc>
      </w:tr>
      <w:tr w:rsidR="009E1F61" w:rsidRPr="00F0437C" w:rsidTr="00845DC7">
        <w:trPr>
          <w:cantSplit/>
        </w:trPr>
        <w:tc>
          <w:tcPr>
            <w:tcW w:w="1701" w:type="dxa"/>
            <w:shd w:val="clear" w:color="auto" w:fill="FFFFFF"/>
          </w:tcPr>
          <w:p w:rsidR="009E1F61" w:rsidRPr="00F0437C" w:rsidRDefault="009E1F61" w:rsidP="00845DC7">
            <w:pPr>
              <w:pStyle w:val="RollCallTable"/>
            </w:pPr>
            <w:r>
              <w:t>ID</w:t>
            </w:r>
          </w:p>
        </w:tc>
        <w:tc>
          <w:tcPr>
            <w:tcW w:w="7371" w:type="dxa"/>
            <w:shd w:val="clear" w:color="auto" w:fill="FFFFFF"/>
          </w:tcPr>
          <w:p w:rsidR="009E1F61" w:rsidRPr="00F0437C" w:rsidRDefault="009E1F61" w:rsidP="00845DC7">
            <w:pPr>
              <w:pStyle w:val="RollCallTable"/>
            </w:pPr>
            <w:r>
              <w:t>Patricia Chagnon, Nicolaus Fest, Tom Vandendriessche</w:t>
            </w:r>
          </w:p>
        </w:tc>
      </w:tr>
    </w:tbl>
    <w:p w:rsidR="009E1F61" w:rsidRPr="00F0437C" w:rsidRDefault="009E1F61" w:rsidP="00147FBF">
      <w:pPr>
        <w:pStyle w:val="Normal12a"/>
      </w:pPr>
    </w:p>
    <w:p w:rsidR="009E1F61" w:rsidRPr="00F0437C" w:rsidRDefault="009E1F61" w:rsidP="00B735E3">
      <w:r>
        <w:t>Význam zkratek:</w:t>
      </w:r>
    </w:p>
    <w:p w:rsidR="009E1F61" w:rsidRPr="00F0437C" w:rsidRDefault="009E1F61" w:rsidP="003858C5">
      <w:pPr>
        <w:pStyle w:val="RollCallTabs"/>
      </w:pPr>
      <w:r>
        <w:t>+</w:t>
      </w:r>
      <w:r>
        <w:tab/>
        <w:t>:</w:t>
      </w:r>
      <w:r>
        <w:tab/>
        <w:t>pro</w:t>
      </w:r>
    </w:p>
    <w:p w:rsidR="009E1F61" w:rsidRPr="00F0437C" w:rsidRDefault="009E1F61" w:rsidP="003858C5">
      <w:pPr>
        <w:pStyle w:val="RollCallTabs"/>
      </w:pPr>
      <w:r>
        <w:t>-</w:t>
      </w:r>
      <w:r>
        <w:tab/>
        <w:t>:</w:t>
      </w:r>
      <w:r>
        <w:tab/>
        <w:t>proti</w:t>
      </w:r>
    </w:p>
    <w:p w:rsidR="009E1F61" w:rsidRPr="00F0437C" w:rsidRDefault="009E1F61" w:rsidP="003858C5">
      <w:pPr>
        <w:pStyle w:val="RollCallTabs"/>
      </w:pPr>
      <w:r>
        <w:t>0</w:t>
      </w:r>
      <w:r>
        <w:tab/>
        <w:t>:</w:t>
      </w:r>
      <w:r>
        <w:tab/>
        <w:t>zdrželi se</w:t>
      </w:r>
    </w:p>
    <w:p w:rsidR="009E1F61" w:rsidRPr="00F0437C" w:rsidRDefault="009E1F61" w:rsidP="00207509"/>
    <w:bookmarkEnd w:id="3"/>
    <w:p w:rsidR="002E6F98" w:rsidRPr="00F0437C" w:rsidRDefault="002E6F98" w:rsidP="009E1F61"/>
    <w:sectPr w:rsidR="002E6F98" w:rsidRPr="00F0437C" w:rsidSect="009E1F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C16" w:rsidRPr="00F0437C" w:rsidRDefault="007E0C16">
      <w:r w:rsidRPr="00F0437C">
        <w:separator/>
      </w:r>
    </w:p>
  </w:endnote>
  <w:endnote w:type="continuationSeparator" w:id="0">
    <w:p w:rsidR="007E0C16" w:rsidRPr="00F0437C" w:rsidRDefault="007E0C16">
      <w:r w:rsidRPr="00F0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37C" w:rsidRPr="00F0437C" w:rsidRDefault="00F0437C" w:rsidP="00F0437C">
    <w:pPr>
      <w:pStyle w:val="EPFooter"/>
    </w:pPr>
    <w:r w:rsidRPr="00F0437C">
      <w:t>PE</w:t>
    </w:r>
    <w:r w:rsidRPr="00F0437C">
      <w:rPr>
        <w:rStyle w:val="HideTWBExt"/>
      </w:rPr>
      <w:t>&lt;NoPE&gt;</w:t>
    </w:r>
    <w:r w:rsidRPr="00F0437C">
      <w:t>756.194</w:t>
    </w:r>
    <w:r w:rsidRPr="00F0437C">
      <w:rPr>
        <w:rStyle w:val="HideTWBExt"/>
      </w:rPr>
      <w:t>&lt;/NoPE&gt;&lt;Version&gt;</w:t>
    </w:r>
    <w:r w:rsidRPr="00F0437C">
      <w:t>v03-00</w:t>
    </w:r>
    <w:r w:rsidRPr="00F0437C">
      <w:rPr>
        <w:rStyle w:val="HideTWBExt"/>
      </w:rPr>
      <w:t>&lt;/Version&gt;</w:t>
    </w:r>
    <w:r w:rsidRPr="00F0437C">
      <w:tab/>
    </w:r>
    <w:r w:rsidRPr="00F0437C">
      <w:fldChar w:fldCharType="begin"/>
    </w:r>
    <w:r w:rsidRPr="00F0437C">
      <w:instrText xml:space="preserve"> PAGE  \* MERGEFORMAT </w:instrText>
    </w:r>
    <w:r w:rsidRPr="00F0437C">
      <w:fldChar w:fldCharType="separate"/>
    </w:r>
    <w:r w:rsidR="00D23BF3">
      <w:rPr>
        <w:noProof/>
      </w:rPr>
      <w:t>6</w:t>
    </w:r>
    <w:r w:rsidRPr="00F0437C">
      <w:fldChar w:fldCharType="end"/>
    </w:r>
    <w:r w:rsidRPr="00F0437C">
      <w:t>/</w:t>
    </w:r>
    <w:r w:rsidR="00D23BF3">
      <w:fldChar w:fldCharType="begin"/>
    </w:r>
    <w:r w:rsidR="00D23BF3">
      <w:instrText xml:space="preserve"> NUMPAGES  \* MERGEFORMAT </w:instrText>
    </w:r>
    <w:r w:rsidR="00D23BF3">
      <w:fldChar w:fldCharType="separate"/>
    </w:r>
    <w:r w:rsidR="00D23BF3">
      <w:rPr>
        <w:noProof/>
      </w:rPr>
      <w:t>7</w:t>
    </w:r>
    <w:r w:rsidR="00D23BF3">
      <w:rPr>
        <w:noProof/>
      </w:rPr>
      <w:fldChar w:fldCharType="end"/>
    </w:r>
    <w:r w:rsidRPr="00F0437C">
      <w:tab/>
    </w:r>
    <w:r w:rsidRPr="00F0437C">
      <w:rPr>
        <w:rStyle w:val="HideTWBExt"/>
      </w:rPr>
      <w:t>&lt;PathFdR&gt;</w:t>
    </w:r>
    <w:r w:rsidRPr="00F0437C">
      <w:t>AD\1295226CS.docx</w:t>
    </w:r>
    <w:r w:rsidRPr="00F0437C">
      <w:rPr>
        <w:rStyle w:val="HideTWBExt"/>
      </w:rPr>
      <w:t>&lt;/PathFdR&gt;</w:t>
    </w:r>
  </w:p>
  <w:p w:rsidR="002E2F2E" w:rsidRPr="00F0437C" w:rsidRDefault="00F0437C" w:rsidP="00F0437C">
    <w:pPr>
      <w:pStyle w:val="EPFooter2"/>
    </w:pPr>
    <w:r w:rsidRPr="00F0437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37C" w:rsidRPr="00F0437C" w:rsidRDefault="00F0437C" w:rsidP="00F0437C">
    <w:pPr>
      <w:pStyle w:val="EPFooter"/>
    </w:pPr>
    <w:r w:rsidRPr="00F0437C">
      <w:rPr>
        <w:rStyle w:val="HideTWBExt"/>
      </w:rPr>
      <w:t>&lt;PathFdR&gt;</w:t>
    </w:r>
    <w:r w:rsidRPr="00F0437C">
      <w:t>AD\1295226CS.docx</w:t>
    </w:r>
    <w:r w:rsidRPr="00F0437C">
      <w:rPr>
        <w:rStyle w:val="HideTWBExt"/>
      </w:rPr>
      <w:t>&lt;/PathFdR&gt;</w:t>
    </w:r>
    <w:r w:rsidRPr="00F0437C">
      <w:tab/>
    </w:r>
    <w:r w:rsidRPr="00F0437C">
      <w:fldChar w:fldCharType="begin"/>
    </w:r>
    <w:r w:rsidRPr="00F0437C">
      <w:instrText xml:space="preserve"> PAGE  \* MERGEFORMAT </w:instrText>
    </w:r>
    <w:r w:rsidRPr="00F0437C">
      <w:fldChar w:fldCharType="separate"/>
    </w:r>
    <w:r w:rsidR="00D23BF3">
      <w:rPr>
        <w:noProof/>
      </w:rPr>
      <w:t>7</w:t>
    </w:r>
    <w:r w:rsidRPr="00F0437C">
      <w:fldChar w:fldCharType="end"/>
    </w:r>
    <w:r w:rsidRPr="00F0437C">
      <w:t>/</w:t>
    </w:r>
    <w:r w:rsidR="00D23BF3">
      <w:fldChar w:fldCharType="begin"/>
    </w:r>
    <w:r w:rsidR="00D23BF3">
      <w:instrText xml:space="preserve"> NUMPAGES  \* MERGEFORMAT </w:instrText>
    </w:r>
    <w:r w:rsidR="00D23BF3">
      <w:fldChar w:fldCharType="separate"/>
    </w:r>
    <w:r w:rsidR="00D23BF3">
      <w:rPr>
        <w:noProof/>
      </w:rPr>
      <w:t>7</w:t>
    </w:r>
    <w:r w:rsidR="00D23BF3">
      <w:rPr>
        <w:noProof/>
      </w:rPr>
      <w:fldChar w:fldCharType="end"/>
    </w:r>
    <w:r w:rsidRPr="00F0437C">
      <w:tab/>
      <w:t>PE</w:t>
    </w:r>
    <w:r w:rsidRPr="00F0437C">
      <w:rPr>
        <w:rStyle w:val="HideTWBExt"/>
      </w:rPr>
      <w:t>&lt;NoPE&gt;</w:t>
    </w:r>
    <w:r w:rsidRPr="00F0437C">
      <w:t>756.194</w:t>
    </w:r>
    <w:r w:rsidRPr="00F0437C">
      <w:rPr>
        <w:rStyle w:val="HideTWBExt"/>
      </w:rPr>
      <w:t>&lt;/NoPE&gt;&lt;Version&gt;</w:t>
    </w:r>
    <w:r w:rsidRPr="00F0437C">
      <w:t>v03-00</w:t>
    </w:r>
    <w:r w:rsidRPr="00F0437C">
      <w:rPr>
        <w:rStyle w:val="HideTWBExt"/>
      </w:rPr>
      <w:t>&lt;/Version&gt;</w:t>
    </w:r>
  </w:p>
  <w:p w:rsidR="002E2F2E" w:rsidRPr="00F0437C" w:rsidRDefault="00F0437C" w:rsidP="00F0437C">
    <w:pPr>
      <w:pStyle w:val="EPFooter2"/>
    </w:pPr>
    <w:r w:rsidRPr="00F0437C">
      <w:tab/>
    </w:r>
    <w:r w:rsidRPr="00F0437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37C" w:rsidRPr="00F0437C" w:rsidRDefault="00F0437C" w:rsidP="00F0437C">
    <w:pPr>
      <w:pStyle w:val="EPFooter"/>
    </w:pPr>
    <w:r w:rsidRPr="00F0437C">
      <w:rPr>
        <w:rStyle w:val="HideTWBExt"/>
      </w:rPr>
      <w:t>&lt;PathFdR&gt;</w:t>
    </w:r>
    <w:r w:rsidRPr="00F0437C">
      <w:t>AD\1295226CS.docx</w:t>
    </w:r>
    <w:r w:rsidRPr="00F0437C">
      <w:rPr>
        <w:rStyle w:val="HideTWBExt"/>
      </w:rPr>
      <w:t>&lt;/PathFdR&gt;</w:t>
    </w:r>
    <w:r w:rsidRPr="00F0437C">
      <w:tab/>
    </w:r>
    <w:r w:rsidRPr="00F0437C">
      <w:tab/>
      <w:t>PE</w:t>
    </w:r>
    <w:r w:rsidRPr="00F0437C">
      <w:rPr>
        <w:rStyle w:val="HideTWBExt"/>
      </w:rPr>
      <w:t>&lt;NoPE&gt;</w:t>
    </w:r>
    <w:r w:rsidRPr="00F0437C">
      <w:t>756.194</w:t>
    </w:r>
    <w:r w:rsidRPr="00F0437C">
      <w:rPr>
        <w:rStyle w:val="HideTWBExt"/>
      </w:rPr>
      <w:t>&lt;/NoPE&gt;&lt;Version&gt;</w:t>
    </w:r>
    <w:r w:rsidRPr="00F0437C">
      <w:t>v03-00</w:t>
    </w:r>
    <w:r w:rsidRPr="00F0437C">
      <w:rPr>
        <w:rStyle w:val="HideTWBExt"/>
      </w:rPr>
      <w:t>&lt;/Version&gt;</w:t>
    </w:r>
  </w:p>
  <w:p w:rsidR="002E2F2E" w:rsidRPr="00F0437C" w:rsidRDefault="00F0437C" w:rsidP="00F0437C">
    <w:pPr>
      <w:pStyle w:val="EPFooter2"/>
    </w:pPr>
    <w:r w:rsidRPr="00F0437C">
      <w:t>CS</w:t>
    </w:r>
    <w:r w:rsidRPr="00F0437C">
      <w:tab/>
    </w:r>
    <w:r w:rsidRPr="00F0437C">
      <w:rPr>
        <w:b w:val="0"/>
        <w:i/>
        <w:color w:val="C0C0C0"/>
        <w:sz w:val="22"/>
      </w:rPr>
      <w:t>Jednotná v rozmanitosti</w:t>
    </w:r>
    <w:r w:rsidRPr="00F0437C">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C16" w:rsidRPr="00F0437C" w:rsidRDefault="007E0C16">
      <w:r w:rsidRPr="00F0437C">
        <w:separator/>
      </w:r>
    </w:p>
  </w:footnote>
  <w:footnote w:type="continuationSeparator" w:id="0">
    <w:p w:rsidR="007E0C16" w:rsidRPr="00F0437C" w:rsidRDefault="007E0C16">
      <w:r w:rsidRPr="00F043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40A" w:rsidRDefault="00FB74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40A" w:rsidRDefault="00FB74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40A" w:rsidRDefault="00FB74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948644 HideTWBInt;}{_x000d__x000a_\s18\ql \fi-567\li567\ri0\sa240\nowidctlpar\wrapdefault\aspalpha\aspnum\faauto\adjustright\rin0\lin567\itap0 \rtlch\fcs1 \af0\afs20\alang1025 \ltrch\fcs0 \fs24\lang1029\langfe2057\cgrid\langnp1029\langfenp2057 _x000d__x000a_\sbasedon0 \snext18 \spriority0 \styrsid10948644 NormalHanging12a;}}{\*\rsidtbl \rsid24658\rsid223860\rsid735077\rsid1718133\rsid2050965\rsid2892074\rsid3565327\rsid4666813\rsid6641733\rsid7823322\rsid9636012\rsid10377208\rsid10948644\rsid11215221_x000d__x000a_\rsid11549030\rsid12154954\rsid14382809\rsid14424199\rsid15204470\rsid15285974\rsid15950462\rsid16324206\rsid16662270}{\mmathPr\mmathFont34\mbrkBin0\mbrkBinSub0\msmallFrac0\mdispDef1\mlMargin0\mrMargin0\mdefJc1\mwrapIndent1440\mintLim0\mnaryLim1}{\info_x000d__x000a_{\author OSLADILOVA Jana}{\operator OSLADILOVA Jana}{\creatim\yr2024\mo1\dy31\hr9\min9}{\revtim\yr2024\mo1\dy31\hr9\min9}{\version1}{\edmins0}{\nofpages1}{\nofwords1}{\nofchars11}{\nofcharsws11}{\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8644\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2050965 \chftnsep _x000d__x000a_\par }}{\*\ftnsepc \ltrpar \pard\plain \ltrpar\ql \li0\ri0\widctlpar\wrapdefault\aspalpha\aspnum\faauto\adjustright\rin0\lin0\itap0 \rtlch\fcs1 \af0\afs20\alang1025 \ltrch\fcs0 \fs24\lang2057\langfe2057\cgrid\langnp2057\langfenp2057 {\rtlch\fcs1 \af0 _x000d__x000a_\ltrch\fcs0 \insrsid2050965 \chftnsepc _x000d__x000a_\par }}{\*\aftnsep \ltrpar \pard\plain \ltrpar\ql \li0\ri0\widctlpar\wrapdefault\aspalpha\aspnum\faauto\adjustright\rin0\lin0\itap0 \rtlch\fcs1 \af0\afs20\alang1025 \ltrch\fcs0 \fs24\lang2057\langfe2057\cgrid\langnp2057\langfenp2057 {\rtlch\fcs1 \af0 _x000d__x000a_\ltrch\fcs0 \insrsid2050965 \chftnsep _x000d__x000a_\par }}{\*\aftnsepc \ltrpar \pard\plain \ltrpar\ql \li0\ri0\widctlpar\wrapdefault\aspalpha\aspnum\faauto\adjustright\rin0\lin0\itap0 \rtlch\fcs1 \af0\afs20\alang1025 \ltrch\fcs0 \fs24\lang2057\langfe2057\cgrid\langnp2057\langfenp2057 {\rtlch\fcs1 \af0 _x000d__x000a_\ltrch\fcs0 \insrsid20509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0948644 \rtlch\fcs1 \af0\afs20\alang1025 \ltrch\fcs0 \fs24\lang1029\langfe2057\cgrid\langnp1029\langfenp2057 {\rtlch\fcs1 \af0 _x000d__x000a_\ltrch\fcs0 \insrsid10948644\charrsid8260630 {\*\bkmkstart restart}#}{\rtlch\fcs1 \af1 \ltrch\fcs0 \cs17\v\f1\fs20\cf15\insrsid10948644\charrsid8260630 NRMSG}{\rtlch\fcs1 \af0 \ltrch\fcs0 \insrsid10948644\charrsid8260630 #\tab ##}{\rtlch\fcs1 \af0 _x000d__x000a_\ltrch\fcs0 \insrsid1094864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e0_x000d__x000a_f0d21c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959487 NormalHanging12a;}}{\*\rsidtbl \rsid24658\rsid223860\rsid735077\rsid1718133\rsid2892074\rsid3565327\rsid4666813\rsid6641733\rsid6959487\rsid7823322_x000d__x000a_\rsid9636012\rsid10377208\rsid11215221\rsid11549030\rsid11612639\rsid12154954\rsid14382809\rsid14424199\rsid15204470\rsid15285974\rsid15950462\rsid16324206\rsid16662270}{\mmathPr\mmathFont34\mbrkBin0\mbrkBinSub0\msmallFrac0\mdispDef1\mlMargin0\mrMargin0_x000d__x000a_\mdefJc1\mwrapIndent1440\mintLim0\mnaryLim1}{\info{\author OSLADILOVA Jana}{\operator OSLADILOVA Jana}{\creatim\yr2024\mo1\dy31\hr9\min9}{\revtim\yr2024\mo1\dy31\hr9\min9}{\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9487\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11612639 \chftnsep _x000d__x000a_\par }}{\*\ftnsepc \ltrpar \pard\plain \ltrpar\ql \li0\ri0\widctlpar\wrapdefault\aspalpha\aspnum\faauto\adjustright\rin0\lin0\itap0 \rtlch\fcs1 \af0\afs20\alang1025 \ltrch\fcs0 \fs24\lang2057\langfe2057\cgrid\langnp2057\langfenp2057 {\rtlch\fcs1 \af0 _x000d__x000a_\ltrch\fcs0 \insrsid11612639 \chftnsepc _x000d__x000a_\par }}{\*\aftnsep \ltrpar \pard\plain \ltrpar\ql \li0\ri0\widctlpar\wrapdefault\aspalpha\aspnum\faauto\adjustright\rin0\lin0\itap0 \rtlch\fcs1 \af0\afs20\alang1025 \ltrch\fcs0 \fs24\lang2057\langfe2057\cgrid\langnp2057\langfenp2057 {\rtlch\fcs1 \af0 _x000d__x000a_\ltrch\fcs0 \insrsid11612639 \chftnsep _x000d__x000a_\par }}{\*\aftnsepc \ltrpar \pard\plain \ltrpar\ql \li0\ri0\widctlpar\wrapdefault\aspalpha\aspnum\faauto\adjustright\rin0\lin0\itap0 \rtlch\fcs1 \af0\afs20\alang1025 \ltrch\fcs0 \fs24\lang2057\langfe2057\cgrid\langnp2057\langfenp2057 {\rtlch\fcs1 \af0 _x000d__x000a_\ltrch\fcs0 \insrsid116126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959487 \rtlch\fcs1 \af0\afs20\alang1025 \ltrch\fcs0 \fs24\lang2057\langfe2057\cgrid\langnp2057\langfenp2057 {\rtlch\fcs1 \af0 _x000d__x000a_\ltrch\fcs0 \insrsid6959487\charrsid1525456 {\*\bkmkstart restart}[ZSUGGESTIONNR]\tab [ZSUGGESTIONTEXT]}{\rtlch\fcs1 \af0 \ltrch\fcs0 \insrsid695948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d9_x000d__x000a_6ed51c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CS"/>
    <w:docVar w:name="TXTLANGUEMIN" w:val="cs"/>
    <w:docVar w:name="TXTNRPE" w:val="756.194"/>
    <w:docVar w:name="TXTNRPROC" w:val="2023/2157"/>
    <w:docVar w:name="TXTPEorAP" w:val="PE"/>
    <w:docVar w:name="TXTROUTE" w:val="AD\1295226CS.docx"/>
    <w:docVar w:name="TXTVERSION" w:val="03-00"/>
  </w:docVars>
  <w:rsids>
    <w:rsidRoot w:val="007E0C16"/>
    <w:rsid w:val="00004F51"/>
    <w:rsid w:val="00070277"/>
    <w:rsid w:val="000E7EBF"/>
    <w:rsid w:val="00124F60"/>
    <w:rsid w:val="00135121"/>
    <w:rsid w:val="00140BE6"/>
    <w:rsid w:val="00147F4E"/>
    <w:rsid w:val="0016635E"/>
    <w:rsid w:val="001746D0"/>
    <w:rsid w:val="001B7393"/>
    <w:rsid w:val="001D2ED9"/>
    <w:rsid w:val="001F21C1"/>
    <w:rsid w:val="002D28A7"/>
    <w:rsid w:val="002E2F2E"/>
    <w:rsid w:val="002E6F98"/>
    <w:rsid w:val="00325BCB"/>
    <w:rsid w:val="00331944"/>
    <w:rsid w:val="00332AD9"/>
    <w:rsid w:val="00347D2C"/>
    <w:rsid w:val="0037356F"/>
    <w:rsid w:val="00390EB2"/>
    <w:rsid w:val="00396A0E"/>
    <w:rsid w:val="003A7BDB"/>
    <w:rsid w:val="003E2402"/>
    <w:rsid w:val="004A09C5"/>
    <w:rsid w:val="004C28FB"/>
    <w:rsid w:val="004C44C0"/>
    <w:rsid w:val="00500957"/>
    <w:rsid w:val="0052544E"/>
    <w:rsid w:val="005940C3"/>
    <w:rsid w:val="00594C48"/>
    <w:rsid w:val="005B2F11"/>
    <w:rsid w:val="005C0BDF"/>
    <w:rsid w:val="005D60C6"/>
    <w:rsid w:val="006102E7"/>
    <w:rsid w:val="00640C1B"/>
    <w:rsid w:val="00657AFB"/>
    <w:rsid w:val="006D5BF7"/>
    <w:rsid w:val="007E0C16"/>
    <w:rsid w:val="008313E7"/>
    <w:rsid w:val="00854CAC"/>
    <w:rsid w:val="008A32C5"/>
    <w:rsid w:val="008C6203"/>
    <w:rsid w:val="008D61E7"/>
    <w:rsid w:val="008F7002"/>
    <w:rsid w:val="0097172F"/>
    <w:rsid w:val="0099493F"/>
    <w:rsid w:val="009E1F61"/>
    <w:rsid w:val="00A16BEA"/>
    <w:rsid w:val="00A312B3"/>
    <w:rsid w:val="00A72C35"/>
    <w:rsid w:val="00AC1244"/>
    <w:rsid w:val="00AE180F"/>
    <w:rsid w:val="00B362F7"/>
    <w:rsid w:val="00B5456B"/>
    <w:rsid w:val="00B74B53"/>
    <w:rsid w:val="00BC26E4"/>
    <w:rsid w:val="00BD1EAA"/>
    <w:rsid w:val="00C52739"/>
    <w:rsid w:val="00C827FF"/>
    <w:rsid w:val="00CD34AC"/>
    <w:rsid w:val="00D23BF3"/>
    <w:rsid w:val="00DE19FF"/>
    <w:rsid w:val="00E6047E"/>
    <w:rsid w:val="00E81BA6"/>
    <w:rsid w:val="00E856D2"/>
    <w:rsid w:val="00E929A7"/>
    <w:rsid w:val="00F0437C"/>
    <w:rsid w:val="00FB740A"/>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066D25F"/>
  <w15:chartTrackingRefBased/>
  <w15:docId w15:val="{8BE162EA-F867-491C-A430-DD6E2246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4A09C5"/>
    <w:rPr>
      <w:vertAlign w:val="superscript"/>
    </w:rPr>
  </w:style>
  <w:style w:type="paragraph" w:styleId="Footer">
    <w:name w:val="footer"/>
    <w:basedOn w:val="Normal"/>
    <w:link w:val="FooterChar"/>
    <w:semiHidden/>
    <w:rsid w:val="00070277"/>
    <w:pPr>
      <w:tabs>
        <w:tab w:val="center" w:pos="4513"/>
        <w:tab w:val="right" w:pos="9026"/>
      </w:tabs>
    </w:pPr>
  </w:style>
  <w:style w:type="character" w:customStyle="1" w:styleId="FooterChar">
    <w:name w:val="Footer Char"/>
    <w:basedOn w:val="DefaultParagraphFont"/>
    <w:link w:val="Footer"/>
    <w:semiHidden/>
    <w:rsid w:val="00070277"/>
    <w:rPr>
      <w:sz w:val="24"/>
      <w:lang w:val="cs-CZ"/>
    </w:rPr>
  </w:style>
  <w:style w:type="paragraph" w:customStyle="1" w:styleId="Normal24a">
    <w:name w:val="Normal24a"/>
    <w:basedOn w:val="Normal"/>
    <w:rsid w:val="009E1F61"/>
    <w:pPr>
      <w:spacing w:after="480"/>
    </w:pPr>
  </w:style>
  <w:style w:type="paragraph" w:customStyle="1" w:styleId="NormalBoldCenter">
    <w:name w:val="NormalBoldCenter"/>
    <w:basedOn w:val="Normal"/>
    <w:rsid w:val="009E1F61"/>
    <w:pPr>
      <w:jc w:val="center"/>
    </w:pPr>
    <w:rPr>
      <w:b/>
    </w:rPr>
  </w:style>
  <w:style w:type="paragraph" w:customStyle="1" w:styleId="RollCallSymbols14pt">
    <w:name w:val="RollCallSymbols14pt"/>
    <w:basedOn w:val="Normal"/>
    <w:rsid w:val="009E1F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E1F61"/>
    <w:pPr>
      <w:tabs>
        <w:tab w:val="center" w:pos="284"/>
        <w:tab w:val="left" w:pos="426"/>
      </w:tabs>
    </w:pPr>
    <w:rPr>
      <w:snapToGrid w:val="0"/>
      <w:lang w:eastAsia="en-US"/>
    </w:rPr>
  </w:style>
  <w:style w:type="paragraph" w:customStyle="1" w:styleId="RollCallVotes">
    <w:name w:val="RollCallVotes"/>
    <w:basedOn w:val="Normal"/>
    <w:rsid w:val="009E1F61"/>
    <w:pPr>
      <w:spacing w:before="120" w:after="120"/>
      <w:jc w:val="center"/>
    </w:pPr>
    <w:rPr>
      <w:b/>
      <w:bCs/>
      <w:snapToGrid w:val="0"/>
      <w:sz w:val="16"/>
      <w:lang w:eastAsia="en-US"/>
    </w:rPr>
  </w:style>
  <w:style w:type="paragraph" w:customStyle="1" w:styleId="RollCallTable">
    <w:name w:val="RollCallTable"/>
    <w:basedOn w:val="Normal"/>
    <w:rsid w:val="009E1F6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1128</Words>
  <Characters>6750</Characters>
  <Application>Microsoft Office Word</Application>
  <DocSecurity>0</DocSecurity>
  <Lines>168</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2024-02-07T18:14:00Z</dcterms:created>
  <dcterms:modified xsi:type="dcterms:W3CDTF">2024-02-07T18:14:00Z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\\eiciLUXpr1\pdocep$\DocEP\TRANSFIL\CS\PA_NonLeg.CS(18/09/2023 10:08:00)</vt:lpwstr>
  </property>
  <property fmtid="{D5CDD505-2E9C-101B-9397-08002B2CF9AE}" pid="9" name="&lt;Model&gt;">
    <vt:lpwstr>PA_NonLeg</vt:lpwstr>
  </property>
  <property fmtid="{D5CDD505-2E9C-101B-9397-08002B2CF9AE}" pid="10" name="FooterPath">
    <vt:lpwstr>AD\1295226CS.docx</vt:lpwstr>
  </property>
  <property fmtid="{D5CDD505-2E9C-101B-9397-08002B2CF9AE}" pid="11" name="PE number">
    <vt:lpwstr>756.194</vt:lpwstr>
  </property>
  <property fmtid="{D5CDD505-2E9C-101B-9397-08002B2CF9AE}" pid="12" name="Bookout">
    <vt:lpwstr>OK - 2024/02/07 19:14</vt:lpwstr>
  </property>
  <property fmtid="{D5CDD505-2E9C-101B-9397-08002B2CF9AE}" pid="13" name="SDLStudio">
    <vt:lpwstr/>
  </property>
</Properties>
</file>