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F36D6" w:rsidRPr="00C2034C" w:rsidTr="00C85D0F">
        <w:trPr>
          <w:trHeight w:hRule="exact" w:val="1418"/>
        </w:trPr>
        <w:tc>
          <w:tcPr>
            <w:tcW w:w="6804" w:type="dxa"/>
            <w:shd w:val="clear" w:color="auto" w:fill="auto"/>
            <w:vAlign w:val="center"/>
          </w:tcPr>
          <w:p w:rsidR="00854CAC" w:rsidRPr="00C2034C" w:rsidRDefault="00857711" w:rsidP="00C85D0F">
            <w:pPr>
              <w:pStyle w:val="EPName"/>
            </w:pPr>
            <w:r w:rsidRPr="00C2034C">
              <w:t>Europa-Parlamentet</w:t>
            </w:r>
          </w:p>
          <w:p w:rsidR="00854CAC" w:rsidRPr="00C2034C" w:rsidRDefault="00857711" w:rsidP="008E3C1B">
            <w:pPr>
              <w:pStyle w:val="EPTerm"/>
            </w:pPr>
            <w:r w:rsidRPr="00C2034C">
              <w:t>2019-2024</w:t>
            </w:r>
          </w:p>
        </w:tc>
        <w:tc>
          <w:tcPr>
            <w:tcW w:w="2268" w:type="dxa"/>
            <w:shd w:val="clear" w:color="auto" w:fill="auto"/>
          </w:tcPr>
          <w:p w:rsidR="00854CAC" w:rsidRPr="00C2034C" w:rsidRDefault="00857711" w:rsidP="00C85D0F">
            <w:pPr>
              <w:pStyle w:val="EPLogo"/>
            </w:pPr>
            <w:r w:rsidRPr="00C2034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C2034C" w:rsidRDefault="001746D0" w:rsidP="001746D0">
      <w:pPr>
        <w:pStyle w:val="LineTop"/>
      </w:pPr>
    </w:p>
    <w:p w:rsidR="001746D0" w:rsidRPr="00C2034C" w:rsidRDefault="00857711" w:rsidP="001746D0">
      <w:pPr>
        <w:pStyle w:val="EPBody"/>
      </w:pPr>
      <w:r w:rsidRPr="00C2034C">
        <w:rPr>
          <w:rStyle w:val="HideTWBExt"/>
        </w:rPr>
        <w:t>&lt;</w:t>
      </w:r>
      <w:r w:rsidRPr="00C2034C">
        <w:rPr>
          <w:rStyle w:val="HideTWBExt"/>
          <w:i w:val="0"/>
        </w:rPr>
        <w:t>Commission</w:t>
      </w:r>
      <w:r w:rsidRPr="00C2034C">
        <w:rPr>
          <w:rStyle w:val="HideTWBExt"/>
        </w:rPr>
        <w:t>&gt;</w:t>
      </w:r>
      <w:r w:rsidRPr="00C2034C">
        <w:rPr>
          <w:rStyle w:val="HideTWBInt"/>
          <w:color w:val="auto"/>
        </w:rPr>
        <w:t>{LIBE}</w:t>
      </w:r>
      <w:r w:rsidRPr="00C2034C">
        <w:t>Udvalget om Borgernes Rettigheder og Retlige og Indre Anliggender</w:t>
      </w:r>
      <w:r w:rsidRPr="00C2034C">
        <w:rPr>
          <w:rStyle w:val="HideTWBExt"/>
        </w:rPr>
        <w:t>&lt;/</w:t>
      </w:r>
      <w:r w:rsidRPr="00C2034C">
        <w:rPr>
          <w:rStyle w:val="HideTWBExt"/>
          <w:i w:val="0"/>
        </w:rPr>
        <w:t>Commission</w:t>
      </w:r>
      <w:r w:rsidRPr="00C2034C">
        <w:rPr>
          <w:rStyle w:val="HideTWBExt"/>
        </w:rPr>
        <w:t>&gt;</w:t>
      </w:r>
    </w:p>
    <w:p w:rsidR="001746D0" w:rsidRPr="00C2034C" w:rsidRDefault="001746D0" w:rsidP="001746D0">
      <w:pPr>
        <w:pStyle w:val="LineBottom"/>
      </w:pPr>
    </w:p>
    <w:p w:rsidR="002E2F2E" w:rsidRPr="00C2034C" w:rsidRDefault="00857711">
      <w:pPr>
        <w:pStyle w:val="CoverReference"/>
      </w:pPr>
      <w:r w:rsidRPr="00C2034C">
        <w:rPr>
          <w:rStyle w:val="HideTWBExt"/>
          <w:b w:val="0"/>
        </w:rPr>
        <w:t>&lt;RefProc&gt;</w:t>
      </w:r>
      <w:r w:rsidRPr="00C2034C">
        <w:t>2023/2157</w:t>
      </w:r>
      <w:r w:rsidRPr="00C2034C">
        <w:rPr>
          <w:rStyle w:val="HideTWBExt"/>
          <w:b w:val="0"/>
        </w:rPr>
        <w:t>&lt;/RefProc&gt;&lt;RefTypeProc&gt;</w:t>
      </w:r>
      <w:r w:rsidRPr="00C2034C">
        <w:t>(DEC)</w:t>
      </w:r>
      <w:r w:rsidRPr="00C2034C">
        <w:rPr>
          <w:rStyle w:val="HideTWBExt"/>
          <w:b w:val="0"/>
        </w:rPr>
        <w:t>&lt;/RefTypeProc&gt;</w:t>
      </w:r>
    </w:p>
    <w:p w:rsidR="002E2F2E" w:rsidRPr="00C2034C" w:rsidRDefault="00857711">
      <w:pPr>
        <w:pStyle w:val="CoverDate"/>
      </w:pPr>
      <w:r w:rsidRPr="00C2034C">
        <w:rPr>
          <w:rStyle w:val="HideTWBExt"/>
        </w:rPr>
        <w:t>&lt;Date&gt;</w:t>
      </w:r>
      <w:r w:rsidRPr="00C2034C">
        <w:rPr>
          <w:rStyle w:val="HideTWBInt"/>
          <w:color w:val="auto"/>
        </w:rPr>
        <w:t>{24/01/2024}</w:t>
      </w:r>
      <w:r w:rsidRPr="00C2034C">
        <w:t>24.01.2024</w:t>
      </w:r>
      <w:r w:rsidRPr="00C2034C">
        <w:rPr>
          <w:rStyle w:val="HideTWBExt"/>
        </w:rPr>
        <w:t>&lt;/Date&gt;</w:t>
      </w:r>
    </w:p>
    <w:p w:rsidR="002E2F2E" w:rsidRPr="00C2034C" w:rsidRDefault="00857711">
      <w:pPr>
        <w:pStyle w:val="CoverDocType24a"/>
      </w:pPr>
      <w:r w:rsidRPr="00C2034C">
        <w:rPr>
          <w:rStyle w:val="HideTWBExt"/>
          <w:b w:val="0"/>
        </w:rPr>
        <w:t>&lt;TitreType&gt;</w:t>
      </w:r>
      <w:r w:rsidRPr="00C2034C">
        <w:t>UDTALELSE</w:t>
      </w:r>
      <w:r w:rsidRPr="00C2034C">
        <w:rPr>
          <w:rStyle w:val="HideTWBExt"/>
          <w:b w:val="0"/>
        </w:rPr>
        <w:t>&lt;/TitreType&gt;</w:t>
      </w:r>
    </w:p>
    <w:p w:rsidR="002E2F2E" w:rsidRPr="00C2034C" w:rsidRDefault="00857711">
      <w:pPr>
        <w:pStyle w:val="CoverNormal24a"/>
      </w:pPr>
      <w:r w:rsidRPr="00C2034C">
        <w:rPr>
          <w:rStyle w:val="HideTWBExt"/>
        </w:rPr>
        <w:t>&lt;CommissionResp&gt;</w:t>
      </w:r>
      <w:r w:rsidRPr="00C2034C">
        <w:t>fra Udvalget om Borgernes Rettigheder og Retlige og Indre Anliggender</w:t>
      </w:r>
      <w:r w:rsidRPr="00C2034C">
        <w:rPr>
          <w:rStyle w:val="HideTWBExt"/>
        </w:rPr>
        <w:t>&lt;/CommissionResp&gt;</w:t>
      </w:r>
    </w:p>
    <w:p w:rsidR="002E2F2E" w:rsidRPr="00C2034C" w:rsidRDefault="00857711">
      <w:pPr>
        <w:pStyle w:val="CoverNormal24a"/>
      </w:pPr>
      <w:r w:rsidRPr="00C2034C">
        <w:rPr>
          <w:rStyle w:val="HideTWBExt"/>
        </w:rPr>
        <w:t>&lt;CommissionInt&gt;</w:t>
      </w:r>
      <w:r w:rsidRPr="00C2034C">
        <w:t>til Budgetkontroludvalget</w:t>
      </w:r>
      <w:r w:rsidRPr="00C2034C">
        <w:rPr>
          <w:rStyle w:val="HideTWBExt"/>
        </w:rPr>
        <w:t>&lt;/CommissionInt&gt;</w:t>
      </w:r>
    </w:p>
    <w:p w:rsidR="002E2F2E" w:rsidRPr="00C2034C" w:rsidRDefault="00857711">
      <w:pPr>
        <w:pStyle w:val="CoverNormal"/>
      </w:pPr>
      <w:r w:rsidRPr="00C2034C">
        <w:rPr>
          <w:rStyle w:val="HideTWBExt"/>
        </w:rPr>
        <w:t>&lt;Titre&gt;</w:t>
      </w:r>
      <w:r w:rsidRPr="00C2034C">
        <w:t>om decharge for gennemførelsen af budgettet for Det Europæiske Overvågningsc</w:t>
      </w:r>
      <w:r w:rsidRPr="00C2034C">
        <w:t>enter for Narkotika og Narkotikamisbrug for regnskabsåret 2022</w:t>
      </w:r>
      <w:r w:rsidRPr="00C2034C">
        <w:rPr>
          <w:rStyle w:val="HideTWBExt"/>
        </w:rPr>
        <w:t>&lt;/Titre&gt;</w:t>
      </w:r>
    </w:p>
    <w:p w:rsidR="002E2F2E" w:rsidRPr="00C2034C" w:rsidRDefault="00857711">
      <w:pPr>
        <w:pStyle w:val="CoverNormal24a"/>
      </w:pPr>
      <w:r w:rsidRPr="00C2034C">
        <w:rPr>
          <w:rStyle w:val="HideTWBExt"/>
        </w:rPr>
        <w:t>&lt;DocRef&gt;</w:t>
      </w:r>
      <w:r w:rsidRPr="00C2034C">
        <w:t>(2023/2157(DEC))</w:t>
      </w:r>
      <w:r w:rsidRPr="00C2034C">
        <w:rPr>
          <w:rStyle w:val="HideTWBExt"/>
        </w:rPr>
        <w:t>&lt;/DocRef&gt;</w:t>
      </w:r>
    </w:p>
    <w:p w:rsidR="002E2F2E" w:rsidRPr="00C2034C" w:rsidRDefault="00857711">
      <w:pPr>
        <w:pStyle w:val="CoverNormal24a"/>
      </w:pPr>
      <w:r w:rsidRPr="00C2034C">
        <w:t xml:space="preserve">Ordfører for udtalelse: </w:t>
      </w:r>
      <w:r w:rsidRPr="00C2034C">
        <w:rPr>
          <w:rStyle w:val="HideTWBExt"/>
        </w:rPr>
        <w:t>&lt;Depute&gt;</w:t>
      </w:r>
      <w:r w:rsidRPr="00C2034C">
        <w:t>Tomáš Zdechovský</w:t>
      </w:r>
      <w:r w:rsidRPr="00C2034C">
        <w:rPr>
          <w:rStyle w:val="HideTWBExt"/>
        </w:rPr>
        <w:t>&lt;/Depute&gt;</w:t>
      </w:r>
    </w:p>
    <w:p w:rsidR="00A72C35" w:rsidRPr="00C2034C" w:rsidRDefault="00A72C35" w:rsidP="00A72C35">
      <w:pPr>
        <w:pStyle w:val="CoverNormal"/>
      </w:pPr>
    </w:p>
    <w:p w:rsidR="002E2F2E" w:rsidRPr="00C2034C" w:rsidRDefault="00857711" w:rsidP="00E856D2">
      <w:pPr>
        <w:widowControl/>
        <w:tabs>
          <w:tab w:val="center" w:pos="4677"/>
        </w:tabs>
      </w:pPr>
      <w:r w:rsidRPr="00C2034C">
        <w:br w:type="page"/>
      </w:r>
      <w:r w:rsidRPr="00C2034C">
        <w:lastRenderedPageBreak/>
        <w:t>PA_NonLeg</w:t>
      </w:r>
    </w:p>
    <w:p w:rsidR="002E2F2E" w:rsidRPr="00C2034C" w:rsidRDefault="00857711">
      <w:pPr>
        <w:pStyle w:val="PageHeadingNotTOC"/>
      </w:pPr>
      <w:r w:rsidRPr="00C2034C">
        <w:br w:type="page"/>
      </w:r>
      <w:r w:rsidRPr="00C2034C">
        <w:lastRenderedPageBreak/>
        <w:t>FORSLAG</w:t>
      </w:r>
    </w:p>
    <w:p w:rsidR="002E2F2E" w:rsidRPr="00C2034C" w:rsidRDefault="00857711" w:rsidP="008313E7">
      <w:pPr>
        <w:pStyle w:val="Normal12a"/>
      </w:pPr>
      <w:r w:rsidRPr="00C2034C">
        <w:t xml:space="preserve">Udvalget om Borgernes Rettigheder og Retlige og Indre Anliggender </w:t>
      </w:r>
      <w:r w:rsidRPr="00C2034C">
        <w:t>opfordrer Budgetkontroludvalget, som er korresponderende udvalg, til at optage følgende forslag i det beslutningsforslag, det vedtager:</w:t>
      </w:r>
    </w:p>
    <w:p w:rsidR="002E2F2E" w:rsidRPr="00C2034C" w:rsidRDefault="00857711" w:rsidP="008313E7">
      <w:pPr>
        <w:pStyle w:val="NormalHanging12a"/>
      </w:pPr>
      <w:bookmarkStart w:id="0" w:name="restart"/>
      <w:r w:rsidRPr="00C2034C">
        <w:t>1.</w:t>
      </w:r>
      <w:r w:rsidRPr="00C2034C">
        <w:tab/>
        <w:t>glæder sig over, at Revisionsretten har erklæret, at de transaktioner, der ligger til grund for årsregnskabet for Det</w:t>
      </w:r>
      <w:r w:rsidRPr="00C2034C">
        <w:t xml:space="preserve"> Europæiske Overvågningscenter for Narkotika og Narkotikamisbrug ("centret") for regnskabsåret 2022, i alt væsentligt er lovlige og formelt rigtige; bemærker på baggrund af Revisionsrettens årsberetning om EU-agenturerne for 2022, at dets budget i 2022 bel</w:t>
      </w:r>
      <w:r w:rsidRPr="00C2034C">
        <w:t>øb sig til 26 mio. EUR, hvilket er en stigning på 4 % i forhold til 2021 (25 mio. EUR), mens antallet af ansatte forblev uændret i overensstemmelse med den relevante budgetmyndigheds afgørelse;</w:t>
      </w:r>
    </w:p>
    <w:bookmarkEnd w:id="0"/>
    <w:p w:rsidR="008E3C1B" w:rsidRPr="00C2034C" w:rsidRDefault="00857711" w:rsidP="008E3C1B">
      <w:pPr>
        <w:pStyle w:val="NormalHanging12a"/>
        <w:rPr>
          <w:szCs w:val="24"/>
        </w:rPr>
      </w:pPr>
      <w:r w:rsidRPr="00C2034C">
        <w:t>2.</w:t>
      </w:r>
      <w:r w:rsidRPr="00C2034C">
        <w:tab/>
        <w:t xml:space="preserve">glæder sig over, at der blev truffet passende korrigerende </w:t>
      </w:r>
      <w:r w:rsidRPr="00C2034C">
        <w:t>foranstaltninger for at imødekomme Revisionsrettens bemærkning fra året før; glæder sig over den årlige flagskibspublikation, den europæiske narkotikarapport 2022, den statistiske bulletin 2022 og merværdien af EU's system for tidlig varsling om nye psykoa</w:t>
      </w:r>
      <w:r w:rsidRPr="00C2034C">
        <w:t xml:space="preserve">ktive stoffer, som centret i 2022 har stået for i 25 år; glæder sig over offentliggørelsen af 69 publikationer, herunder syv minivejledninger og tre moduler i centrets flagskibspublikation om sundhedsmæssige og sociale reaktioner på narkotikaproblemer: en </w:t>
      </w:r>
      <w:r w:rsidRPr="00C2034C">
        <w:t>europæisk guide ("Health and Social Responses to Drug Problems: A European Guide 2021"); glæder sig over afholdelsen af den fjerde europæiske konference om misbrugsadfærd og afhængighedsforhold ("European Conference on Addictive Behaviours and Dependencies</w:t>
      </w:r>
      <w:r w:rsidRPr="00C2034C">
        <w:t>"), som centret og dets partnere afholdt i fællesskab; opfordrer centret til at fortsætte sine videndelingsaktiviteter;</w:t>
      </w:r>
    </w:p>
    <w:p w:rsidR="00543436" w:rsidRPr="00C2034C" w:rsidRDefault="00857711" w:rsidP="008E3C1B">
      <w:pPr>
        <w:pStyle w:val="NormalHanging12a"/>
        <w:rPr>
          <w:szCs w:val="24"/>
        </w:rPr>
      </w:pPr>
      <w:r w:rsidRPr="00C2034C">
        <w:t>3.</w:t>
      </w:r>
      <w:r w:rsidRPr="00C2034C">
        <w:tab/>
        <w:t>glæder sig over de narkotikarelaterede uddannelsesaktiviteter med deltagelse af 609 retshåndhævelsespersoner fra EU og partnere inden</w:t>
      </w:r>
      <w:r w:rsidRPr="00C2034C">
        <w:t xml:space="preserve"> for tekniske samarbejdsprojekter, som centret har gennemført i samarbejde med Den Europæiske Unions Agentur for Uddannelse inden for Retshåndhævelse (Cepol); glæder sig over, at næsten 950 fagfolk, der arbejder på narkotikaområdet, herunder retshåndhævels</w:t>
      </w:r>
      <w:r w:rsidRPr="00C2034C">
        <w:t xml:space="preserve">espersonale og politiske beslutningstagere, blev uddannet af centret i 2022, mens ca. 1 200 fagfolk, der arbejder på narkotikaområdet, deltog i de syv webinarer, som centret arrangerede; fremhæver centrets vigtige rolle med hensyn til at forsyne politiske </w:t>
      </w:r>
      <w:r w:rsidRPr="00C2034C">
        <w:t>beslutningstagere og fagfolk med folkesundhedsbaserede analyser og oplysninger om narkotika og narkotikamisbrug;</w:t>
      </w:r>
    </w:p>
    <w:p w:rsidR="008E3C1B" w:rsidRPr="00C2034C" w:rsidRDefault="00857711" w:rsidP="008E3C1B">
      <w:pPr>
        <w:pStyle w:val="NormalHanging12a"/>
        <w:rPr>
          <w:szCs w:val="24"/>
        </w:rPr>
      </w:pPr>
      <w:r w:rsidRPr="00C2034C">
        <w:t>4.</w:t>
      </w:r>
      <w:r w:rsidRPr="00C2034C">
        <w:tab/>
        <w:t xml:space="preserve">glæder sig over centrets fortsatte bestræbelser på at fremhæve de sociale aspekter og samfundsmæssige virkninger af narkotika, fremme </w:t>
      </w:r>
      <w:r w:rsidRPr="00C2034C">
        <w:t>politikker for social reintegration af stofmisbrugere og behandle narkotikaproblematikken i et tværfagligt perspektiv; anser det for at være af afgørende betydning, at bevidstheden om vigtigheden af forebyggelse og af at have en innovativ tilgang baseret p</w:t>
      </w:r>
      <w:r w:rsidRPr="00C2034C">
        <w:t>å mental sundhed til narkotikapolitikker fortsat øges;</w:t>
      </w:r>
    </w:p>
    <w:p w:rsidR="00543436" w:rsidRPr="00C2034C" w:rsidRDefault="00857711" w:rsidP="008E3C1B">
      <w:pPr>
        <w:pStyle w:val="NormalHanging12a"/>
        <w:rPr>
          <w:szCs w:val="24"/>
        </w:rPr>
      </w:pPr>
      <w:r w:rsidRPr="00C2034C">
        <w:t>5.</w:t>
      </w:r>
      <w:r w:rsidRPr="00C2034C">
        <w:tab/>
        <w:t>minder om, at centrets arbejde er baseret på en strategisk evidensbaseret sundheds- og sikkerhedstrusselsvurderingskapacitet for på et tidligt tidspunkt at indkredse nye udviklinger med hensyn til n</w:t>
      </w:r>
      <w:r w:rsidRPr="00C2034C">
        <w:t xml:space="preserve">arkotikafænomenet, der potentielt kan indvirke negativt på sundheden, sociale spørgsmål eller sikkerheden i Unionen; minder om, at vurderingen </w:t>
      </w:r>
      <w:r w:rsidRPr="00C2034C">
        <w:lastRenderedPageBreak/>
        <w:t>af sundhedsrisici ligeledes bør afspejles i centrets arbejde;</w:t>
      </w:r>
    </w:p>
    <w:p w:rsidR="008E3C1B" w:rsidRPr="00C2034C" w:rsidRDefault="00857711" w:rsidP="008E3C1B">
      <w:pPr>
        <w:pStyle w:val="NormalHanging12a"/>
      </w:pPr>
      <w:r w:rsidRPr="00C2034C">
        <w:t>6.</w:t>
      </w:r>
      <w:r w:rsidRPr="00C2034C">
        <w:tab/>
        <w:t>glæder sig over de fremskridt, som centret i sam</w:t>
      </w:r>
      <w:r w:rsidRPr="00C2034C">
        <w:t>arbejde med Europol har gjort i forbindelse med publikationen "EU Drug Markets: In-depth analysis", som indeholder moduler om specifikke præparater, og som blev offentliggjort i 2022, og glæder sig over de planlagte offentliggørelser i 2023; glæder sig ove</w:t>
      </w:r>
      <w:r w:rsidRPr="00C2034C">
        <w:t>r arbejdet i 2022 med at forbedre kvaliteten og tilgængeligheden af centrale forsyningsdata i samarbejde med Reitox National Focus Points og Europol; glæder sig over gennemførelsen af alle centrets opgaver inden for rammerne af de operationelle handlingspl</w:t>
      </w:r>
      <w:r w:rsidRPr="00C2034C">
        <w:t>aner for cannabis, kokain og heroin under den europæiske tværfaglige platform mod kriminalitetstrusler;</w:t>
      </w:r>
      <w:r w:rsidRPr="00C2034C">
        <w:rPr>
          <w:rStyle w:val="FootnoteReference"/>
        </w:rPr>
        <w:t xml:space="preserve"> </w:t>
      </w:r>
      <w:r w:rsidRPr="00C2034C">
        <w:t xml:space="preserve">minder om, at narkotikahandel er blevet identificeret som en hovedkilde til profit og en rekrutteringskanal for organiseret kriminalitet og terrorisme, </w:t>
      </w:r>
      <w:r w:rsidRPr="00C2034C">
        <w:t>og fremhæver centrets bidrag til et mere sikkert Europa;</w:t>
      </w:r>
    </w:p>
    <w:p w:rsidR="008E3C1B" w:rsidRPr="00C2034C" w:rsidRDefault="00857711" w:rsidP="008E3C1B">
      <w:pPr>
        <w:pStyle w:val="NormalHanging12a"/>
        <w:rPr>
          <w:szCs w:val="24"/>
        </w:rPr>
      </w:pPr>
      <w:r w:rsidRPr="00C2034C">
        <w:t>7.</w:t>
      </w:r>
      <w:r w:rsidRPr="00C2034C">
        <w:tab/>
        <w:t xml:space="preserve">glæder sig over ressourcesiden "EMCDDA 4 Ukraine", der er oprettet for fagfolk, der arbejder inden for narkotikaområdet i Europa, og som støtter mennesker, der er fordrevet fra Ukraine; </w:t>
      </w:r>
    </w:p>
    <w:p w:rsidR="008E3C1B" w:rsidRPr="00C2034C" w:rsidRDefault="00857711" w:rsidP="008E3C1B">
      <w:pPr>
        <w:pStyle w:val="NormalHanging12a"/>
      </w:pPr>
      <w:r w:rsidRPr="00C2034C">
        <w:t>8.</w:t>
      </w:r>
      <w:r w:rsidRPr="00C2034C">
        <w:tab/>
        <w:t>glæder</w:t>
      </w:r>
      <w:r w:rsidRPr="00C2034C">
        <w:t xml:space="preserve"> sig over det igangværende samarbejde mellem centret og partnerlandene inden for den europæiske naboskabspolitik på regionalt plan gennem EU4MD-projektet for teknisk bistand samt over den igangværende gennemførelse af EMCDDA4GE-projektet for teknisk bistan</w:t>
      </w:r>
      <w:r w:rsidRPr="00C2034C">
        <w:t>d på bilateralt plan med Georgien; glæder sig over etableringen af et officielt partnerskab i samarbejdsprogrammet mellem Latinamerika, Caribien og Den Europæiske Union om narkotikapolitikker;</w:t>
      </w:r>
    </w:p>
    <w:p w:rsidR="005B6971" w:rsidRPr="00C2034C" w:rsidRDefault="00857711" w:rsidP="00647C6C">
      <w:pPr>
        <w:ind w:left="560" w:hanging="560"/>
      </w:pPr>
      <w:r w:rsidRPr="00C2034C">
        <w:t>9.</w:t>
      </w:r>
      <w:r w:rsidRPr="00C2034C">
        <w:tab/>
        <w:t>glæder sig over centrets samarbejde med andre agenturer og d</w:t>
      </w:r>
      <w:r w:rsidRPr="00C2034C">
        <w:t>ets bidrag til RIA-agenturernes netværk; glæder sig over centrets fortsatte samarbejde med nationale narkotikaagenturer, tredjelande og internationale organisationer såsom UNODC og WHO.</w:t>
      </w:r>
    </w:p>
    <w:p w:rsidR="00647C6C" w:rsidRPr="00C2034C" w:rsidRDefault="00857711" w:rsidP="00647C6C">
      <w:r w:rsidRPr="00C2034C">
        <w:br w:type="page"/>
      </w:r>
    </w:p>
    <w:p w:rsidR="00647C6C" w:rsidRPr="00C2034C" w:rsidRDefault="00857711" w:rsidP="00647C6C">
      <w:pPr>
        <w:pStyle w:val="PageHeadingNotTOC"/>
      </w:pPr>
      <w:bookmarkStart w:id="1" w:name="ProcPageAD"/>
      <w:r w:rsidRPr="00C2034C">
        <w:lastRenderedPageBreak/>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F36D6" w:rsidRPr="00C203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b/>
                <w:bCs/>
                <w:color w:val="000000"/>
                <w:sz w:val="20"/>
              </w:rPr>
            </w:pPr>
            <w:r w:rsidRPr="00C2034C">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C2034C" w:rsidRDefault="00857711">
            <w:pPr>
              <w:autoSpaceDE w:val="0"/>
              <w:autoSpaceDN w:val="0"/>
              <w:adjustRightInd w:val="0"/>
              <w:rPr>
                <w:color w:val="000000"/>
                <w:sz w:val="20"/>
              </w:rPr>
            </w:pPr>
            <w:r w:rsidRPr="00C2034C">
              <w:rPr>
                <w:color w:val="000000"/>
                <w:sz w:val="20"/>
              </w:rPr>
              <w:t>23</w:t>
            </w:r>
            <w:r w:rsidRPr="00C2034C">
              <w:rPr>
                <w:color w:val="000000"/>
                <w:sz w:val="20"/>
              </w:rPr>
              <w:t>.1.2024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C2034C"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7C6C" w:rsidRPr="00C2034C" w:rsidRDefault="00647C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C2034C" w:rsidRDefault="00647C6C">
            <w:pPr>
              <w:autoSpaceDE w:val="0"/>
              <w:autoSpaceDN w:val="0"/>
              <w:adjustRightInd w:val="0"/>
              <w:rPr>
                <w:rFonts w:ascii="sans-serif" w:hAnsi="sans-serif" w:cs="sans-serif"/>
                <w:color w:val="000000"/>
                <w:szCs w:val="24"/>
              </w:rPr>
            </w:pPr>
          </w:p>
        </w:tc>
      </w:tr>
      <w:tr w:rsidR="001F36D6" w:rsidRPr="00C203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b/>
                <w:bCs/>
                <w:color w:val="000000"/>
                <w:sz w:val="20"/>
              </w:rPr>
            </w:pPr>
            <w:r w:rsidRPr="00C2034C">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7C6C" w:rsidRPr="00C2034C" w:rsidRDefault="00857711">
            <w:pPr>
              <w:autoSpaceDE w:val="0"/>
              <w:autoSpaceDN w:val="0"/>
              <w:adjustRightInd w:val="0"/>
              <w:rPr>
                <w:color w:val="000000"/>
                <w:sz w:val="20"/>
              </w:rPr>
            </w:pPr>
            <w:r w:rsidRPr="00C2034C">
              <w:rPr>
                <w:color w:val="000000"/>
                <w:sz w:val="20"/>
              </w:rPr>
              <w:t>+:</w:t>
            </w:r>
          </w:p>
          <w:p w:rsidR="00647C6C" w:rsidRPr="00C2034C" w:rsidRDefault="00857711">
            <w:pPr>
              <w:autoSpaceDE w:val="0"/>
              <w:autoSpaceDN w:val="0"/>
              <w:adjustRightInd w:val="0"/>
              <w:rPr>
                <w:color w:val="000000"/>
                <w:sz w:val="20"/>
              </w:rPr>
            </w:pPr>
            <w:r w:rsidRPr="00C2034C">
              <w:rPr>
                <w:color w:val="000000"/>
                <w:sz w:val="20"/>
              </w:rPr>
              <w:t>–:</w:t>
            </w:r>
          </w:p>
          <w:p w:rsidR="00647C6C" w:rsidRPr="00C2034C" w:rsidRDefault="00857711">
            <w:pPr>
              <w:autoSpaceDE w:val="0"/>
              <w:autoSpaceDN w:val="0"/>
              <w:adjustRightInd w:val="0"/>
              <w:rPr>
                <w:color w:val="000000"/>
                <w:sz w:val="20"/>
              </w:rPr>
            </w:pPr>
            <w:r w:rsidRPr="00C2034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color w:val="000000"/>
                <w:sz w:val="20"/>
              </w:rPr>
            </w:pPr>
            <w:r w:rsidRPr="00C2034C">
              <w:rPr>
                <w:color w:val="000000"/>
                <w:sz w:val="20"/>
              </w:rPr>
              <w:t>52</w:t>
            </w:r>
          </w:p>
          <w:p w:rsidR="00647C6C" w:rsidRPr="00C2034C" w:rsidRDefault="00857711">
            <w:pPr>
              <w:autoSpaceDE w:val="0"/>
              <w:autoSpaceDN w:val="0"/>
              <w:adjustRightInd w:val="0"/>
              <w:rPr>
                <w:color w:val="000000"/>
                <w:sz w:val="20"/>
              </w:rPr>
            </w:pPr>
            <w:r w:rsidRPr="00C2034C">
              <w:rPr>
                <w:color w:val="000000"/>
                <w:sz w:val="20"/>
              </w:rPr>
              <w:t>1</w:t>
            </w:r>
          </w:p>
          <w:p w:rsidR="00647C6C" w:rsidRPr="00C2034C" w:rsidRDefault="00857711">
            <w:pPr>
              <w:autoSpaceDE w:val="0"/>
              <w:autoSpaceDN w:val="0"/>
              <w:adjustRightInd w:val="0"/>
              <w:rPr>
                <w:color w:val="000000"/>
                <w:sz w:val="20"/>
              </w:rPr>
            </w:pPr>
            <w:r w:rsidRPr="00C2034C">
              <w:rPr>
                <w:color w:val="000000"/>
                <w:sz w:val="20"/>
              </w:rPr>
              <w:t>3</w:t>
            </w:r>
          </w:p>
        </w:tc>
      </w:tr>
      <w:tr w:rsidR="001F36D6" w:rsidRPr="00C2034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b/>
                <w:bCs/>
                <w:color w:val="000000"/>
                <w:sz w:val="20"/>
              </w:rPr>
            </w:pPr>
            <w:r w:rsidRPr="00C2034C">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color w:val="000000"/>
                <w:sz w:val="20"/>
              </w:rPr>
            </w:pPr>
            <w:r w:rsidRPr="00C2034C">
              <w:rPr>
                <w:color w:val="000000"/>
                <w:sz w:val="20"/>
              </w:rPr>
              <w:t xml:space="preserve">Magdalena Adamowicz, Abir Al-Sahlani, Katarina Barley, Pietro Bartolo, Theresa Bielowski, Patrick Breyer, Saskia Bricmont, Jorge Buxadé </w:t>
            </w:r>
            <w:r w:rsidRPr="00C2034C">
              <w:rPr>
                <w:color w:val="000000"/>
                <w:sz w:val="20"/>
              </w:rPr>
              <w:t>Villalba, Damien Carême, Patricia Chagnon, Lena Düpont, Lucia Ďuriš Nicholsonová, Cornelia Ernst, Laura Ferrara, Nicolaus Fest, Maria Grapini, Sylvie Guillaume, Andrzej Halicki, Evin Incir, Sophia in ‘t Veld, Patryk Jaki, Marina Kaljurand, Assita Kanko, Łu</w:t>
            </w:r>
            <w:r w:rsidRPr="00C2034C">
              <w:rPr>
                <w:color w:val="000000"/>
                <w:sz w:val="20"/>
              </w:rPr>
              <w:t>kasz Kohut, Moritz Körner, Alice Kuhnke, Jeroen Lenaers, Juan Fernando López Aguilar, Erik Marquardt, Javier Moreno Sánchez, Maite Pagazaurtundúa, Diana Riba i Giner, Isabel Santos, Birgit Sippel, Vincenzo Sofo, Tineke Strik, Jana Toom, Milan Uhrík, Tom Va</w:t>
            </w:r>
            <w:r w:rsidRPr="00C2034C">
              <w:rPr>
                <w:color w:val="000000"/>
                <w:sz w:val="20"/>
              </w:rPr>
              <w:t>ndendriessche, Elissavet Vozemberg-Vrionidi, Javier Zarzalejos</w:t>
            </w:r>
          </w:p>
        </w:tc>
      </w:tr>
      <w:tr w:rsidR="001F36D6" w:rsidRPr="00C203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b/>
                <w:bCs/>
                <w:color w:val="000000"/>
                <w:sz w:val="20"/>
              </w:rPr>
            </w:pPr>
            <w:r w:rsidRPr="00C2034C">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color w:val="000000"/>
                <w:sz w:val="20"/>
              </w:rPr>
            </w:pPr>
            <w:r w:rsidRPr="00C2034C">
              <w:rPr>
                <w:color w:val="000000"/>
                <w:sz w:val="20"/>
              </w:rPr>
              <w:t>Cyrus Engerer, José Gusmão, Beata Kempa, Leopoldo López Gil, Janina Ochojska, Anne-Sophie Pelletier, Bergur Løkke Rasmussen, Róża Thun un</w:t>
            </w:r>
            <w:r w:rsidRPr="00C2034C">
              <w:rPr>
                <w:color w:val="000000"/>
                <w:sz w:val="20"/>
              </w:rPr>
              <w:t>d Hohenstein, Maria Walsh, Tomáš Zdechovský</w:t>
            </w:r>
          </w:p>
        </w:tc>
      </w:tr>
      <w:tr w:rsidR="001F36D6" w:rsidRPr="00C2034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b/>
                <w:bCs/>
                <w:color w:val="000000"/>
                <w:sz w:val="20"/>
              </w:rPr>
            </w:pPr>
            <w:r w:rsidRPr="00C2034C">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7C6C" w:rsidRPr="00C2034C" w:rsidRDefault="00857711">
            <w:pPr>
              <w:autoSpaceDE w:val="0"/>
              <w:autoSpaceDN w:val="0"/>
              <w:adjustRightInd w:val="0"/>
              <w:rPr>
                <w:color w:val="000000"/>
                <w:sz w:val="20"/>
              </w:rPr>
            </w:pPr>
            <w:r w:rsidRPr="00C2034C">
              <w:rPr>
                <w:color w:val="000000"/>
                <w:sz w:val="20"/>
              </w:rPr>
              <w:t>Andrus Ansip, Hildegard Bentele, Maria da Graça Carvalho, Marisa Matias, Caroline Nagtegaal</w:t>
            </w:r>
          </w:p>
        </w:tc>
      </w:tr>
    </w:tbl>
    <w:p w:rsidR="00647C6C" w:rsidRPr="00C2034C" w:rsidRDefault="00647C6C"/>
    <w:p w:rsidR="001B663A" w:rsidRPr="00C2034C" w:rsidRDefault="001B663A" w:rsidP="00647C6C">
      <w:pPr>
        <w:sectPr w:rsidR="001B663A" w:rsidRPr="00C2034C" w:rsidSect="00C2034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bookmarkStart w:id="2" w:name="_GoBack"/>
      <w:bookmarkEnd w:id="1"/>
      <w:bookmarkEnd w:id="2"/>
    </w:p>
    <w:p w:rsidR="001B663A" w:rsidRPr="00C2034C" w:rsidRDefault="00857711" w:rsidP="002B2C72">
      <w:pPr>
        <w:pStyle w:val="PageHeadingNotTOC"/>
        <w:rPr>
          <w:noProof/>
        </w:rPr>
      </w:pPr>
      <w:bookmarkStart w:id="3" w:name="FootprintPageAD"/>
      <w:r w:rsidRPr="00C2034C">
        <w:lastRenderedPageBreak/>
        <w:t>BI</w:t>
      </w:r>
      <w:r w:rsidRPr="00C2034C">
        <w:t>LAG: ENHEDER ELLER PERSONER,</w:t>
      </w:r>
      <w:r w:rsidRPr="00C2034C">
        <w:br/>
        <w:t>SOM ORDFØREREN HAR MODTAGET INPUT FRA</w:t>
      </w:r>
    </w:p>
    <w:p w:rsidR="001B663A" w:rsidRPr="00C2034C" w:rsidRDefault="00857711" w:rsidP="00037518">
      <w:pPr>
        <w:pStyle w:val="Normal24a"/>
      </w:pPr>
      <w:r w:rsidRPr="00C2034C">
        <w:rPr>
          <w:rStyle w:val="HideTWBExt"/>
        </w:rPr>
        <w:t>&lt;FootprintIntro&gt;</w:t>
      </w:r>
      <w:r w:rsidRPr="00C2034C">
        <w:t>Ordføreren erklærer på eget ansvar, at han ikke har modtaget input fra nogen enhed eller person, der skal nævnes i dette bilag i henhold til artikel 8 i bilag I til forretni</w:t>
      </w:r>
      <w:r w:rsidRPr="00C2034C">
        <w:t>ngsordenen.</w:t>
      </w:r>
      <w:r w:rsidRPr="00C2034C">
        <w:rPr>
          <w:rStyle w:val="HideTWBExt"/>
        </w:rPr>
        <w:t>&lt;/FootprintIntro&gt;</w:t>
      </w:r>
    </w:p>
    <w:p w:rsidR="001B663A" w:rsidRPr="00C2034C" w:rsidRDefault="001B663A" w:rsidP="00AD5932"/>
    <w:p w:rsidR="001B663A" w:rsidRPr="00C2034C" w:rsidRDefault="001B663A" w:rsidP="001B663A"/>
    <w:bookmarkEnd w:id="3"/>
    <w:p w:rsidR="001B663A" w:rsidRPr="00C2034C" w:rsidRDefault="001B663A" w:rsidP="00647C6C">
      <w:pPr>
        <w:sectPr w:rsidR="001B663A" w:rsidRPr="00C2034C" w:rsidSect="001B663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7C6C" w:rsidRPr="00C2034C" w:rsidRDefault="00857711" w:rsidP="00647C6C">
      <w:pPr>
        <w:pStyle w:val="PageHeadingNotTOC"/>
      </w:pPr>
      <w:bookmarkStart w:id="4" w:name="RollCallPageAD"/>
      <w:r w:rsidRPr="00C2034C">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F36D6" w:rsidRPr="00C2034C" w:rsidTr="008920AC">
        <w:trPr>
          <w:cantSplit/>
        </w:trPr>
        <w:tc>
          <w:tcPr>
            <w:tcW w:w="1701" w:type="dxa"/>
            <w:shd w:val="pct10" w:color="000000" w:fill="FFFFFF"/>
            <w:vAlign w:val="center"/>
          </w:tcPr>
          <w:p w:rsidR="00647C6C" w:rsidRPr="00C2034C" w:rsidRDefault="00857711" w:rsidP="003858C5">
            <w:pPr>
              <w:pStyle w:val="RollCallVotes"/>
            </w:pPr>
            <w:r w:rsidRPr="00C2034C">
              <w:t>52</w:t>
            </w:r>
          </w:p>
        </w:tc>
        <w:tc>
          <w:tcPr>
            <w:tcW w:w="7371" w:type="dxa"/>
            <w:shd w:val="pct10" w:color="000000" w:fill="FFFFFF"/>
          </w:tcPr>
          <w:p w:rsidR="00647C6C" w:rsidRPr="00C2034C" w:rsidRDefault="00857711" w:rsidP="003858C5">
            <w:pPr>
              <w:pStyle w:val="RollCallSymbols14pt"/>
            </w:pPr>
            <w:r w:rsidRPr="00C2034C">
              <w:t>+</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ECR</w:t>
            </w:r>
          </w:p>
        </w:tc>
        <w:tc>
          <w:tcPr>
            <w:tcW w:w="7371" w:type="dxa"/>
            <w:shd w:val="clear" w:color="auto" w:fill="FFFFFF"/>
          </w:tcPr>
          <w:p w:rsidR="00647C6C" w:rsidRPr="00C2034C" w:rsidRDefault="00857711" w:rsidP="003858C5">
            <w:pPr>
              <w:pStyle w:val="RollCallTable"/>
            </w:pPr>
            <w:r w:rsidRPr="00C2034C">
              <w:t>Jorge Buxadé Villalba, Patryk Jaki, Assita Kanko, Beata Kempa, Vincenzo Sofo</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NI</w:t>
            </w:r>
          </w:p>
        </w:tc>
        <w:tc>
          <w:tcPr>
            <w:tcW w:w="7371" w:type="dxa"/>
            <w:shd w:val="clear" w:color="auto" w:fill="FFFFFF"/>
          </w:tcPr>
          <w:p w:rsidR="00647C6C" w:rsidRPr="00C2034C" w:rsidRDefault="00857711" w:rsidP="003858C5">
            <w:pPr>
              <w:pStyle w:val="RollCallTable"/>
            </w:pPr>
            <w:r w:rsidRPr="00C2034C">
              <w:t>Laura Ferrara</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PPE</w:t>
            </w:r>
          </w:p>
        </w:tc>
        <w:tc>
          <w:tcPr>
            <w:tcW w:w="7371" w:type="dxa"/>
            <w:shd w:val="clear" w:color="auto" w:fill="FFFFFF"/>
          </w:tcPr>
          <w:p w:rsidR="00647C6C" w:rsidRPr="00C2034C" w:rsidRDefault="00857711" w:rsidP="003858C5">
            <w:pPr>
              <w:pStyle w:val="RollCallTable"/>
            </w:pPr>
            <w:r w:rsidRPr="00C2034C">
              <w:t xml:space="preserve">Magdalena Adamowicz, Hildegard </w:t>
            </w:r>
            <w:r w:rsidRPr="00C2034C">
              <w:t>Bentele, Maria da Graça Carvalho, Lena Düpont, Andrzej Halicki, Jeroen Lenaers, Leopoldo López Gil, Janina Ochojska, Elissavet Vozemberg-Vrionidi, Maria Walsh, Javier Zarzalejos, Tomáš Zdechovský</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Renew</w:t>
            </w:r>
          </w:p>
        </w:tc>
        <w:tc>
          <w:tcPr>
            <w:tcW w:w="7371" w:type="dxa"/>
            <w:shd w:val="clear" w:color="auto" w:fill="FFFFFF"/>
          </w:tcPr>
          <w:p w:rsidR="00647C6C" w:rsidRPr="00C2034C" w:rsidRDefault="00857711" w:rsidP="003858C5">
            <w:pPr>
              <w:pStyle w:val="RollCallTable"/>
            </w:pPr>
            <w:r w:rsidRPr="00C2034C">
              <w:t>Abir Al-Sahlani, Andrus Ansip, Lucia Ďuriš Nicholsono</w:t>
            </w:r>
            <w:r w:rsidRPr="00C2034C">
              <w:t>vá, Sophia in 't Veld, Moritz Körner, Caroline Nagtegaal, Maite Pagazaurtundúa, Bergur Løkke Rasmussen, Róża Thun und Hohenstein, Jana Toom</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S&amp;D</w:t>
            </w:r>
          </w:p>
        </w:tc>
        <w:tc>
          <w:tcPr>
            <w:tcW w:w="7371" w:type="dxa"/>
            <w:shd w:val="clear" w:color="auto" w:fill="FFFFFF"/>
          </w:tcPr>
          <w:p w:rsidR="00647C6C" w:rsidRPr="00C2034C" w:rsidRDefault="00857711" w:rsidP="003858C5">
            <w:pPr>
              <w:pStyle w:val="RollCallTable"/>
            </w:pPr>
            <w:r w:rsidRPr="00C2034C">
              <w:t>Katarina Barley, Pietro Bartolo, Theresa Bielowski, Cyrus Engerer, Maria Grapini, Sylvie Guillaume, Evin Incir,</w:t>
            </w:r>
            <w:r w:rsidRPr="00C2034C">
              <w:t xml:space="preserve"> Marina Kaljurand, Łukasz Kohut, Juan Fernando López Aguilar, Javier Moreno Sánchez, Isabel Santos, Birgit Sippel</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The Left</w:t>
            </w:r>
          </w:p>
        </w:tc>
        <w:tc>
          <w:tcPr>
            <w:tcW w:w="7371" w:type="dxa"/>
            <w:shd w:val="clear" w:color="auto" w:fill="FFFFFF"/>
          </w:tcPr>
          <w:p w:rsidR="00647C6C" w:rsidRPr="00C2034C" w:rsidRDefault="00857711" w:rsidP="003858C5">
            <w:pPr>
              <w:pStyle w:val="RollCallTable"/>
            </w:pPr>
            <w:r w:rsidRPr="00C2034C">
              <w:t>Cornelia Ernst, José Gusmão, Marisa Matias, Anne-Sophie Pelletier</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Verts/ALE</w:t>
            </w:r>
          </w:p>
        </w:tc>
        <w:tc>
          <w:tcPr>
            <w:tcW w:w="7371" w:type="dxa"/>
            <w:shd w:val="clear" w:color="auto" w:fill="FFFFFF"/>
          </w:tcPr>
          <w:p w:rsidR="00647C6C" w:rsidRPr="00C2034C" w:rsidRDefault="00857711" w:rsidP="003858C5">
            <w:pPr>
              <w:pStyle w:val="RollCallTable"/>
            </w:pPr>
            <w:r w:rsidRPr="00C2034C">
              <w:t>Patrick Breyer, Saskia Bricmont, Damien Carême, Alice K</w:t>
            </w:r>
            <w:r w:rsidRPr="00C2034C">
              <w:t>uhnke, Erik Marquardt, Diana Riba i Giner, Tineke Strik</w:t>
            </w:r>
          </w:p>
        </w:tc>
      </w:tr>
    </w:tbl>
    <w:p w:rsidR="00647C6C" w:rsidRPr="00C2034C"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F36D6" w:rsidRPr="00C2034C" w:rsidTr="008920AC">
        <w:trPr>
          <w:cantSplit/>
        </w:trPr>
        <w:tc>
          <w:tcPr>
            <w:tcW w:w="1701" w:type="dxa"/>
            <w:shd w:val="pct10" w:color="000000" w:fill="FFFFFF"/>
            <w:vAlign w:val="center"/>
          </w:tcPr>
          <w:p w:rsidR="00647C6C" w:rsidRPr="00C2034C" w:rsidRDefault="00857711" w:rsidP="003858C5">
            <w:pPr>
              <w:pStyle w:val="RollCallVotes"/>
            </w:pPr>
            <w:r w:rsidRPr="00C2034C">
              <w:t>1</w:t>
            </w:r>
          </w:p>
        </w:tc>
        <w:tc>
          <w:tcPr>
            <w:tcW w:w="7371" w:type="dxa"/>
            <w:shd w:val="pct10" w:color="000000" w:fill="FFFFFF"/>
          </w:tcPr>
          <w:p w:rsidR="00647C6C" w:rsidRPr="00C2034C" w:rsidRDefault="00857711" w:rsidP="003858C5">
            <w:pPr>
              <w:pStyle w:val="RollCallSymbols14pt"/>
            </w:pPr>
            <w:r w:rsidRPr="00C2034C">
              <w:t>-</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NI</w:t>
            </w:r>
          </w:p>
        </w:tc>
        <w:tc>
          <w:tcPr>
            <w:tcW w:w="7371" w:type="dxa"/>
            <w:shd w:val="clear" w:color="auto" w:fill="FFFFFF"/>
          </w:tcPr>
          <w:p w:rsidR="00647C6C" w:rsidRPr="00C2034C" w:rsidRDefault="00857711" w:rsidP="003858C5">
            <w:pPr>
              <w:pStyle w:val="RollCallTable"/>
            </w:pPr>
            <w:r w:rsidRPr="00C2034C">
              <w:t>Milan Uhrík</w:t>
            </w:r>
          </w:p>
        </w:tc>
      </w:tr>
    </w:tbl>
    <w:p w:rsidR="00647C6C" w:rsidRPr="00C2034C" w:rsidRDefault="00647C6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F36D6" w:rsidRPr="00C2034C" w:rsidTr="008920AC">
        <w:trPr>
          <w:cantSplit/>
        </w:trPr>
        <w:tc>
          <w:tcPr>
            <w:tcW w:w="1701" w:type="dxa"/>
            <w:shd w:val="pct10" w:color="000000" w:fill="FFFFFF"/>
            <w:vAlign w:val="center"/>
          </w:tcPr>
          <w:p w:rsidR="00647C6C" w:rsidRPr="00C2034C" w:rsidRDefault="00857711" w:rsidP="003858C5">
            <w:pPr>
              <w:pStyle w:val="RollCallVotes"/>
            </w:pPr>
            <w:r w:rsidRPr="00C2034C">
              <w:t>3</w:t>
            </w:r>
          </w:p>
        </w:tc>
        <w:tc>
          <w:tcPr>
            <w:tcW w:w="7371" w:type="dxa"/>
            <w:shd w:val="pct10" w:color="000000" w:fill="FFFFFF"/>
          </w:tcPr>
          <w:p w:rsidR="00647C6C" w:rsidRPr="00C2034C" w:rsidRDefault="00857711" w:rsidP="003858C5">
            <w:pPr>
              <w:pStyle w:val="RollCallSymbols14pt"/>
            </w:pPr>
            <w:r w:rsidRPr="00C2034C">
              <w:t>0</w:t>
            </w:r>
          </w:p>
        </w:tc>
      </w:tr>
      <w:tr w:rsidR="001F36D6" w:rsidRPr="00C2034C" w:rsidTr="008920AC">
        <w:trPr>
          <w:cantSplit/>
        </w:trPr>
        <w:tc>
          <w:tcPr>
            <w:tcW w:w="1701" w:type="dxa"/>
            <w:shd w:val="clear" w:color="auto" w:fill="FFFFFF"/>
          </w:tcPr>
          <w:p w:rsidR="00647C6C" w:rsidRPr="00C2034C" w:rsidRDefault="00857711" w:rsidP="003858C5">
            <w:pPr>
              <w:pStyle w:val="RollCallTable"/>
            </w:pPr>
            <w:r w:rsidRPr="00C2034C">
              <w:t>ID</w:t>
            </w:r>
          </w:p>
        </w:tc>
        <w:tc>
          <w:tcPr>
            <w:tcW w:w="7371" w:type="dxa"/>
            <w:shd w:val="clear" w:color="auto" w:fill="FFFFFF"/>
          </w:tcPr>
          <w:p w:rsidR="00647C6C" w:rsidRPr="00C2034C" w:rsidRDefault="00857711" w:rsidP="003858C5">
            <w:pPr>
              <w:pStyle w:val="RollCallTable"/>
            </w:pPr>
            <w:r w:rsidRPr="00C2034C">
              <w:t>Patricia Chagnon, Nicolaus Fest, Tom Vandendriessche</w:t>
            </w:r>
          </w:p>
        </w:tc>
      </w:tr>
    </w:tbl>
    <w:p w:rsidR="00647C6C" w:rsidRPr="00C2034C" w:rsidRDefault="00647C6C" w:rsidP="00147FBF">
      <w:pPr>
        <w:pStyle w:val="Normal12a"/>
      </w:pPr>
    </w:p>
    <w:p w:rsidR="00647C6C" w:rsidRPr="00C2034C" w:rsidRDefault="00857711" w:rsidP="00B735E3">
      <w:r w:rsidRPr="00C2034C">
        <w:t>Tegnforklaring</w:t>
      </w:r>
    </w:p>
    <w:p w:rsidR="00647C6C" w:rsidRPr="00C2034C" w:rsidRDefault="00857711" w:rsidP="003858C5">
      <w:pPr>
        <w:pStyle w:val="RollCallTabs"/>
      </w:pPr>
      <w:r w:rsidRPr="00C2034C">
        <w:t>+</w:t>
      </w:r>
      <w:r w:rsidRPr="00C2034C">
        <w:tab/>
        <w:t>:</w:t>
      </w:r>
      <w:r w:rsidRPr="00C2034C">
        <w:tab/>
        <w:t>for</w:t>
      </w:r>
    </w:p>
    <w:p w:rsidR="00647C6C" w:rsidRPr="00C2034C" w:rsidRDefault="00857711" w:rsidP="003858C5">
      <w:pPr>
        <w:pStyle w:val="RollCallTabs"/>
      </w:pPr>
      <w:r w:rsidRPr="00C2034C">
        <w:t>-</w:t>
      </w:r>
      <w:r w:rsidRPr="00C2034C">
        <w:tab/>
        <w:t>:</w:t>
      </w:r>
      <w:r w:rsidRPr="00C2034C">
        <w:tab/>
        <w:t>imod</w:t>
      </w:r>
    </w:p>
    <w:p w:rsidR="00647C6C" w:rsidRPr="00C2034C" w:rsidRDefault="00857711" w:rsidP="003858C5">
      <w:pPr>
        <w:pStyle w:val="RollCallTabs"/>
      </w:pPr>
      <w:r w:rsidRPr="00C2034C">
        <w:t>0</w:t>
      </w:r>
      <w:r w:rsidRPr="00C2034C">
        <w:tab/>
        <w:t>:</w:t>
      </w:r>
      <w:r w:rsidRPr="00C2034C">
        <w:tab/>
        <w:t>hverken/eller</w:t>
      </w:r>
    </w:p>
    <w:p w:rsidR="00647C6C" w:rsidRPr="00C2034C" w:rsidRDefault="00647C6C" w:rsidP="00207509"/>
    <w:bookmarkEnd w:id="4"/>
    <w:p w:rsidR="002E6F98" w:rsidRPr="00C2034C" w:rsidRDefault="002E6F98" w:rsidP="00647C6C"/>
    <w:sectPr w:rsidR="002E6F98" w:rsidRPr="00C2034C" w:rsidSect="001B663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2034C" w:rsidRDefault="00857711">
      <w:r w:rsidRPr="00C2034C">
        <w:separator/>
      </w:r>
    </w:p>
  </w:endnote>
  <w:endnote w:type="continuationSeparator" w:id="0">
    <w:p w:rsidR="00000000" w:rsidRPr="00C2034C" w:rsidRDefault="00857711">
      <w:r w:rsidRPr="00C203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4C" w:rsidRPr="00C2034C" w:rsidRDefault="00C2034C" w:rsidP="00C2034C">
    <w:pPr>
      <w:pStyle w:val="EPFooter"/>
    </w:pPr>
    <w:r w:rsidRPr="00C2034C">
      <w:t>PE</w:t>
    </w:r>
    <w:r w:rsidRPr="00C2034C">
      <w:rPr>
        <w:rStyle w:val="HideTWBExt"/>
      </w:rPr>
      <w:t>&lt;NoPE&gt;</w:t>
    </w:r>
    <w:r w:rsidRPr="00C2034C">
      <w:t>756.194</w:t>
    </w:r>
    <w:r w:rsidRPr="00C2034C">
      <w:rPr>
        <w:rStyle w:val="HideTWBExt"/>
      </w:rPr>
      <w:t>&lt;/NoPE&gt;&lt;Version&gt;</w:t>
    </w:r>
    <w:r w:rsidRPr="00C2034C">
      <w:t>v03-00</w:t>
    </w:r>
    <w:r w:rsidRPr="00C2034C">
      <w:rPr>
        <w:rStyle w:val="HideTWBExt"/>
      </w:rPr>
      <w:t>&lt;/Version&gt;</w:t>
    </w:r>
    <w:r w:rsidRPr="00C2034C">
      <w:tab/>
    </w:r>
    <w:r w:rsidRPr="00C2034C">
      <w:fldChar w:fldCharType="begin"/>
    </w:r>
    <w:r w:rsidRPr="00C2034C">
      <w:instrText xml:space="preserve"> PAGE  \* MERGEFORMAT </w:instrText>
    </w:r>
    <w:r w:rsidRPr="00C2034C">
      <w:fldChar w:fldCharType="separate"/>
    </w:r>
    <w:r w:rsidR="00857711">
      <w:rPr>
        <w:noProof/>
      </w:rPr>
      <w:t>6</w:t>
    </w:r>
    <w:r w:rsidRPr="00C2034C">
      <w:fldChar w:fldCharType="end"/>
    </w:r>
    <w:r w:rsidRPr="00C2034C">
      <w:t>/</w:t>
    </w:r>
    <w:fldSimple w:instr=" NUMPAGES  \* MERGEFORMAT ">
      <w:r w:rsidR="00857711">
        <w:rPr>
          <w:noProof/>
        </w:rPr>
        <w:t>7</w:t>
      </w:r>
    </w:fldSimple>
    <w:r w:rsidRPr="00C2034C">
      <w:tab/>
    </w:r>
    <w:r w:rsidRPr="00C2034C">
      <w:rPr>
        <w:rStyle w:val="HideTWBExt"/>
      </w:rPr>
      <w:t>&lt;PathFdR&gt;</w:t>
    </w:r>
    <w:r w:rsidRPr="00C2034C">
      <w:t>AD\1295226DA.docx</w:t>
    </w:r>
    <w:r w:rsidRPr="00C2034C">
      <w:rPr>
        <w:rStyle w:val="HideTWBExt"/>
      </w:rPr>
      <w:t>&lt;/PathFdR&gt;</w:t>
    </w:r>
  </w:p>
  <w:p w:rsidR="002E2F2E" w:rsidRPr="00C2034C" w:rsidRDefault="00C2034C" w:rsidP="00C2034C">
    <w:pPr>
      <w:pStyle w:val="EPFooter2"/>
    </w:pPr>
    <w:r w:rsidRPr="00C2034C">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4C" w:rsidRPr="00C2034C" w:rsidRDefault="00C2034C" w:rsidP="00C2034C">
    <w:pPr>
      <w:pStyle w:val="EPFooter"/>
    </w:pPr>
    <w:r w:rsidRPr="00C2034C">
      <w:rPr>
        <w:rStyle w:val="HideTWBExt"/>
      </w:rPr>
      <w:t>&lt;PathFdR&gt;</w:t>
    </w:r>
    <w:r w:rsidRPr="00C2034C">
      <w:t>AD\1295226DA.docx</w:t>
    </w:r>
    <w:r w:rsidRPr="00C2034C">
      <w:rPr>
        <w:rStyle w:val="HideTWBExt"/>
      </w:rPr>
      <w:t>&lt;/PathFdR&gt;</w:t>
    </w:r>
    <w:r w:rsidRPr="00C2034C">
      <w:tab/>
    </w:r>
    <w:r w:rsidRPr="00C2034C">
      <w:fldChar w:fldCharType="begin"/>
    </w:r>
    <w:r w:rsidRPr="00C2034C">
      <w:instrText xml:space="preserve"> PAGE  \* MERGEFORMAT </w:instrText>
    </w:r>
    <w:r w:rsidRPr="00C2034C">
      <w:fldChar w:fldCharType="separate"/>
    </w:r>
    <w:r w:rsidR="00857711">
      <w:rPr>
        <w:noProof/>
      </w:rPr>
      <w:t>5</w:t>
    </w:r>
    <w:r w:rsidRPr="00C2034C">
      <w:fldChar w:fldCharType="end"/>
    </w:r>
    <w:r w:rsidRPr="00C2034C">
      <w:t>/</w:t>
    </w:r>
    <w:fldSimple w:instr=" NUMPAGES  \* MERGEFORMAT ">
      <w:r w:rsidR="00857711">
        <w:rPr>
          <w:noProof/>
        </w:rPr>
        <w:t>7</w:t>
      </w:r>
    </w:fldSimple>
    <w:r w:rsidRPr="00C2034C">
      <w:tab/>
      <w:t>PE</w:t>
    </w:r>
    <w:r w:rsidRPr="00C2034C">
      <w:rPr>
        <w:rStyle w:val="HideTWBExt"/>
      </w:rPr>
      <w:t>&lt;NoPE&gt;</w:t>
    </w:r>
    <w:r w:rsidRPr="00C2034C">
      <w:t>756.194</w:t>
    </w:r>
    <w:r w:rsidRPr="00C2034C">
      <w:rPr>
        <w:rStyle w:val="HideTWBExt"/>
      </w:rPr>
      <w:t>&lt;/NoPE&gt;&lt;Version&gt;</w:t>
    </w:r>
    <w:r w:rsidRPr="00C2034C">
      <w:t>v03-00</w:t>
    </w:r>
    <w:r w:rsidRPr="00C2034C">
      <w:rPr>
        <w:rStyle w:val="HideTWBExt"/>
      </w:rPr>
      <w:t>&lt;/Version&gt;</w:t>
    </w:r>
  </w:p>
  <w:p w:rsidR="002E2F2E" w:rsidRPr="00C2034C" w:rsidRDefault="00C2034C" w:rsidP="00C2034C">
    <w:pPr>
      <w:pStyle w:val="EPFooter2"/>
    </w:pPr>
    <w:r w:rsidRPr="00C2034C">
      <w:tab/>
    </w:r>
    <w:r w:rsidRPr="00C2034C">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4C" w:rsidRPr="00C2034C" w:rsidRDefault="00C2034C" w:rsidP="00C2034C">
    <w:pPr>
      <w:pStyle w:val="EPFooter"/>
    </w:pPr>
    <w:r w:rsidRPr="00C2034C">
      <w:rPr>
        <w:rStyle w:val="HideTWBExt"/>
      </w:rPr>
      <w:t>&lt;PathFdR&gt;</w:t>
    </w:r>
    <w:r w:rsidRPr="00C2034C">
      <w:t>AD\1295226DA.docx</w:t>
    </w:r>
    <w:r w:rsidRPr="00C2034C">
      <w:rPr>
        <w:rStyle w:val="HideTWBExt"/>
      </w:rPr>
      <w:t>&lt;/PathFdR&gt;</w:t>
    </w:r>
    <w:r w:rsidRPr="00C2034C">
      <w:tab/>
    </w:r>
    <w:r w:rsidRPr="00C2034C">
      <w:tab/>
      <w:t>PE</w:t>
    </w:r>
    <w:r w:rsidRPr="00C2034C">
      <w:rPr>
        <w:rStyle w:val="HideTWBExt"/>
      </w:rPr>
      <w:t>&lt;NoPE&gt;</w:t>
    </w:r>
    <w:r w:rsidRPr="00C2034C">
      <w:t>756.194</w:t>
    </w:r>
    <w:r w:rsidRPr="00C2034C">
      <w:rPr>
        <w:rStyle w:val="HideTWBExt"/>
      </w:rPr>
      <w:t>&lt;/NoPE&gt;&lt;Version&gt;</w:t>
    </w:r>
    <w:r w:rsidRPr="00C2034C">
      <w:t>v03-00</w:t>
    </w:r>
    <w:r w:rsidRPr="00C2034C">
      <w:rPr>
        <w:rStyle w:val="HideTWBExt"/>
      </w:rPr>
      <w:t>&lt;/Version&gt;</w:t>
    </w:r>
  </w:p>
  <w:p w:rsidR="002E2F2E" w:rsidRPr="00C2034C" w:rsidRDefault="00C2034C" w:rsidP="00C2034C">
    <w:pPr>
      <w:pStyle w:val="EPFooter2"/>
    </w:pPr>
    <w:r w:rsidRPr="00C2034C">
      <w:t>DA</w:t>
    </w:r>
    <w:r w:rsidRPr="00C2034C">
      <w:tab/>
    </w:r>
    <w:r w:rsidRPr="00C2034C">
      <w:rPr>
        <w:b w:val="0"/>
        <w:i/>
        <w:color w:val="C0C0C0"/>
        <w:sz w:val="22"/>
      </w:rPr>
      <w:t>Forenet i mangfoldighed</w:t>
    </w:r>
    <w:r w:rsidRPr="00C2034C">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2034C" w:rsidRDefault="00857711">
      <w:r w:rsidRPr="00C2034C">
        <w:separator/>
      </w:r>
    </w:p>
  </w:footnote>
  <w:footnote w:type="continuationSeparator" w:id="0">
    <w:p w:rsidR="00000000" w:rsidRPr="00C2034C" w:rsidRDefault="00857711">
      <w:r w:rsidRPr="00C203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711" w:rsidRDefault="008577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711" w:rsidRDefault="008577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7711" w:rsidRDefault="008577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096 HideTWBInt;}{_x000d__x000a_\s18\ql \fi-567\li567\ri0\sa240\nowidctlpar\wrapdefault\aspalpha\aspnum\faauto\adjustright\rin0\lin567\itap0 \rtlch\fcs1 \af0\afs20\alang1025 \ltrch\fcs0 \fs24\lang2057\langfe2057\cgrid\langnp2057\langfenp2057 _x000d__x000a_\sbasedon0 \snext18 \spriority0 \styrsid96096 NormalHanging12a;}}{\*\rsidtbl \rsid24658\rsid96096\rsid223860\rsid735077\rsid1718133\rsid2892074\rsid3565327\rsid4666813\rsid6641733\rsid7823322\rsid9636012\rsid10377208\rsid11215221\rsid11549030\rsid12154954_x000d__x000a_\rsid13264953\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0\min9}{\revtim\yr2024\mo1\dy22\hr10\min9}{\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096\newtblstyruls\nogrowautofit\usenormstyforlist\noindnmbrts\felnbrelev\nocxsptable\indrlsweleven\noafcnsttbl\afelev\utinl\hwelev\spltpgpar\notcvasp\notbrkcnstfrctbl\notvatxbx\krnprsnet\cachedcolbal \nouicompat \fet0_x000d__x000a_{\*\wgrffmtfilter 013f}\nofeaturethrottle1\ilfomacatclnup0{\*\template C:\\Users\\icuadrat\\AppData\\Local\\Temp\\Blank1.dotx}{\*\ftnsep \ltrpar \pard\plain \ltrpar\ql \li0\ri0\widctlpar\wrapdefault\aspalpha\aspnum\faauto\adjustright\rin0\lin0\itap0 _x000d__x000a_\rtlch\fcs1 \af0\afs20\alang1025 \ltrch\fcs0 \fs24\lang2057\langfe2057\cgrid\langnp2057\langfenp2057 {\rtlch\fcs1 \af0 \ltrch\fcs0 \insrsid13264953 \chftnsep _x000d__x000a_\par }}{\*\ftnsepc \ltrpar \pard\plain \ltrpar\ql \li0\ri0\widctlpar\wrapdefault\aspalpha\aspnum\faauto\adjustright\rin0\lin0\itap0 \rtlch\fcs1 \af0\afs20\alang1025 \ltrch\fcs0 \fs24\lang2057\langfe2057\cgrid\langnp2057\langfenp2057 {\rtlch\fcs1 \af0 _x000d__x000a_\ltrch\fcs0 \insrsid13264953 \chftnsepc _x000d__x000a_\par }}{\*\aftnsep \ltrpar \pard\plain \ltrpar\ql \li0\ri0\widctlpar\wrapdefault\aspalpha\aspnum\faauto\adjustright\rin0\lin0\itap0 \rtlch\fcs1 \af0\afs20\alang1025 \ltrch\fcs0 \fs24\lang2057\langfe2057\cgrid\langnp2057\langfenp2057 {\rtlch\fcs1 \af0 _x000d__x000a_\ltrch\fcs0 \insrsid13264953 \chftnsep _x000d__x000a_\par }}{\*\aftnsepc \ltrpar \pard\plain \ltrpar\ql \li0\ri0\widctlpar\wrapdefault\aspalpha\aspnum\faauto\adjustright\rin0\lin0\itap0 \rtlch\fcs1 \af0\afs20\alang1025 \ltrch\fcs0 \fs24\lang2057\langfe2057\cgrid\langnp2057\langfenp2057 {\rtlch\fcs1 \af0 _x000d__x000a_\ltrch\fcs0 \insrsid13264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6096 \rtlch\fcs1 \af0\afs20\alang1025 \ltrch\fcs0 \fs24\lang2057\langfe2057\cgrid\langnp2057\langfenp2057 {\rtlch\fcs1 \af0 \ltrch\fcs0 _x000d__x000a_\insrsid96096\charrsid13044652 {\*\bkmkstart restart}#}{\rtlch\fcs1 \af1 \ltrch\fcs0 \cs17\v\f1\fs20\cf15\insrsid96096\charrsid13044652 NRMSG}{\rtlch\fcs1 \af0 \ltrch\fcs0 \insrsid96096\charrsid13044652 #.\tab ##}{\rtlch\fcs1 \af0 \ltrch\fcs0 _x000d__x000a_\insrsid9609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2_x000d__x000a_d9b4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265189 NormalHanging12a;}}{\*\rsidtbl \rsid24658\rsid223860\rsid735077\rsid1718133\rsid2892074\rsid3565327\rsid4666813\rsid6316134\rsid6641733\rsid7823322_x000d__x000a_\rsid926518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0\min9}{\revtim\yr2024\mo1\dy22\hr10\min9}{\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518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6316134 \chftnsep _x000d__x000a_\par }}{\*\ftnsepc \ltrpar \pard\plain \ltrpar\ql \li0\ri0\widctlpar\wrapdefault\aspalpha\aspnum\faauto\adjustright\rin0\lin0\itap0 \rtlch\fcs1 \af0\afs20\alang1025 \ltrch\fcs0 \fs24\lang2057\langfe2057\cgrid\langnp2057\langfenp2057 {\rtlch\fcs1 \af0 _x000d__x000a_\ltrch\fcs0 \insrsid6316134 \chftnsepc _x000d__x000a_\par }}{\*\aftnsep \ltrpar \pard\plain \ltrpar\ql \li0\ri0\widctlpar\wrapdefault\aspalpha\aspnum\faauto\adjustright\rin0\lin0\itap0 \rtlch\fcs1 \af0\afs20\alang1025 \ltrch\fcs0 \fs24\lang2057\langfe2057\cgrid\langnp2057\langfenp2057 {\rtlch\fcs1 \af0 _x000d__x000a_\ltrch\fcs0 \insrsid6316134 \chftnsep _x000d__x000a_\par }}{\*\aftnsepc \ltrpar \pard\plain \ltrpar\ql \li0\ri0\widctlpar\wrapdefault\aspalpha\aspnum\faauto\adjustright\rin0\lin0\itap0 \rtlch\fcs1 \af0\afs20\alang1025 \ltrch\fcs0 \fs24\lang2057\langfe2057\cgrid\langnp2057\langfenp2057 {\rtlch\fcs1 \af0 _x000d__x000a_\ltrch\fcs0 \insrsid6316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265189 \rtlch\fcs1 \af0\afs20\alang1025 \ltrch\fcs0 \fs24\lang2057\langfe2057\cgrid\langnp2057\langfenp2057 {\rtlch\fcs1 \af0 _x000d__x000a_\ltrch\fcs0 \insrsid9265189\charrsid1525456 {\*\bkmkstart restart}[ZSUGGESTIONNR]\tab [ZSUGGESTIONTEXT]}{\rtlch\fcs1 \af0 \ltrch\fcs0 \insrsid926518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9_x000d__x000a_7bb712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4"/>
    <w:docVar w:name="TXTNRPROC" w:val="2023/2157"/>
    <w:docVar w:name="TXTPEorAP" w:val="PE"/>
    <w:docVar w:name="TXTROUTE" w:val="AD\1295226EN.docx"/>
    <w:docVar w:name="TXTTITLE" w:val="of the European Monitoring Centre for Drugs and Drug Addiction for the financial year 2022"/>
    <w:docVar w:name="TXTVERSION" w:val="03-00"/>
  </w:docVars>
  <w:rsids>
    <w:rsidRoot w:val="007B2C8C"/>
    <w:rsid w:val="000316E7"/>
    <w:rsid w:val="00037518"/>
    <w:rsid w:val="000E7EBF"/>
    <w:rsid w:val="00124F60"/>
    <w:rsid w:val="00135121"/>
    <w:rsid w:val="00140BE6"/>
    <w:rsid w:val="00147F4E"/>
    <w:rsid w:val="00147FBF"/>
    <w:rsid w:val="0016635E"/>
    <w:rsid w:val="001746D0"/>
    <w:rsid w:val="001B6005"/>
    <w:rsid w:val="001B663A"/>
    <w:rsid w:val="001B7393"/>
    <w:rsid w:val="001D2ED9"/>
    <w:rsid w:val="001D4AB6"/>
    <w:rsid w:val="001F21C1"/>
    <w:rsid w:val="001F36D6"/>
    <w:rsid w:val="00207509"/>
    <w:rsid w:val="002B2C72"/>
    <w:rsid w:val="002D28A7"/>
    <w:rsid w:val="002E2F2E"/>
    <w:rsid w:val="002E6F98"/>
    <w:rsid w:val="00325BCB"/>
    <w:rsid w:val="00331944"/>
    <w:rsid w:val="00332AD9"/>
    <w:rsid w:val="00347D2C"/>
    <w:rsid w:val="0037356F"/>
    <w:rsid w:val="003858C5"/>
    <w:rsid w:val="00390EB2"/>
    <w:rsid w:val="00396A0E"/>
    <w:rsid w:val="003D00A4"/>
    <w:rsid w:val="003E2402"/>
    <w:rsid w:val="004C28FB"/>
    <w:rsid w:val="004C44C0"/>
    <w:rsid w:val="0052544E"/>
    <w:rsid w:val="00543436"/>
    <w:rsid w:val="00555018"/>
    <w:rsid w:val="005940C3"/>
    <w:rsid w:val="00594C48"/>
    <w:rsid w:val="005B2F11"/>
    <w:rsid w:val="005B6971"/>
    <w:rsid w:val="005C0BDF"/>
    <w:rsid w:val="005D60C6"/>
    <w:rsid w:val="006102E7"/>
    <w:rsid w:val="00635621"/>
    <w:rsid w:val="00640C1B"/>
    <w:rsid w:val="00647C6C"/>
    <w:rsid w:val="00657AFB"/>
    <w:rsid w:val="006D5BF7"/>
    <w:rsid w:val="007B0491"/>
    <w:rsid w:val="007B2C8C"/>
    <w:rsid w:val="007F2664"/>
    <w:rsid w:val="008313E7"/>
    <w:rsid w:val="00854CAC"/>
    <w:rsid w:val="00857711"/>
    <w:rsid w:val="008A32C5"/>
    <w:rsid w:val="008C6203"/>
    <w:rsid w:val="008D61E7"/>
    <w:rsid w:val="008E3C1B"/>
    <w:rsid w:val="008F7002"/>
    <w:rsid w:val="009177EE"/>
    <w:rsid w:val="0099493F"/>
    <w:rsid w:val="00A16BEA"/>
    <w:rsid w:val="00A312B3"/>
    <w:rsid w:val="00A72C35"/>
    <w:rsid w:val="00A82ACC"/>
    <w:rsid w:val="00AD5932"/>
    <w:rsid w:val="00AE180F"/>
    <w:rsid w:val="00B362F7"/>
    <w:rsid w:val="00B4432D"/>
    <w:rsid w:val="00B5456B"/>
    <w:rsid w:val="00B735E3"/>
    <w:rsid w:val="00B74B53"/>
    <w:rsid w:val="00BC26E4"/>
    <w:rsid w:val="00BD1EAA"/>
    <w:rsid w:val="00C2034C"/>
    <w:rsid w:val="00C52739"/>
    <w:rsid w:val="00C66DC4"/>
    <w:rsid w:val="00C827FF"/>
    <w:rsid w:val="00C85D0F"/>
    <w:rsid w:val="00CD34AC"/>
    <w:rsid w:val="00DE19FF"/>
    <w:rsid w:val="00E65F6A"/>
    <w:rsid w:val="00E66C67"/>
    <w:rsid w:val="00E81BA6"/>
    <w:rsid w:val="00E856D2"/>
    <w:rsid w:val="00E929A7"/>
    <w:rsid w:val="00EE21EA"/>
    <w:rsid w:val="00EE31D5"/>
    <w:rsid w:val="00F832C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36321D-570A-4C05-B34D-38A82ADB1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8E3C1B"/>
    <w:rPr>
      <w:vertAlign w:val="superscript"/>
    </w:rPr>
  </w:style>
  <w:style w:type="paragraph" w:styleId="Footer">
    <w:name w:val="footer"/>
    <w:basedOn w:val="Normal"/>
    <w:link w:val="FooterChar"/>
    <w:semiHidden/>
    <w:rsid w:val="008E3C1B"/>
    <w:pPr>
      <w:tabs>
        <w:tab w:val="center" w:pos="4513"/>
        <w:tab w:val="right" w:pos="9026"/>
      </w:tabs>
    </w:pPr>
  </w:style>
  <w:style w:type="character" w:customStyle="1" w:styleId="FooterChar">
    <w:name w:val="Footer Char"/>
    <w:basedOn w:val="DefaultParagraphFont"/>
    <w:link w:val="Footer"/>
    <w:semiHidden/>
    <w:rsid w:val="008E3C1B"/>
    <w:rPr>
      <w:sz w:val="24"/>
    </w:rPr>
  </w:style>
  <w:style w:type="paragraph" w:styleId="BalloonText">
    <w:name w:val="Balloon Text"/>
    <w:basedOn w:val="Normal"/>
    <w:link w:val="BalloonTextChar"/>
    <w:semiHidden/>
    <w:unhideWhenUsed/>
    <w:rsid w:val="00543436"/>
    <w:rPr>
      <w:rFonts w:ascii="Segoe UI" w:hAnsi="Segoe UI" w:cs="Segoe UI"/>
      <w:sz w:val="18"/>
      <w:szCs w:val="18"/>
    </w:rPr>
  </w:style>
  <w:style w:type="character" w:customStyle="1" w:styleId="BalloonTextChar">
    <w:name w:val="Balloon Text Char"/>
    <w:basedOn w:val="DefaultParagraphFont"/>
    <w:link w:val="BalloonText"/>
    <w:semiHidden/>
    <w:rsid w:val="00543436"/>
    <w:rPr>
      <w:rFonts w:ascii="Segoe UI" w:hAnsi="Segoe UI" w:cs="Segoe UI"/>
      <w:sz w:val="18"/>
      <w:szCs w:val="18"/>
    </w:rPr>
  </w:style>
  <w:style w:type="paragraph" w:customStyle="1" w:styleId="RollCallSymbols14pt">
    <w:name w:val="RollCallSymbols14pt"/>
    <w:basedOn w:val="Normal"/>
    <w:rsid w:val="00647C6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47C6C"/>
    <w:pPr>
      <w:tabs>
        <w:tab w:val="center" w:pos="284"/>
        <w:tab w:val="left" w:pos="426"/>
      </w:tabs>
    </w:pPr>
    <w:rPr>
      <w:snapToGrid w:val="0"/>
      <w:lang w:eastAsia="en-US"/>
    </w:rPr>
  </w:style>
  <w:style w:type="paragraph" w:customStyle="1" w:styleId="RollCallVotes">
    <w:name w:val="RollCallVotes"/>
    <w:basedOn w:val="Normal"/>
    <w:rsid w:val="00647C6C"/>
    <w:pPr>
      <w:spacing w:before="120" w:after="120"/>
      <w:jc w:val="center"/>
    </w:pPr>
    <w:rPr>
      <w:b/>
      <w:bCs/>
      <w:snapToGrid w:val="0"/>
      <w:sz w:val="16"/>
      <w:lang w:eastAsia="en-US"/>
    </w:rPr>
  </w:style>
  <w:style w:type="paragraph" w:customStyle="1" w:styleId="RollCallTable">
    <w:name w:val="RollCallTable"/>
    <w:basedOn w:val="Normal"/>
    <w:rsid w:val="00647C6C"/>
    <w:pPr>
      <w:spacing w:before="120" w:after="120"/>
    </w:pPr>
    <w:rPr>
      <w:snapToGrid w:val="0"/>
      <w:sz w:val="16"/>
      <w:lang w:eastAsia="en-US"/>
    </w:rPr>
  </w:style>
  <w:style w:type="paragraph" w:customStyle="1" w:styleId="Normal24a">
    <w:name w:val="Normal24a"/>
    <w:basedOn w:val="Normal"/>
    <w:rsid w:val="001B663A"/>
    <w:pPr>
      <w:spacing w:after="480"/>
    </w:pPr>
  </w:style>
  <w:style w:type="paragraph" w:customStyle="1" w:styleId="NormalBoldCenter">
    <w:name w:val="NormalBoldCenter"/>
    <w:basedOn w:val="Normal"/>
    <w:rsid w:val="001B663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1119</Words>
  <Characters>7135</Characters>
  <Application>Microsoft Office Word</Application>
  <DocSecurity>0</DocSecurity>
  <Lines>173</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2024-02-08T11:07:00Z</dcterms:created>
  <dcterms:modified xsi:type="dcterms:W3CDTF">2024-02-08T11:07:00Z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1295226</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AD\1295226DA.docx</vt:lpwstr>
  </property>
  <property fmtid="{D5CDD505-2E9C-101B-9397-08002B2CF9AE}" pid="10" name="LastEdited with">
    <vt:lpwstr>9.17.1 Build [20240101]</vt:lpwstr>
  </property>
  <property fmtid="{D5CDD505-2E9C-101B-9397-08002B2CF9AE}" pid="11" name="PE number">
    <vt:lpwstr>756.194</vt:lpwstr>
  </property>
  <property fmtid="{D5CDD505-2E9C-101B-9397-08002B2CF9AE}" pid="12" name="SDLStudio">
    <vt:lpwstr/>
  </property>
  <property fmtid="{D5CDD505-2E9C-101B-9397-08002B2CF9AE}" pid="13" name="SendToEpades">
    <vt:lpwstr>OK - 2024/01/25 13:19</vt:lpwstr>
  </property>
  <property fmtid="{D5CDD505-2E9C-101B-9397-08002B2CF9AE}" pid="14" name="Bookout">
    <vt:lpwstr>OK - 2024/02/08 12:07</vt:lpwstr>
  </property>
</Properties>
</file>