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5325B" w:rsidTr="00C85D0F">
        <w:trPr>
          <w:trHeight w:hRule="exact" w:val="1418"/>
        </w:trPr>
        <w:tc>
          <w:tcPr>
            <w:tcW w:w="6804" w:type="dxa"/>
            <w:shd w:val="clear" w:color="auto" w:fill="auto"/>
            <w:vAlign w:val="center"/>
          </w:tcPr>
          <w:p w:rsidR="00854CAC" w:rsidRPr="00C12090" w:rsidRDefault="00B64213" w:rsidP="00C85D0F">
            <w:pPr>
              <w:pStyle w:val="EPName"/>
            </w:pPr>
            <w:r>
              <w:t>Europäisches Parlament</w:t>
            </w:r>
          </w:p>
          <w:p w:rsidR="00854CAC" w:rsidRPr="00C12090" w:rsidRDefault="00B64213" w:rsidP="00D20F6F">
            <w:pPr>
              <w:pStyle w:val="EPTerm"/>
            </w:pPr>
            <w:r>
              <w:t>2019-2024</w:t>
            </w:r>
          </w:p>
        </w:tc>
        <w:tc>
          <w:tcPr>
            <w:tcW w:w="2268" w:type="dxa"/>
            <w:shd w:val="clear" w:color="auto" w:fill="auto"/>
          </w:tcPr>
          <w:p w:rsidR="00854CAC" w:rsidRPr="00C12090" w:rsidRDefault="00B64213" w:rsidP="00C85D0F">
            <w:pPr>
              <w:pStyle w:val="EPLogo"/>
            </w:pPr>
            <w:r w:rsidRPr="00C120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C12090" w:rsidRDefault="001746D0" w:rsidP="001746D0">
      <w:pPr>
        <w:pStyle w:val="LineTop"/>
      </w:pPr>
    </w:p>
    <w:p w:rsidR="001746D0" w:rsidRPr="00C12090" w:rsidRDefault="00B64213" w:rsidP="001746D0">
      <w:pPr>
        <w:pStyle w:val="EPBody"/>
      </w:pPr>
      <w:r>
        <w:rPr>
          <w:rStyle w:val="HideTWBExt"/>
        </w:rPr>
        <w:t>&lt;</w:t>
      </w:r>
      <w:r>
        <w:rPr>
          <w:rStyle w:val="HideTWBExt"/>
          <w:i w:val="0"/>
        </w:rPr>
        <w:t>Commission</w:t>
      </w:r>
      <w:r>
        <w:rPr>
          <w:rStyle w:val="HideTWBExt"/>
        </w:rPr>
        <w:t>&gt;</w:t>
      </w:r>
      <w:r>
        <w:rPr>
          <w:rStyle w:val="HideTWBInt"/>
          <w:color w:val="auto"/>
        </w:rPr>
        <w:t>{LIBE}</w:t>
      </w:r>
      <w:r>
        <w:t>Ausschuss für bürgerliche Freiheiten, Justiz und Inneres</w:t>
      </w:r>
      <w:r>
        <w:rPr>
          <w:rStyle w:val="HideTWBExt"/>
        </w:rPr>
        <w:t>&lt;/</w:t>
      </w:r>
      <w:r>
        <w:rPr>
          <w:rStyle w:val="HideTWBExt"/>
          <w:i w:val="0"/>
        </w:rPr>
        <w:t>Commission</w:t>
      </w:r>
      <w:r>
        <w:rPr>
          <w:rStyle w:val="HideTWBExt"/>
        </w:rPr>
        <w:t>&gt;</w:t>
      </w:r>
    </w:p>
    <w:p w:rsidR="001746D0" w:rsidRPr="00C12090" w:rsidRDefault="001746D0" w:rsidP="001746D0">
      <w:pPr>
        <w:pStyle w:val="LineBottom"/>
      </w:pPr>
    </w:p>
    <w:p w:rsidR="002E2F2E" w:rsidRPr="00C12090" w:rsidRDefault="00B64213">
      <w:pPr>
        <w:pStyle w:val="CoverReference"/>
      </w:pPr>
      <w:r>
        <w:rPr>
          <w:rStyle w:val="HideTWBExt"/>
          <w:b w:val="0"/>
        </w:rPr>
        <w:t>&lt;RefProc&gt;</w:t>
      </w:r>
      <w:r>
        <w:t>2023/2157</w:t>
      </w:r>
      <w:r>
        <w:rPr>
          <w:rStyle w:val="HideTWBExt"/>
          <w:b w:val="0"/>
        </w:rPr>
        <w:t>&lt;/RefProc&gt;&lt;RefTypeProc&gt;</w:t>
      </w:r>
      <w:r>
        <w:t>(DEC)</w:t>
      </w:r>
      <w:r>
        <w:rPr>
          <w:rStyle w:val="HideTWBExt"/>
          <w:b w:val="0"/>
        </w:rPr>
        <w:t>&lt;/RefTypeProc&gt;</w:t>
      </w:r>
    </w:p>
    <w:p w:rsidR="002E2F2E" w:rsidRPr="00C12090" w:rsidRDefault="00B64213">
      <w:pPr>
        <w:pStyle w:val="CoverDate"/>
      </w:pPr>
      <w:r>
        <w:rPr>
          <w:rStyle w:val="HideTWBExt"/>
        </w:rPr>
        <w:t>&lt;Date&gt;</w:t>
      </w:r>
      <w:r>
        <w:rPr>
          <w:rStyle w:val="HideTWBInt"/>
          <w:color w:val="auto"/>
        </w:rPr>
        <w:t>{24/01/2024}</w:t>
      </w:r>
      <w:r>
        <w:t>24.1.2024</w:t>
      </w:r>
      <w:r>
        <w:rPr>
          <w:rStyle w:val="HideTWBExt"/>
        </w:rPr>
        <w:t>&lt;/Date&gt;</w:t>
      </w:r>
    </w:p>
    <w:p w:rsidR="002E2F2E" w:rsidRPr="00C12090" w:rsidRDefault="00B64213">
      <w:pPr>
        <w:pStyle w:val="CoverDocType24a"/>
      </w:pPr>
      <w:r>
        <w:rPr>
          <w:rStyle w:val="HideTWBExt"/>
          <w:b w:val="0"/>
        </w:rPr>
        <w:t>&lt;TitreType&gt;</w:t>
      </w:r>
      <w:r>
        <w:t>STELLUNGNAHME</w:t>
      </w:r>
      <w:r>
        <w:rPr>
          <w:rStyle w:val="HideTWBExt"/>
          <w:b w:val="0"/>
        </w:rPr>
        <w:t>&lt;/TitreType&gt;</w:t>
      </w:r>
    </w:p>
    <w:p w:rsidR="002E2F2E" w:rsidRPr="00C12090" w:rsidRDefault="00B64213">
      <w:pPr>
        <w:pStyle w:val="CoverNormal24a"/>
      </w:pPr>
      <w:r>
        <w:rPr>
          <w:rStyle w:val="HideTWBExt"/>
        </w:rPr>
        <w:t>&lt;CommissionResp&gt;</w:t>
      </w:r>
      <w:r>
        <w:t>des Ausschusses für bürgerliche Freiheiten, Justiz und Inneres</w:t>
      </w:r>
      <w:r>
        <w:rPr>
          <w:rStyle w:val="HideTWBExt"/>
        </w:rPr>
        <w:t>&lt;/CommissionResp&gt;</w:t>
      </w:r>
    </w:p>
    <w:p w:rsidR="002E2F2E" w:rsidRPr="00C12090" w:rsidRDefault="00B64213">
      <w:pPr>
        <w:pStyle w:val="CoverNormal24a"/>
      </w:pPr>
      <w:r>
        <w:rPr>
          <w:rStyle w:val="HideTWBExt"/>
        </w:rPr>
        <w:t>&lt;CommissionInt&gt;</w:t>
      </w:r>
      <w:r>
        <w:t>für den Haushaltskontrollausschuss</w:t>
      </w:r>
      <w:r>
        <w:rPr>
          <w:rStyle w:val="HideTWBExt"/>
        </w:rPr>
        <w:t>&lt;/CommissionInt&gt;</w:t>
      </w:r>
    </w:p>
    <w:p w:rsidR="003F5AC6" w:rsidRPr="00C12090" w:rsidRDefault="00B64213" w:rsidP="003F5AC6">
      <w:pPr>
        <w:pStyle w:val="CoverNormal"/>
      </w:pPr>
      <w:r>
        <w:rPr>
          <w:rStyle w:val="HideTWBExt"/>
        </w:rPr>
        <w:t>&lt;Titre&gt;</w:t>
      </w:r>
      <w:r>
        <w:t>zu der Entlastung für die Ausführung des Haushaltsplans der Europäischen B</w:t>
      </w:r>
      <w:r>
        <w:t>eobachtungsstelle für Drogen und Drogensucht für das Haushaltsjahr 2022</w:t>
      </w:r>
      <w:r>
        <w:rPr>
          <w:rStyle w:val="HideTWBExt"/>
        </w:rPr>
        <w:t>&lt;/Titre&gt;</w:t>
      </w:r>
    </w:p>
    <w:p w:rsidR="002E2F2E" w:rsidRPr="00C12090" w:rsidRDefault="00B64213" w:rsidP="003F5AC6">
      <w:pPr>
        <w:pStyle w:val="CoverNormal24a"/>
      </w:pPr>
      <w:r>
        <w:rPr>
          <w:rStyle w:val="HideTWBExt"/>
        </w:rPr>
        <w:t>&lt;DocRef&gt;</w:t>
      </w:r>
      <w:r>
        <w:t>(2023/2157(DEC))</w:t>
      </w:r>
      <w:r>
        <w:rPr>
          <w:rStyle w:val="HideTWBExt"/>
        </w:rPr>
        <w:t>&lt;/DocRef&gt;</w:t>
      </w:r>
    </w:p>
    <w:p w:rsidR="002E2F2E" w:rsidRPr="00C12090" w:rsidRDefault="00B64213">
      <w:pPr>
        <w:pStyle w:val="CoverNormal24a"/>
      </w:pPr>
      <w:r>
        <w:t xml:space="preserve">Verfasser der Stellungnahme: </w:t>
      </w:r>
      <w:r>
        <w:rPr>
          <w:rStyle w:val="HideTWBExt"/>
        </w:rPr>
        <w:t>&lt;Depute&gt;</w:t>
      </w:r>
      <w:r>
        <w:t>Tomáš Zdechovský</w:t>
      </w:r>
      <w:r>
        <w:rPr>
          <w:rStyle w:val="HideTWBExt"/>
        </w:rPr>
        <w:t>&lt;/Depute&gt;</w:t>
      </w:r>
    </w:p>
    <w:p w:rsidR="00A72C35" w:rsidRPr="00C12090" w:rsidRDefault="00A72C35" w:rsidP="00A72C35">
      <w:pPr>
        <w:pStyle w:val="CoverNormal"/>
      </w:pPr>
    </w:p>
    <w:p w:rsidR="002E2F2E" w:rsidRPr="00C12090" w:rsidRDefault="00B64213" w:rsidP="00E856D2">
      <w:pPr>
        <w:widowControl/>
        <w:tabs>
          <w:tab w:val="center" w:pos="4677"/>
        </w:tabs>
      </w:pPr>
      <w:r>
        <w:br w:type="page"/>
      </w:r>
      <w:r>
        <w:lastRenderedPageBreak/>
        <w:t>PA_NonLeg</w:t>
      </w:r>
    </w:p>
    <w:p w:rsidR="002E2F2E" w:rsidRPr="00C12090" w:rsidRDefault="00B64213">
      <w:pPr>
        <w:pStyle w:val="PageHeadingNotTOC"/>
      </w:pPr>
      <w:r>
        <w:br w:type="page"/>
      </w:r>
      <w:r>
        <w:lastRenderedPageBreak/>
        <w:t>VORSCHLÄGE</w:t>
      </w:r>
    </w:p>
    <w:p w:rsidR="00D20F6F" w:rsidRPr="00C12090" w:rsidRDefault="00B64213" w:rsidP="00D20F6F">
      <w:pPr>
        <w:pStyle w:val="Normal12a"/>
      </w:pPr>
      <w:r>
        <w:t xml:space="preserve">Der Ausschuss für bürgerliche Freiheiten, Justiz und </w:t>
      </w:r>
      <w:r>
        <w:t>Inneres ersucht den federführenden Haushaltskontrollausschuss, folgende Vorschläge in seinen Entschließungsantrag zu übernehmen:</w:t>
      </w:r>
    </w:p>
    <w:p w:rsidR="003F5AC6" w:rsidRPr="00C12090" w:rsidRDefault="00B64213" w:rsidP="003F5AC6">
      <w:pPr>
        <w:pStyle w:val="NormalHanging12a"/>
      </w:pPr>
      <w:bookmarkStart w:id="0" w:name="restart"/>
      <w:r>
        <w:t>1.</w:t>
      </w:r>
      <w:r>
        <w:tab/>
        <w:t xml:space="preserve">begrüßt, dass der Erklärung des Rechnungshofs zufolge die der Jahresrechnung der Europäischen Beobachtungsstelle für Drogen </w:t>
      </w:r>
      <w:r>
        <w:t>und Drogensucht (nachstehend die „Beobachtungsstelle“) für das Haushaltsjahr 2022 zugrunde liegenden Vorgänge in allen wesentlichen Belangen rechtmäßig und ordnungsgemäß sind; entnimmt dem Jahresbericht des Rechnungshofs über die Agenturen der EU für das J</w:t>
      </w:r>
      <w:r>
        <w:t>ahr 2022, dass sich der Haushalt der Beobachtungsstelle im Jahr 2022 auf 26 Mio. EUR belief, was einem Anstieg um 4 % gegenüber 2021 (25 Mio. EUR) entspricht, während der Personalbestand gemäß dem Beschluss der zuständigen Haushaltsbehörde unverändert blie</w:t>
      </w:r>
      <w:r>
        <w:t>b;</w:t>
      </w:r>
    </w:p>
    <w:bookmarkEnd w:id="0"/>
    <w:p w:rsidR="003F5AC6" w:rsidRPr="00C12090" w:rsidRDefault="00B64213" w:rsidP="003F5AC6">
      <w:pPr>
        <w:pStyle w:val="NormalHanging12a"/>
        <w:rPr>
          <w:szCs w:val="24"/>
        </w:rPr>
      </w:pPr>
      <w:r>
        <w:t>2.</w:t>
      </w:r>
      <w:r>
        <w:tab/>
        <w:t>begrüßt, dass angemessene Abhilfemaßnahmen ergriffen wurden, um den Bemerkungen des Rechnungshofs aus den Vorjahren Rechnung zu tragen; begrüßt die jährliche richtungsweisende Veröffentlichung, den Europäischen Drogenbericht 2022, das Statistische Bu</w:t>
      </w:r>
      <w:r>
        <w:t>lletin 2022 und den Mehrwert des EU-Frühwarnsystems für neue psychoaktive Substanzen, das die Beobachtungsstelle im Jahr 2022 seit 25 Jahren betreibt; begrüßt die Veröffentlichung von 69 Publikationen, darunter sieben Minileitfäden und drei Schwerpunktthem</w:t>
      </w:r>
      <w:r>
        <w:t>en im Rahmen des Leitberichts der Beobachtungsstelle mit dem Titel „Health and social responses to drug problems: a European guide“ (Gesundheitliche und soziale Reaktionen auf Drogenprobleme: ein europäischer Leitfaden); begrüßt die Organisation der vierte</w:t>
      </w:r>
      <w:r>
        <w:t>n Europäischen Konferenz über Suchtverhalten und Abhängigkeiten, die von der Beobachtungsstelle und ihren Partnern gemeinsam veranstaltet wurde; bestärkt die Beobachtungsstelle darin, ihre Tätigkeiten im Bereich des Wissensaustauschs fortzusetzen;</w:t>
      </w:r>
    </w:p>
    <w:p w:rsidR="003F5AC6" w:rsidRPr="00C12090" w:rsidRDefault="00B64213" w:rsidP="003F5AC6">
      <w:pPr>
        <w:pStyle w:val="NormalHanging12a"/>
        <w:rPr>
          <w:szCs w:val="24"/>
        </w:rPr>
      </w:pPr>
      <w:r>
        <w:t>3.</w:t>
      </w:r>
      <w:r>
        <w:tab/>
      </w:r>
      <w:r>
        <w:t>begrüßt die von der Beobachtungsstelle in Zusammenarbeit mit der Agentur der Europäischen Union für die Aus- und Fortbildung auf dem Gebiet der Strafverfolgung (CEPOL) durchgeführten drogenbezogenen Schulungsmaßnahmen, an denen 609 Angehörige der Strafverf</w:t>
      </w:r>
      <w:r>
        <w:t>olgungsbehörden aus der EU und Projektpartner der technischen Zusammenarbeit teilnahmen; begrüßt, dass im Jahr 2022 nahezu 950 im Drogenbereich tätige Fachkräfte, darunter Strafverfolgungsbeamte und politische Entscheidungsträger, an Schulungen der Beobach</w:t>
      </w:r>
      <w:r>
        <w:t xml:space="preserve">tungsstelle teilgenommen haben, während etwa 1 200 im Drogenbereich tätige Fachkräfte an den sieben von der Beobachtungsstelle veranstalteten Webinaren beteiligt waren; hebt die wichtige Rolle der Beobachtungsstelle hervor, wenn es darum geht, politischen </w:t>
      </w:r>
      <w:r>
        <w:t>Entscheidungsträgern und Fachkräften Analysen und Informationen über Drogen und Drogensucht im Bereich der öffentlichen Gesundheit zur Verfügung zu stellen;</w:t>
      </w:r>
    </w:p>
    <w:p w:rsidR="003F5AC6" w:rsidRPr="00C12090" w:rsidRDefault="00B64213" w:rsidP="003F5AC6">
      <w:pPr>
        <w:pStyle w:val="NormalHanging12a"/>
        <w:rPr>
          <w:szCs w:val="24"/>
        </w:rPr>
      </w:pPr>
      <w:r>
        <w:t>4.</w:t>
      </w:r>
      <w:r>
        <w:tab/>
        <w:t>begrüßt die unermüdlichen Bemühungen der Beobachtungsstelle, die sozialen Aspekte und gesellscha</w:t>
      </w:r>
      <w:r>
        <w:t>ftlichen Auswirkungen von Drogen aufzuzeigen, Maßnahmen zur sozialen Wiedereingliederung von Drogenkonsumenten zu fördern und das Thema Drogen aus einer multidisziplinären Perspektive anzugehen; hält es für wesentlich, das Bewusstsein für den Stellenwert d</w:t>
      </w:r>
      <w:r>
        <w:t xml:space="preserve">er Prävention und eines innovativen, auf die </w:t>
      </w:r>
      <w:r>
        <w:lastRenderedPageBreak/>
        <w:t>psychische Gesundheit ausgerichteten Ansatzes in der Drogenpolitik weiter zu schärfen;</w:t>
      </w:r>
    </w:p>
    <w:p w:rsidR="003F5AC6" w:rsidRPr="00C12090" w:rsidRDefault="00B64213" w:rsidP="003F5AC6">
      <w:pPr>
        <w:pStyle w:val="NormalHanging12a"/>
        <w:rPr>
          <w:szCs w:val="24"/>
        </w:rPr>
      </w:pPr>
      <w:r>
        <w:t>5.</w:t>
      </w:r>
      <w:r>
        <w:tab/>
        <w:t>weist darauf hin, dass die Tätigkeit der Beobachtungsstelle auf strategischen, evidenzbasierten Fähigkeiten zur Bewertung</w:t>
      </w:r>
      <w:r>
        <w:t xml:space="preserve"> der Gefahrenlage bezüglich Gesundheit und Sicherheit beruht, um neue Entwicklungen des Drogenphänomens, die sich negativ auf die Gesundheit, soziale Angelegenheiten oder die Sicherheit in der Union auswirken könnten, frühzeitig zu ermitteln; weist darauf </w:t>
      </w:r>
      <w:r>
        <w:t>hin, dass die Bewertung der Gefahrenlage bezüglich Gesundheit in der Tätigkeit der Beobachtungsstelle gleichermaßen berücksichtigt werden sollte;</w:t>
      </w:r>
    </w:p>
    <w:p w:rsidR="003F5AC6" w:rsidRPr="00C12090" w:rsidRDefault="00B64213" w:rsidP="003F5AC6">
      <w:pPr>
        <w:pStyle w:val="NormalHanging12a"/>
      </w:pPr>
      <w:r>
        <w:t>6.</w:t>
      </w:r>
      <w:r>
        <w:tab/>
        <w:t>begrüßt die von der Beobachtungsstelle in Zusammenarbeit mit Europol erzielten Fortschritte in Bezug auf di</w:t>
      </w:r>
      <w:r>
        <w:t>e gemeinsame Analyse zu dem Thema „EU Drug Markets: In-depth analysis“ (EU-Drogenmärkte: eingehende Analyse), wobei im Laufe des Jahres 2022 Module zu bestimmten Drogen veröffentlicht werden und weitere Module für 2023 geplant sind; begrüßt die für 2022 ge</w:t>
      </w:r>
      <w:r>
        <w:t>planten Tätigkeiten zur Verbesserung der Qualität und Verfügbarkeit von Kernversorgungsdaten in Zusammenarbeit mit den nationalen Kontaktstellen von Reitox und Europol; begrüßt die Umsetzung aller Aufgaben der Beobachtungsstelle im Rahmen der operativen Ak</w:t>
      </w:r>
      <w:r>
        <w:t>tionspläne der multidisziplinären Plattform gegen kriminelle Bedrohungen zu Cannabis, Kokain und Heroin;</w:t>
      </w:r>
      <w:r>
        <w:rPr>
          <w:rStyle w:val="FootnoteReference"/>
        </w:rPr>
        <w:t xml:space="preserve"> </w:t>
      </w:r>
      <w:r>
        <w:t>weist darauf hin, dass der Drogenhandel als eine der wichtigsten Einnahmequellen und als Anwerbemöglichkeit für organisierte Kriminalität und Terrorism</w:t>
      </w:r>
      <w:r>
        <w:t>us ausgemacht wurde, und hebt den Beitrag hervor, den die Beobachtungsstelle zu einem sicheren Europa leistet;</w:t>
      </w:r>
    </w:p>
    <w:p w:rsidR="003F5AC6" w:rsidRPr="00C12090" w:rsidRDefault="00B64213" w:rsidP="003F5AC6">
      <w:pPr>
        <w:pStyle w:val="NormalHanging12a"/>
        <w:rPr>
          <w:szCs w:val="24"/>
        </w:rPr>
      </w:pPr>
      <w:r>
        <w:t>7.</w:t>
      </w:r>
      <w:r>
        <w:tab/>
        <w:t xml:space="preserve">begrüßt die Ressourcenseite „EMCDDA 4 Ukraine“, die für Fachkräfte eingerichtet wurde, die in Europa im Drogenbereich tätig sind und Personen </w:t>
      </w:r>
      <w:r>
        <w:t xml:space="preserve">unterstützen, die aus der Ukraine vertrieben wurden; </w:t>
      </w:r>
    </w:p>
    <w:p w:rsidR="003F5AC6" w:rsidRPr="00C12090" w:rsidRDefault="00B64213" w:rsidP="003F5AC6">
      <w:pPr>
        <w:pStyle w:val="NormalHanging12a"/>
      </w:pPr>
      <w:r>
        <w:t>8.</w:t>
      </w:r>
      <w:r>
        <w:tab/>
        <w:t>begrüßt die laufende Zusammenarbeit zwischen der Beobachtungsstelle und den Partnerländern der Europäischen Nachbarschaftspolitik auf regionaler Ebene im Rahmen des EU4MD-Projekts für technische Hilf</w:t>
      </w:r>
      <w:r>
        <w:t>e sowie die laufende Durchführung des bilateralen Projekts mit Georgien „EMCDDA4GE“; begrüßt die Gründung einer offiziellen Partnerschaft im Rahmen des Kooperationsprogramms zwischen Lateinamerika, der Karibik und der Europäischen Union zur Drogenpolitik;</w:t>
      </w:r>
    </w:p>
    <w:p w:rsidR="00837A53" w:rsidRPr="00C12090" w:rsidRDefault="00B64213" w:rsidP="003F5AC6">
      <w:pPr>
        <w:widowControl/>
        <w:tabs>
          <w:tab w:val="left" w:pos="-720"/>
        </w:tabs>
        <w:ind w:left="567" w:hanging="567"/>
      </w:pPr>
      <w:r>
        <w:t>9.</w:t>
      </w:r>
      <w:r>
        <w:tab/>
        <w:t>begrüßt die Zusammenarbeit der Beobachtungsstelle mit anderen Agenturen und ihren Beitrag zum Netz der JI‑Agenturen; begrüßt die kontinuierliche Zusammenarbeit der Beobachtungsstelle mit nationalen Drogenagenturen, Drittländern und internationalen Organ</w:t>
      </w:r>
      <w:r>
        <w:t>isationen wie dem UNODC und der WHO.</w:t>
      </w:r>
    </w:p>
    <w:p w:rsidR="00837A53" w:rsidRPr="00C12090" w:rsidRDefault="00B64213" w:rsidP="00837A53">
      <w:r>
        <w:br w:type="page"/>
      </w:r>
    </w:p>
    <w:p w:rsidR="00837A53" w:rsidRPr="00C12090" w:rsidRDefault="00B64213" w:rsidP="00837A53">
      <w:pPr>
        <w:pStyle w:val="PageHeadingNotTOC"/>
      </w:pPr>
      <w:bookmarkStart w:id="1" w:name="ProcPageAD"/>
      <w:r>
        <w:lastRenderedPageBreak/>
        <w:t>ANGABEN ZUR ANNAHME IM MITBERATENDEN AUSSCHUSS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0532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7A53" w:rsidRPr="00C12090" w:rsidRDefault="00B64213">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7A53" w:rsidRPr="00C12090" w:rsidRDefault="00837A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7A53" w:rsidRPr="00C12090" w:rsidRDefault="00837A53">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7A53" w:rsidRPr="00C12090" w:rsidRDefault="00837A53">
            <w:pPr>
              <w:autoSpaceDE w:val="0"/>
              <w:autoSpaceDN w:val="0"/>
              <w:adjustRightInd w:val="0"/>
              <w:rPr>
                <w:rFonts w:ascii="sans-serif" w:hAnsi="sans-serif" w:cs="sans-serif"/>
                <w:color w:val="000000"/>
                <w:szCs w:val="24"/>
              </w:rPr>
            </w:pPr>
          </w:p>
        </w:tc>
      </w:tr>
      <w:tr w:rsidR="000532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7A53" w:rsidRPr="00C12090" w:rsidRDefault="00B64213">
            <w:pPr>
              <w:autoSpaceDE w:val="0"/>
              <w:autoSpaceDN w:val="0"/>
              <w:adjustRightInd w:val="0"/>
              <w:rPr>
                <w:color w:val="000000"/>
                <w:sz w:val="20"/>
              </w:rPr>
            </w:pPr>
            <w:r>
              <w:rPr>
                <w:color w:val="000000"/>
                <w:sz w:val="20"/>
              </w:rPr>
              <w:t>+:</w:t>
            </w:r>
          </w:p>
          <w:p w:rsidR="00837A53" w:rsidRPr="00C12090" w:rsidRDefault="00B64213">
            <w:pPr>
              <w:autoSpaceDE w:val="0"/>
              <w:autoSpaceDN w:val="0"/>
              <w:adjustRightInd w:val="0"/>
              <w:rPr>
                <w:color w:val="000000"/>
                <w:sz w:val="20"/>
              </w:rPr>
            </w:pPr>
            <w:r>
              <w:rPr>
                <w:color w:val="000000"/>
                <w:sz w:val="20"/>
              </w:rPr>
              <w:t>–:</w:t>
            </w:r>
          </w:p>
          <w:p w:rsidR="00837A53" w:rsidRPr="00C12090" w:rsidRDefault="00B64213">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color w:val="000000"/>
                <w:sz w:val="20"/>
              </w:rPr>
            </w:pPr>
            <w:r>
              <w:rPr>
                <w:color w:val="000000"/>
                <w:sz w:val="20"/>
              </w:rPr>
              <w:t>52</w:t>
            </w:r>
          </w:p>
          <w:p w:rsidR="00837A53" w:rsidRPr="00C12090" w:rsidRDefault="00B64213">
            <w:pPr>
              <w:autoSpaceDE w:val="0"/>
              <w:autoSpaceDN w:val="0"/>
              <w:adjustRightInd w:val="0"/>
              <w:rPr>
                <w:color w:val="000000"/>
                <w:sz w:val="20"/>
              </w:rPr>
            </w:pPr>
            <w:r>
              <w:rPr>
                <w:color w:val="000000"/>
                <w:sz w:val="20"/>
              </w:rPr>
              <w:t>1</w:t>
            </w:r>
          </w:p>
          <w:p w:rsidR="00837A53" w:rsidRPr="00C12090" w:rsidRDefault="00B64213">
            <w:pPr>
              <w:autoSpaceDE w:val="0"/>
              <w:autoSpaceDN w:val="0"/>
              <w:adjustRightInd w:val="0"/>
              <w:rPr>
                <w:color w:val="000000"/>
                <w:sz w:val="20"/>
              </w:rPr>
            </w:pPr>
            <w:r>
              <w:rPr>
                <w:color w:val="000000"/>
                <w:sz w:val="20"/>
              </w:rPr>
              <w:t>3</w:t>
            </w:r>
          </w:p>
        </w:tc>
      </w:tr>
      <w:tr w:rsidR="0005325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color w:val="000000"/>
                <w:sz w:val="20"/>
              </w:rPr>
            </w:pPr>
            <w:r>
              <w:rPr>
                <w:color w:val="000000"/>
                <w:sz w:val="20"/>
              </w:rPr>
              <w:t xml:space="preserve">Magdalena Adamowicz, Abir </w:t>
            </w:r>
            <w:r>
              <w:rPr>
                <w:color w:val="000000"/>
                <w:sz w:val="20"/>
              </w:rPr>
              <w:t>Al-Sahlani, Katarina Barley, Pietro Bartolo, Theresa Bielowski, Patrick Breyer, Saskia Bricmont, Jorge Buxadé Villalba, Damien Carême, Patricia Chagnon, Lena Düpont, Lucia Ďuriš Nicholsonová, Cornelia Ernst, Laura Ferrara, Nicolaus Fest, Maria Grapini, Syl</w:t>
            </w:r>
            <w:r>
              <w:rPr>
                <w:color w:val="000000"/>
                <w:sz w:val="20"/>
              </w:rPr>
              <w:t>vie Guillaume, Andrzej Halicki, Evin Incir, Sophia in ‘t Veld, Patryk Jaki, Marina Kaljurand, Assita Kanko, Łukasz Kohut, Moritz Körner, Alice Kuhnke, Jeroen Lenaers, Juan Fernando López Aguilar, Erik Marquardt, Javier Moreno Sánchez, Maite Pagazaurtundúa,</w:t>
            </w:r>
            <w:r>
              <w:rPr>
                <w:color w:val="000000"/>
                <w:sz w:val="20"/>
              </w:rPr>
              <w:t xml:space="preserve"> Diana Riba i Giner, Isabel Santos, Birgit Sippel, Vincenzo Sofo, Tineke Strik, Jana Toom, Milan Uhrík, Tom Vandendriessche, Elissavet Vozemberg-Vrionidi, Javier Zarzalejos</w:t>
            </w:r>
          </w:p>
        </w:tc>
      </w:tr>
      <w:tr w:rsidR="0005325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b/>
                <w:bCs/>
                <w:color w:val="000000"/>
                <w:sz w:val="20"/>
              </w:rPr>
            </w:pPr>
            <w:r>
              <w:rPr>
                <w:b/>
                <w:color w:val="000000"/>
                <w:sz w:val="20"/>
              </w:rPr>
              <w:t>Zum Zeitpunkt der Schlussabstimmung anwesende Stellvertreter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color w:val="000000"/>
                <w:sz w:val="20"/>
              </w:rPr>
            </w:pPr>
            <w:r>
              <w:rPr>
                <w:color w:val="000000"/>
                <w:sz w:val="20"/>
              </w:rPr>
              <w:t>Cyrus Engerer, José G</w:t>
            </w:r>
            <w:r>
              <w:rPr>
                <w:color w:val="000000"/>
                <w:sz w:val="20"/>
              </w:rPr>
              <w:t>usmão, Beata Kempa, Leopoldo López Gil, Janina Ochojska, Anne-Sophie Pelletier, Bergur Løkke Rasmussen, Róża Thun und Hohenstein, Maria Walsh, Tomáš Zdechovský</w:t>
            </w:r>
          </w:p>
        </w:tc>
      </w:tr>
      <w:tr w:rsidR="0005325B" w:rsidRPr="00B6421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7A53" w:rsidRPr="00C12090" w:rsidRDefault="00B64213">
            <w:pPr>
              <w:autoSpaceDE w:val="0"/>
              <w:autoSpaceDN w:val="0"/>
              <w:adjustRightInd w:val="0"/>
              <w:rPr>
                <w:b/>
                <w:bCs/>
                <w:color w:val="000000"/>
                <w:sz w:val="20"/>
              </w:rPr>
            </w:pPr>
            <w:r>
              <w:rPr>
                <w:b/>
                <w:color w:val="000000"/>
                <w:sz w:val="20"/>
              </w:rPr>
              <w:t>Zum Zeitpunkt der Schlussabstimmung anwesende Stellv. (Art. 209 Abs.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7A53" w:rsidRPr="00B64213" w:rsidRDefault="00B64213">
            <w:pPr>
              <w:autoSpaceDE w:val="0"/>
              <w:autoSpaceDN w:val="0"/>
              <w:adjustRightInd w:val="0"/>
              <w:rPr>
                <w:color w:val="000000"/>
                <w:sz w:val="20"/>
                <w:lang w:val="pt-PT"/>
              </w:rPr>
            </w:pPr>
            <w:r w:rsidRPr="00B64213">
              <w:rPr>
                <w:color w:val="000000"/>
                <w:sz w:val="20"/>
                <w:lang w:val="pt-PT"/>
              </w:rPr>
              <w:t>Andrus Ansip, Hildegard</w:t>
            </w:r>
            <w:r w:rsidRPr="00B64213">
              <w:rPr>
                <w:color w:val="000000"/>
                <w:sz w:val="20"/>
                <w:lang w:val="pt-PT"/>
              </w:rPr>
              <w:t xml:space="preserve"> Bentele, Maria da Graça Carvalho, Marisa Matias, Caroline Nagtegaal</w:t>
            </w:r>
          </w:p>
        </w:tc>
      </w:tr>
    </w:tbl>
    <w:p w:rsidR="00837A53" w:rsidRPr="00B64213" w:rsidRDefault="00837A53">
      <w:pPr>
        <w:rPr>
          <w:lang w:val="pt-PT"/>
        </w:rPr>
      </w:pPr>
    </w:p>
    <w:bookmarkEnd w:id="1"/>
    <w:p w:rsidR="003F5AC6" w:rsidRPr="00B64213" w:rsidRDefault="00B64213">
      <w:pPr>
        <w:widowControl/>
        <w:rPr>
          <w:lang w:val="pt-PT"/>
        </w:rPr>
      </w:pPr>
      <w:r w:rsidRPr="00B64213">
        <w:rPr>
          <w:lang w:val="pt-PT"/>
        </w:rPr>
        <w:br w:type="page"/>
      </w:r>
    </w:p>
    <w:p w:rsidR="003F5AC6" w:rsidRPr="00C12090" w:rsidRDefault="00B64213" w:rsidP="003F5AC6">
      <w:pPr>
        <w:pStyle w:val="PageHeadingNotTOC"/>
        <w:rPr>
          <w:noProof/>
        </w:rPr>
      </w:pPr>
      <w:r>
        <w:lastRenderedPageBreak/>
        <w:t>ANLAGE: EINRICHTUNGEN ODER PERSONEN,</w:t>
      </w:r>
      <w:bookmarkStart w:id="2" w:name="_GoBack"/>
      <w:bookmarkEnd w:id="2"/>
      <w:r>
        <w:br/>
        <w:t>VON DENEN DER VERFASSER DER STELLUNGNAHME BEITRÄGE ERHALTEN HAT</w:t>
      </w:r>
    </w:p>
    <w:p w:rsidR="003F5AC6" w:rsidRPr="00C12090" w:rsidRDefault="00B64213" w:rsidP="003F5AC6">
      <w:pPr>
        <w:sectPr w:rsidR="003F5AC6" w:rsidRPr="00C12090" w:rsidSect="00C1209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Pr>
          <w:rStyle w:val="HideTWBExt"/>
        </w:rPr>
        <w:t>&lt;FootprintIntro&gt;</w:t>
      </w:r>
      <w:r>
        <w:t>Der Verfasser der Stellungnahme erklärt unter seiner ausschlie</w:t>
      </w:r>
      <w:r>
        <w:t>ßlichen Verantwortung, dass er keine Beiträge von Einrichtungen oder Personen erhalten hat, die gemäß Anlage I Artikel 8 der Geschäftsordnung in dieser Anlage aufgeführt werden müssen.</w:t>
      </w:r>
      <w:r>
        <w:rPr>
          <w:rStyle w:val="HideTWBExt"/>
        </w:rPr>
        <w:t>&lt;/FootprintIntro</w:t>
      </w:r>
      <w:r>
        <w:t>&gt;</w:t>
      </w:r>
    </w:p>
    <w:p w:rsidR="003F5AC6" w:rsidRPr="00C12090" w:rsidRDefault="00B64213" w:rsidP="00C36610">
      <w:pPr>
        <w:pStyle w:val="PageHeadingNotTOC"/>
      </w:pPr>
      <w:bookmarkStart w:id="3" w:name="RollCallPageAD"/>
      <w:r>
        <w:lastRenderedPageBreak/>
        <w:t>NAMENTLICHE SCHLUSSABSTIMMUNG IM MITBERATENDEN AUSSCHU</w:t>
      </w:r>
      <w:r>
        <w:t>SS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25B" w:rsidTr="00DD276B">
        <w:trPr>
          <w:cantSplit/>
        </w:trPr>
        <w:tc>
          <w:tcPr>
            <w:tcW w:w="1701" w:type="dxa"/>
            <w:shd w:val="pct10" w:color="000000" w:fill="FFFFFF"/>
            <w:vAlign w:val="center"/>
          </w:tcPr>
          <w:p w:rsidR="003F5AC6" w:rsidRPr="00C12090" w:rsidRDefault="00B64213" w:rsidP="00DD276B">
            <w:pPr>
              <w:pStyle w:val="RollCallVotes"/>
            </w:pPr>
            <w:r>
              <w:t>52</w:t>
            </w:r>
          </w:p>
        </w:tc>
        <w:tc>
          <w:tcPr>
            <w:tcW w:w="7371" w:type="dxa"/>
            <w:shd w:val="pct10" w:color="000000" w:fill="FFFFFF"/>
          </w:tcPr>
          <w:p w:rsidR="003F5AC6" w:rsidRPr="00C12090" w:rsidRDefault="00B64213" w:rsidP="00DD276B">
            <w:pPr>
              <w:pStyle w:val="RollCallSymbols14pt"/>
            </w:pPr>
            <w:r>
              <w:t>+</w:t>
            </w:r>
          </w:p>
        </w:tc>
      </w:tr>
      <w:tr w:rsidR="0005325B" w:rsidTr="00DD276B">
        <w:trPr>
          <w:cantSplit/>
        </w:trPr>
        <w:tc>
          <w:tcPr>
            <w:tcW w:w="1701" w:type="dxa"/>
            <w:shd w:val="clear" w:color="auto" w:fill="FFFFFF"/>
          </w:tcPr>
          <w:p w:rsidR="003F5AC6" w:rsidRPr="00C12090" w:rsidRDefault="00B64213" w:rsidP="00DD276B">
            <w:pPr>
              <w:pStyle w:val="RollCallTable"/>
            </w:pPr>
            <w:r>
              <w:t>ECR</w:t>
            </w:r>
          </w:p>
        </w:tc>
        <w:tc>
          <w:tcPr>
            <w:tcW w:w="7371" w:type="dxa"/>
            <w:shd w:val="clear" w:color="auto" w:fill="FFFFFF"/>
          </w:tcPr>
          <w:p w:rsidR="003F5AC6" w:rsidRPr="00C12090" w:rsidRDefault="00B64213" w:rsidP="00DD276B">
            <w:pPr>
              <w:pStyle w:val="RollCallTable"/>
            </w:pPr>
            <w:r>
              <w:t>Jorge Buxadé Villalba, Patryk Jaki, Assita Kanko, Beata Kempa, Vincenzo Sofo</w:t>
            </w:r>
          </w:p>
        </w:tc>
      </w:tr>
      <w:tr w:rsidR="0005325B" w:rsidTr="00DD276B">
        <w:trPr>
          <w:cantSplit/>
        </w:trPr>
        <w:tc>
          <w:tcPr>
            <w:tcW w:w="1701" w:type="dxa"/>
            <w:shd w:val="clear" w:color="auto" w:fill="FFFFFF"/>
          </w:tcPr>
          <w:p w:rsidR="003F5AC6" w:rsidRPr="00C12090" w:rsidRDefault="00B64213" w:rsidP="00DD276B">
            <w:pPr>
              <w:pStyle w:val="RollCallTable"/>
            </w:pPr>
            <w:r>
              <w:t>NI</w:t>
            </w:r>
          </w:p>
        </w:tc>
        <w:tc>
          <w:tcPr>
            <w:tcW w:w="7371" w:type="dxa"/>
            <w:shd w:val="clear" w:color="auto" w:fill="FFFFFF"/>
          </w:tcPr>
          <w:p w:rsidR="003F5AC6" w:rsidRPr="00C12090" w:rsidRDefault="00B64213" w:rsidP="00DD276B">
            <w:pPr>
              <w:pStyle w:val="RollCallTable"/>
            </w:pPr>
            <w:r>
              <w:t>Laura Ferrara</w:t>
            </w:r>
          </w:p>
        </w:tc>
      </w:tr>
      <w:tr w:rsidR="0005325B" w:rsidTr="00DD276B">
        <w:trPr>
          <w:cantSplit/>
        </w:trPr>
        <w:tc>
          <w:tcPr>
            <w:tcW w:w="1701" w:type="dxa"/>
            <w:shd w:val="clear" w:color="auto" w:fill="FFFFFF"/>
          </w:tcPr>
          <w:p w:rsidR="003F5AC6" w:rsidRPr="00C12090" w:rsidRDefault="00B64213" w:rsidP="00DD276B">
            <w:pPr>
              <w:pStyle w:val="RollCallTable"/>
            </w:pPr>
            <w:r>
              <w:t>PPE</w:t>
            </w:r>
          </w:p>
        </w:tc>
        <w:tc>
          <w:tcPr>
            <w:tcW w:w="7371" w:type="dxa"/>
            <w:shd w:val="clear" w:color="auto" w:fill="FFFFFF"/>
          </w:tcPr>
          <w:p w:rsidR="003F5AC6" w:rsidRPr="00C12090" w:rsidRDefault="00B64213" w:rsidP="00DD276B">
            <w:pPr>
              <w:pStyle w:val="RollCallTable"/>
            </w:pPr>
            <w:r>
              <w:t xml:space="preserve">Magdalena Adamowicz, Hildegard Bentele, Maria da Graça Carvalho, Lena Düpont, Andrzej Halicki, Jeroen Lenaers, Leopoldo López Gil, Janina </w:t>
            </w:r>
            <w:r>
              <w:t>Ochojska, Elissavet Vozemberg-Vrionidi, Maria Walsh, Javier Zarzalejos, Tomáš Zdechovský</w:t>
            </w:r>
          </w:p>
        </w:tc>
      </w:tr>
      <w:tr w:rsidR="0005325B" w:rsidTr="00DD276B">
        <w:trPr>
          <w:cantSplit/>
        </w:trPr>
        <w:tc>
          <w:tcPr>
            <w:tcW w:w="1701" w:type="dxa"/>
            <w:shd w:val="clear" w:color="auto" w:fill="FFFFFF"/>
          </w:tcPr>
          <w:p w:rsidR="003F5AC6" w:rsidRPr="00C12090" w:rsidRDefault="00B64213" w:rsidP="00DD276B">
            <w:pPr>
              <w:pStyle w:val="RollCallTable"/>
            </w:pPr>
            <w:r>
              <w:t>Renew</w:t>
            </w:r>
          </w:p>
        </w:tc>
        <w:tc>
          <w:tcPr>
            <w:tcW w:w="7371" w:type="dxa"/>
            <w:shd w:val="clear" w:color="auto" w:fill="FFFFFF"/>
          </w:tcPr>
          <w:p w:rsidR="003F5AC6" w:rsidRPr="00C12090" w:rsidRDefault="00B64213" w:rsidP="00DD276B">
            <w:pPr>
              <w:pStyle w:val="RollCallTable"/>
            </w:pPr>
            <w:r>
              <w:t>Abir Al-Sahlani, Andrus Ansip, Lucia Ďuriš Nicholsonová, Sophia in 't Veld, Moritz Körner, Caroline Nagtegaal, Maite Pagazaurtundúa, Bergur Løkke Rasmussen, Róż</w:t>
            </w:r>
            <w:r>
              <w:t>a Thun und Hohenstein, Jana Toom</w:t>
            </w:r>
          </w:p>
        </w:tc>
      </w:tr>
      <w:tr w:rsidR="0005325B" w:rsidTr="00DD276B">
        <w:trPr>
          <w:cantSplit/>
        </w:trPr>
        <w:tc>
          <w:tcPr>
            <w:tcW w:w="1701" w:type="dxa"/>
            <w:shd w:val="clear" w:color="auto" w:fill="FFFFFF"/>
          </w:tcPr>
          <w:p w:rsidR="003F5AC6" w:rsidRPr="00C12090" w:rsidRDefault="00B64213" w:rsidP="00DD276B">
            <w:pPr>
              <w:pStyle w:val="RollCallTable"/>
            </w:pPr>
            <w:r>
              <w:t>S&amp;D</w:t>
            </w:r>
          </w:p>
        </w:tc>
        <w:tc>
          <w:tcPr>
            <w:tcW w:w="7371" w:type="dxa"/>
            <w:shd w:val="clear" w:color="auto" w:fill="FFFFFF"/>
          </w:tcPr>
          <w:p w:rsidR="003F5AC6" w:rsidRPr="00C12090" w:rsidRDefault="00B64213" w:rsidP="00DD276B">
            <w:pPr>
              <w:pStyle w:val="RollCallTable"/>
            </w:pPr>
            <w:r>
              <w:t xml:space="preserve">Katarina Barley, Pietro Bartolo, Theresa Bielowski, Cyrus Engerer, Maria Grapini, Sylvie Guillaume, Evin Incir, Marina Kaljurand, Łukasz Kohut, Juan Fernando López Aguilar, Javier Moreno Sánchez, Isabel Santos, Birgit </w:t>
            </w:r>
            <w:r>
              <w:t>Sippel</w:t>
            </w:r>
          </w:p>
        </w:tc>
      </w:tr>
      <w:tr w:rsidR="0005325B" w:rsidTr="00DD276B">
        <w:trPr>
          <w:cantSplit/>
        </w:trPr>
        <w:tc>
          <w:tcPr>
            <w:tcW w:w="1701" w:type="dxa"/>
            <w:shd w:val="clear" w:color="auto" w:fill="FFFFFF"/>
          </w:tcPr>
          <w:p w:rsidR="003F5AC6" w:rsidRPr="00C12090" w:rsidRDefault="00B64213" w:rsidP="00DD276B">
            <w:pPr>
              <w:pStyle w:val="RollCallTable"/>
            </w:pPr>
            <w:r>
              <w:t>The Left</w:t>
            </w:r>
          </w:p>
        </w:tc>
        <w:tc>
          <w:tcPr>
            <w:tcW w:w="7371" w:type="dxa"/>
            <w:shd w:val="clear" w:color="auto" w:fill="FFFFFF"/>
          </w:tcPr>
          <w:p w:rsidR="003F5AC6" w:rsidRPr="00C12090" w:rsidRDefault="00B64213" w:rsidP="00DD276B">
            <w:pPr>
              <w:pStyle w:val="RollCallTable"/>
            </w:pPr>
            <w:r>
              <w:t>Cornelia Ernst, José Gusmão, Marisa Matias, Anne-Sophie Pelletier</w:t>
            </w:r>
          </w:p>
        </w:tc>
      </w:tr>
      <w:tr w:rsidR="0005325B" w:rsidTr="00DD276B">
        <w:trPr>
          <w:cantSplit/>
        </w:trPr>
        <w:tc>
          <w:tcPr>
            <w:tcW w:w="1701" w:type="dxa"/>
            <w:shd w:val="clear" w:color="auto" w:fill="FFFFFF"/>
          </w:tcPr>
          <w:p w:rsidR="003F5AC6" w:rsidRPr="00C12090" w:rsidRDefault="00B64213" w:rsidP="00DD276B">
            <w:pPr>
              <w:pStyle w:val="RollCallTable"/>
            </w:pPr>
            <w:r>
              <w:t>Verts/ALE</w:t>
            </w:r>
          </w:p>
        </w:tc>
        <w:tc>
          <w:tcPr>
            <w:tcW w:w="7371" w:type="dxa"/>
            <w:shd w:val="clear" w:color="auto" w:fill="FFFFFF"/>
          </w:tcPr>
          <w:p w:rsidR="003F5AC6" w:rsidRPr="00C12090" w:rsidRDefault="00B64213" w:rsidP="00DD276B">
            <w:pPr>
              <w:pStyle w:val="RollCallTable"/>
            </w:pPr>
            <w:r>
              <w:t>Patrick Breyer, Saskia Bricmont, Damien Carême, Alice Kuhnke, Erik Marquardt, Diana Riba i Giner, Tineke Strik</w:t>
            </w:r>
          </w:p>
        </w:tc>
      </w:tr>
    </w:tbl>
    <w:p w:rsidR="003F5AC6" w:rsidRPr="00C12090" w:rsidRDefault="003F5AC6" w:rsidP="003F5AC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25B" w:rsidTr="00DD276B">
        <w:trPr>
          <w:cantSplit/>
        </w:trPr>
        <w:tc>
          <w:tcPr>
            <w:tcW w:w="1701" w:type="dxa"/>
            <w:shd w:val="pct10" w:color="000000" w:fill="FFFFFF"/>
            <w:vAlign w:val="center"/>
          </w:tcPr>
          <w:p w:rsidR="003F5AC6" w:rsidRPr="00C12090" w:rsidRDefault="00B64213" w:rsidP="00DD276B">
            <w:pPr>
              <w:pStyle w:val="RollCallVotes"/>
            </w:pPr>
            <w:r>
              <w:t>1</w:t>
            </w:r>
          </w:p>
        </w:tc>
        <w:tc>
          <w:tcPr>
            <w:tcW w:w="7371" w:type="dxa"/>
            <w:shd w:val="pct10" w:color="000000" w:fill="FFFFFF"/>
          </w:tcPr>
          <w:p w:rsidR="003F5AC6" w:rsidRPr="00C12090" w:rsidRDefault="00B64213" w:rsidP="00DD276B">
            <w:pPr>
              <w:pStyle w:val="RollCallSymbols14pt"/>
            </w:pPr>
            <w:r>
              <w:t>-</w:t>
            </w:r>
          </w:p>
        </w:tc>
      </w:tr>
      <w:tr w:rsidR="0005325B" w:rsidTr="00DD276B">
        <w:trPr>
          <w:cantSplit/>
        </w:trPr>
        <w:tc>
          <w:tcPr>
            <w:tcW w:w="1701" w:type="dxa"/>
            <w:shd w:val="clear" w:color="auto" w:fill="FFFFFF"/>
          </w:tcPr>
          <w:p w:rsidR="003F5AC6" w:rsidRPr="00C12090" w:rsidRDefault="00B64213" w:rsidP="00DD276B">
            <w:pPr>
              <w:pStyle w:val="RollCallTable"/>
            </w:pPr>
            <w:r>
              <w:t>NI</w:t>
            </w:r>
          </w:p>
        </w:tc>
        <w:tc>
          <w:tcPr>
            <w:tcW w:w="7371" w:type="dxa"/>
            <w:shd w:val="clear" w:color="auto" w:fill="FFFFFF"/>
          </w:tcPr>
          <w:p w:rsidR="003F5AC6" w:rsidRPr="00C12090" w:rsidRDefault="00B64213" w:rsidP="00DD276B">
            <w:pPr>
              <w:pStyle w:val="RollCallTable"/>
            </w:pPr>
            <w:r>
              <w:t>Milan Uhrík</w:t>
            </w:r>
          </w:p>
        </w:tc>
      </w:tr>
    </w:tbl>
    <w:p w:rsidR="003F5AC6" w:rsidRPr="00C12090" w:rsidRDefault="003F5AC6" w:rsidP="003F5AC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05325B" w:rsidTr="00DD276B">
        <w:trPr>
          <w:cantSplit/>
        </w:trPr>
        <w:tc>
          <w:tcPr>
            <w:tcW w:w="1701" w:type="dxa"/>
            <w:shd w:val="pct10" w:color="000000" w:fill="FFFFFF"/>
            <w:vAlign w:val="center"/>
          </w:tcPr>
          <w:p w:rsidR="003F5AC6" w:rsidRPr="00C12090" w:rsidRDefault="00B64213" w:rsidP="00DD276B">
            <w:pPr>
              <w:pStyle w:val="RollCallVotes"/>
            </w:pPr>
            <w:r>
              <w:t>3</w:t>
            </w:r>
          </w:p>
        </w:tc>
        <w:tc>
          <w:tcPr>
            <w:tcW w:w="7371" w:type="dxa"/>
            <w:shd w:val="pct10" w:color="000000" w:fill="FFFFFF"/>
          </w:tcPr>
          <w:p w:rsidR="003F5AC6" w:rsidRPr="00C12090" w:rsidRDefault="00B64213" w:rsidP="00DD276B">
            <w:pPr>
              <w:pStyle w:val="RollCallSymbols14pt"/>
            </w:pPr>
            <w:r>
              <w:t>0</w:t>
            </w:r>
          </w:p>
        </w:tc>
      </w:tr>
      <w:tr w:rsidR="0005325B" w:rsidTr="00DD276B">
        <w:trPr>
          <w:cantSplit/>
        </w:trPr>
        <w:tc>
          <w:tcPr>
            <w:tcW w:w="1701" w:type="dxa"/>
            <w:shd w:val="clear" w:color="auto" w:fill="FFFFFF"/>
          </w:tcPr>
          <w:p w:rsidR="003F5AC6" w:rsidRPr="00C12090" w:rsidRDefault="00B64213" w:rsidP="00DD276B">
            <w:pPr>
              <w:pStyle w:val="RollCallTable"/>
            </w:pPr>
            <w:r>
              <w:t>ID</w:t>
            </w:r>
          </w:p>
        </w:tc>
        <w:tc>
          <w:tcPr>
            <w:tcW w:w="7371" w:type="dxa"/>
            <w:shd w:val="clear" w:color="auto" w:fill="FFFFFF"/>
          </w:tcPr>
          <w:p w:rsidR="003F5AC6" w:rsidRPr="00C12090" w:rsidRDefault="00B64213" w:rsidP="00DD276B">
            <w:pPr>
              <w:pStyle w:val="RollCallTable"/>
            </w:pPr>
            <w:r>
              <w:t xml:space="preserve">Patricia Chagnon, </w:t>
            </w:r>
            <w:r>
              <w:t>Nicolaus Fest, Tom Vandendriessche</w:t>
            </w:r>
          </w:p>
        </w:tc>
      </w:tr>
    </w:tbl>
    <w:p w:rsidR="003F5AC6" w:rsidRPr="00C12090" w:rsidRDefault="003F5AC6" w:rsidP="003F5AC6">
      <w:pPr>
        <w:pStyle w:val="Normal12a"/>
      </w:pPr>
    </w:p>
    <w:p w:rsidR="003F5AC6" w:rsidRPr="00C12090" w:rsidRDefault="003F5AC6" w:rsidP="00147FBF">
      <w:pPr>
        <w:pStyle w:val="Normal12a"/>
      </w:pPr>
    </w:p>
    <w:p w:rsidR="003F5AC6" w:rsidRPr="00C12090" w:rsidRDefault="00B64213" w:rsidP="00B735E3">
      <w:r>
        <w:t>Erklärung der benutzten Zeichen:</w:t>
      </w:r>
    </w:p>
    <w:p w:rsidR="003F5AC6" w:rsidRPr="00C12090" w:rsidRDefault="00B64213" w:rsidP="003858C5">
      <w:pPr>
        <w:pStyle w:val="RollCallTabs"/>
      </w:pPr>
      <w:r>
        <w:t>+</w:t>
      </w:r>
      <w:r>
        <w:tab/>
        <w:t>:</w:t>
      </w:r>
      <w:r>
        <w:tab/>
        <w:t>dafür</w:t>
      </w:r>
    </w:p>
    <w:p w:rsidR="003F5AC6" w:rsidRPr="00C12090" w:rsidRDefault="00B64213" w:rsidP="003858C5">
      <w:pPr>
        <w:pStyle w:val="RollCallTabs"/>
      </w:pPr>
      <w:r>
        <w:t>-</w:t>
      </w:r>
      <w:r>
        <w:tab/>
        <w:t>:</w:t>
      </w:r>
      <w:r>
        <w:tab/>
        <w:t>dagegen</w:t>
      </w:r>
    </w:p>
    <w:p w:rsidR="003F5AC6" w:rsidRPr="00C12090" w:rsidRDefault="00B64213" w:rsidP="003858C5">
      <w:pPr>
        <w:pStyle w:val="RollCallTabs"/>
      </w:pPr>
      <w:r>
        <w:t>0</w:t>
      </w:r>
      <w:r>
        <w:tab/>
        <w:t>:</w:t>
      </w:r>
      <w:r>
        <w:tab/>
        <w:t>Enthaltung</w:t>
      </w:r>
    </w:p>
    <w:p w:rsidR="003F5AC6" w:rsidRPr="00C12090" w:rsidRDefault="003F5AC6" w:rsidP="00207509"/>
    <w:bookmarkEnd w:id="3"/>
    <w:p w:rsidR="00D20F6F" w:rsidRPr="00C12090" w:rsidRDefault="00D20F6F" w:rsidP="003F5AC6"/>
    <w:sectPr w:rsidR="00D20F6F" w:rsidRPr="00C12090" w:rsidSect="003F5AC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64213">
      <w:r>
        <w:separator/>
      </w:r>
    </w:p>
  </w:endnote>
  <w:endnote w:type="continuationSeparator" w:id="0">
    <w:p w:rsidR="00000000" w:rsidRDefault="00B642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90" w:rsidRPr="00C12090" w:rsidRDefault="00B64213" w:rsidP="00C12090">
    <w:pPr>
      <w:pStyle w:val="EPFooter"/>
    </w:pPr>
    <w:r w:rsidRPr="00C12090">
      <w:t>PE</w:t>
    </w:r>
    <w:r w:rsidRPr="00C12090">
      <w:rPr>
        <w:rStyle w:val="HideTWBExt"/>
      </w:rPr>
      <w:t>&lt;NoPE&gt;</w:t>
    </w:r>
    <w:r w:rsidRPr="00C12090">
      <w:t>756.194</w:t>
    </w:r>
    <w:r w:rsidRPr="00C12090">
      <w:rPr>
        <w:rStyle w:val="HideTWBExt"/>
      </w:rPr>
      <w:t>&lt;/NoPE&gt;&lt;Version&gt;</w:t>
    </w:r>
    <w:r w:rsidRPr="00C12090">
      <w:t>v03-00</w:t>
    </w:r>
    <w:r w:rsidRPr="00C12090">
      <w:rPr>
        <w:rStyle w:val="HideTWBExt"/>
      </w:rPr>
      <w:t>&lt;/Version&gt;</w:t>
    </w:r>
    <w:r w:rsidRPr="00C12090">
      <w:tab/>
    </w:r>
    <w:r w:rsidRPr="00C12090">
      <w:fldChar w:fldCharType="begin"/>
    </w:r>
    <w:r w:rsidRPr="00C12090">
      <w:instrText xml:space="preserve"> PAGE  \* MERGEFORMAT </w:instrText>
    </w:r>
    <w:r w:rsidRPr="00C12090">
      <w:fldChar w:fldCharType="separate"/>
    </w:r>
    <w:r>
      <w:rPr>
        <w:noProof/>
      </w:rPr>
      <w:t>2</w:t>
    </w:r>
    <w:r w:rsidRPr="00C12090">
      <w:fldChar w:fldCharType="end"/>
    </w:r>
    <w:r w:rsidRPr="00C12090">
      <w:t>/</w:t>
    </w:r>
    <w:r>
      <w:fldChar w:fldCharType="begin"/>
    </w:r>
    <w:r>
      <w:instrText xml:space="preserve"> NUMPAGES  \* MERGEFORMAT </w:instrText>
    </w:r>
    <w:r>
      <w:fldChar w:fldCharType="separate"/>
    </w:r>
    <w:r>
      <w:rPr>
        <w:noProof/>
      </w:rPr>
      <w:t>7</w:t>
    </w:r>
    <w:r>
      <w:rPr>
        <w:noProof/>
      </w:rPr>
      <w:fldChar w:fldCharType="end"/>
    </w:r>
    <w:r w:rsidRPr="00C12090">
      <w:tab/>
    </w:r>
    <w:r w:rsidRPr="00C12090">
      <w:rPr>
        <w:rStyle w:val="HideTWBExt"/>
      </w:rPr>
      <w:t>&lt;PathFdR&gt;</w:t>
    </w:r>
    <w:r w:rsidRPr="00C12090">
      <w:t>AD\1295226DE.docx</w:t>
    </w:r>
    <w:r w:rsidRPr="00C12090">
      <w:rPr>
        <w:rStyle w:val="HideTWBExt"/>
      </w:rPr>
      <w:t>&lt;/PathFdR&gt;</w:t>
    </w:r>
  </w:p>
  <w:p w:rsidR="002E2F2E" w:rsidRPr="00C12090" w:rsidRDefault="00B64213" w:rsidP="00C12090">
    <w:pPr>
      <w:pStyle w:val="EPFooter2"/>
    </w:pPr>
    <w:r w:rsidRPr="00C1209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90" w:rsidRPr="00C12090" w:rsidRDefault="00B64213" w:rsidP="00C12090">
    <w:pPr>
      <w:pStyle w:val="EPFooter"/>
    </w:pPr>
    <w:r w:rsidRPr="00C12090">
      <w:rPr>
        <w:rStyle w:val="HideTWBExt"/>
      </w:rPr>
      <w:t>&lt;PathFdR&gt;</w:t>
    </w:r>
    <w:r w:rsidRPr="00C12090">
      <w:t>AD\1295226DE.docx</w:t>
    </w:r>
    <w:r w:rsidRPr="00C12090">
      <w:rPr>
        <w:rStyle w:val="HideTWBExt"/>
      </w:rPr>
      <w:t>&lt;/PathFdR&gt;</w:t>
    </w:r>
    <w:r w:rsidRPr="00C12090">
      <w:tab/>
    </w:r>
    <w:r w:rsidRPr="00C12090">
      <w:fldChar w:fldCharType="begin"/>
    </w:r>
    <w:r w:rsidRPr="00C12090">
      <w:instrText xml:space="preserve"> PAGE  \* MERGEFORMAT </w:instrText>
    </w:r>
    <w:r w:rsidRPr="00C12090">
      <w:fldChar w:fldCharType="separate"/>
    </w:r>
    <w:r>
      <w:rPr>
        <w:noProof/>
      </w:rPr>
      <w:t>3</w:t>
    </w:r>
    <w:r w:rsidRPr="00C12090">
      <w:fldChar w:fldCharType="end"/>
    </w:r>
    <w:r w:rsidRPr="00C12090">
      <w:t>/</w:t>
    </w:r>
    <w:r>
      <w:fldChar w:fldCharType="begin"/>
    </w:r>
    <w:r>
      <w:instrText xml:space="preserve"> NUMPAGES  \* MERGEFORMAT </w:instrText>
    </w:r>
    <w:r>
      <w:fldChar w:fldCharType="separate"/>
    </w:r>
    <w:r>
      <w:rPr>
        <w:noProof/>
      </w:rPr>
      <w:t>7</w:t>
    </w:r>
    <w:r>
      <w:rPr>
        <w:noProof/>
      </w:rPr>
      <w:fldChar w:fldCharType="end"/>
    </w:r>
    <w:r w:rsidRPr="00C12090">
      <w:tab/>
      <w:t>PE</w:t>
    </w:r>
    <w:r w:rsidRPr="00C12090">
      <w:rPr>
        <w:rStyle w:val="HideTWBExt"/>
      </w:rPr>
      <w:t>&lt;NoPE&gt;</w:t>
    </w:r>
    <w:r w:rsidRPr="00C12090">
      <w:t>756.194</w:t>
    </w:r>
    <w:r w:rsidRPr="00C12090">
      <w:rPr>
        <w:rStyle w:val="HideTWBExt"/>
      </w:rPr>
      <w:t>&lt;/NoPE&gt;&lt;Version&gt;</w:t>
    </w:r>
    <w:r w:rsidRPr="00C12090">
      <w:t>v03-00</w:t>
    </w:r>
    <w:r w:rsidRPr="00C12090">
      <w:rPr>
        <w:rStyle w:val="HideTWBExt"/>
      </w:rPr>
      <w:t>&lt;/Version&gt;</w:t>
    </w:r>
  </w:p>
  <w:p w:rsidR="002E2F2E" w:rsidRPr="00C12090" w:rsidRDefault="00B64213" w:rsidP="00C12090">
    <w:pPr>
      <w:pStyle w:val="EPFooter2"/>
    </w:pPr>
    <w:r w:rsidRPr="00C12090">
      <w:tab/>
    </w:r>
    <w:r w:rsidRPr="00C1209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2090" w:rsidRPr="00C12090" w:rsidRDefault="00B64213" w:rsidP="00C12090">
    <w:pPr>
      <w:pStyle w:val="EPFooter"/>
    </w:pPr>
    <w:r w:rsidRPr="00C12090">
      <w:rPr>
        <w:rStyle w:val="HideTWBExt"/>
      </w:rPr>
      <w:t>&lt;PathFdR&gt;</w:t>
    </w:r>
    <w:r w:rsidRPr="00C12090">
      <w:t>AD\1295226DE.docx</w:t>
    </w:r>
    <w:r w:rsidRPr="00C12090">
      <w:rPr>
        <w:rStyle w:val="HideTWBExt"/>
      </w:rPr>
      <w:t>&lt;/PathFdR&gt;</w:t>
    </w:r>
    <w:r w:rsidRPr="00C12090">
      <w:tab/>
    </w:r>
    <w:r w:rsidRPr="00C12090">
      <w:tab/>
      <w:t>PE</w:t>
    </w:r>
    <w:r w:rsidRPr="00C12090">
      <w:rPr>
        <w:rStyle w:val="HideTWBExt"/>
      </w:rPr>
      <w:t>&lt;NoPE&gt;</w:t>
    </w:r>
    <w:r w:rsidRPr="00C12090">
      <w:t>756.194</w:t>
    </w:r>
    <w:r w:rsidRPr="00C12090">
      <w:rPr>
        <w:rStyle w:val="HideTWBExt"/>
      </w:rPr>
      <w:t>&lt;/NoPE&gt;&lt;Version&gt;</w:t>
    </w:r>
    <w:r w:rsidRPr="00C12090">
      <w:t>v03-00</w:t>
    </w:r>
    <w:r w:rsidRPr="00C12090">
      <w:rPr>
        <w:rStyle w:val="HideTWBExt"/>
      </w:rPr>
      <w:t>&lt;/Version&gt;</w:t>
    </w:r>
  </w:p>
  <w:p w:rsidR="002E2F2E" w:rsidRPr="00C12090" w:rsidRDefault="00B64213" w:rsidP="00C12090">
    <w:pPr>
      <w:pStyle w:val="EPFooter2"/>
    </w:pPr>
    <w:r w:rsidRPr="00C12090">
      <w:t>DE</w:t>
    </w:r>
    <w:r w:rsidRPr="00C12090">
      <w:tab/>
    </w:r>
    <w:r w:rsidRPr="00C12090">
      <w:rPr>
        <w:b w:val="0"/>
        <w:i/>
        <w:color w:val="C0C0C0"/>
        <w:sz w:val="22"/>
      </w:rPr>
      <w:t>In Vielfalt geeint</w:t>
    </w:r>
    <w:r w:rsidRPr="00C1209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64213">
      <w:r>
        <w:separator/>
      </w:r>
    </w:p>
  </w:footnote>
  <w:footnote w:type="continuationSeparator" w:id="0">
    <w:p w:rsidR="00000000" w:rsidRDefault="00B642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13" w:rsidRDefault="00B642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13" w:rsidRDefault="00B642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4213" w:rsidRDefault="00B642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NU" w:val=" 1"/>
    <w:docVar w:name="CJMNU" w:val="1"/>
    <w:docVar w:name="CODEMNU" w:val=" 7"/>
    <w:docVar w:name="COM2KEY" w:val="CONT"/>
    <w:docVar w:name="COMKEY" w:val="LIBE"/>
    <w:docVar w:name="LastEditedSection" w:val=" 2"/>
    <w:docVar w:name="RepeatBlock-AmendDE"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2613629 HideTWBInt;}{_x000d__x000a_\s18\ql \fi-567\li567\ri0\sa240\nowidctlpar\wrapdefault\aspalpha\aspnum\faauto\adjustright\rin0\lin567\itap0 \rtlch\fcs1 \af0\afs20\alang1025 \ltrch\fcs0 \fs24\lang1031\langfe2057\cgrid\langnp1031\langfenp2057 _x000d__x000a_\sbasedon0 \snext18 \spriority0 \styrsid12613629 NormalHanging12a;}}{\*\rsidtbl \rsid24658\rsid223860\rsid735077\rsid940463\rsid1718133\rsid2892074\rsid3565327\rsid4666813\rsid6641733\rsid7823322\rsid9636012\rsid10377208\rsid11215221\rsid11549030_x000d__x000a_\rsid12154954\rsid12613629\rsid14382809\rsid14424199\rsid15204470\rsid15285974\rsid15950462\rsid16324206\rsid16662270}{\mmathPr\mmathFont34\mbrkBin0\mbrkBinSub0\msmallFrac0\mdispDef1\mlMargin0\mrMargin0\mdefJc1\mwrapIndent1440\mintLim0\mnaryLim1}{\info_x000d__x000a_{\author SIEPMANN Mario}{\operator SIEPMANN Mario}{\creatim\yr2024\mo1\dy29\hr15\min9}{\revtim\yr2024\mo1\dy29\hr15\min9}{\version1}{\edmins0}{\nofpages1}{\nofwords1}{\nofchars12}{\nofcharsws12}{\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13629\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940463 \chftnsep _x000d__x000a_\par }}{\*\ftnsepc \ltrpar \pard\plain \ltrpar\ql \li0\ri0\widctlpar\wrapdefault\aspalpha\aspnum\faauto\adjustright\rin0\lin0\itap0 \rtlch\fcs1 \af0\afs20\alang1025 \ltrch\fcs0 \fs24\lang2057\langfe2057\cgrid\langnp2057\langfenp2057 {\rtlch\fcs1 \af0 _x000d__x000a_\ltrch\fcs0 \insrsid940463 \chftnsepc _x000d__x000a_\par }}{\*\aftnsep \ltrpar \pard\plain \ltrpar\ql \li0\ri0\widctlpar\wrapdefault\aspalpha\aspnum\faauto\adjustright\rin0\lin0\itap0 \rtlch\fcs1 \af0\afs20\alang1025 \ltrch\fcs0 \fs24\lang2057\langfe2057\cgrid\langnp2057\langfenp2057 {\rtlch\fcs1 \af0 _x000d__x000a_\ltrch\fcs0 \insrsid940463 \chftnsep _x000d__x000a_\par }}{\*\aftnsepc \ltrpar \pard\plain \ltrpar\ql \li0\ri0\widctlpar\wrapdefault\aspalpha\aspnum\faauto\adjustright\rin0\lin0\itap0 \rtlch\fcs1 \af0\afs20\alang1025 \ltrch\fcs0 \fs24\lang2057\langfe2057\cgrid\langnp2057\langfenp2057 {\rtlch\fcs1 \af0 _x000d__x000a_\ltrch\fcs0 \insrsid9404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2613629 \rtlch\fcs1 \af0\afs20\alang1025 \ltrch\fcs0 \fs24\lang1031\langfe2057\cgrid\langnp1031\langfenp2057 {\rtlch\fcs1 \af0 _x000d__x000a_\ltrch\fcs0 \insrsid12613629\charrsid4860709 {\*\bkmkstart restart}#}{\rtlch\fcs1 \af1 \ltrch\fcs0 \cs17\v\f1\fs20\cf15\insrsid12613629\charrsid4860709 NRMSG}{\rtlch\fcs1 \af0 \ltrch\fcs0 \insrsid12613629\charrsid4860709 #.\tab ##}{\rtlch\fcs1 \af0 _x000d__x000a_\ltrch\fcs0 \insrsid12613629\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0_x000d__x000a_fdc2b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621966 NormalHanging12a;}}{\*\rsidtbl \rsid24658\rsid223860\rsid735077\rsid1718133\rsid2892074\rsid3565327\rsid4666813\rsid6641733\rsid7823322\rsid9636012_x000d__x000a_\rsid10377208\rsid10621966\rsid11215221\rsid11549030\rsid11803771\rsid12154954\rsid14382809\rsid14424199\rsid15204470\rsid15285974\rsid15950462\rsid16324206\rsid16662270}{\mmathPr\mmathFont34\mbrkBin0\mbrkBinSub0\msmallFrac0\mdispDef1\mlMargin0\mrMargin0_x000d__x000a_\mdefJc1\mwrapIndent1440\mintLim0\mnaryLim1}{\info{\author SIEPMANN Mario}{\operator SIEPMANN Mario}{\creatim\yr2024\mo1\dy29\hr15\min9}{\revtim\yr2024\mo1\dy29\hr15\min9}{\version1}{\edmins0}{\nofpages1}{\nofwords4}{\nofchars31}{\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21966\newtblstyruls\nogrowautofit\usenormstyforlist\noindnmbrts\felnbrelev\nocxsptable\indrlsweleven\noafcnsttbl\afelev\utinl\hwelev\spltpgpar\notcvasp\notbrkcnstfrctbl\notvatxbx\krnprsnet\cachedcolbal _x000d__x000a_\nouicompat \fet0{\*\wgrffmtfilter 013f}\nofeaturethrottle1\ilfomacatclnup0{\*\template C:\\Users\\MSIEPM~1\\AppData\\Local\\Temp\\Blank1.dotx}{\*\ftnsep \ltrpar \pard\plain \ltrpar_x000d__x000a_\ql \li0\ri0\widctlpar\wrapdefault\aspalpha\aspnum\faauto\adjustright\rin0\lin0\itap0 \rtlch\fcs1 \af0\afs20\alang1025 \ltrch\fcs0 \fs24\lang2057\langfe2057\cgrid\langnp2057\langfenp2057 {\rtlch\fcs1 \af0 \ltrch\fcs0 \insrsid11803771 \chftnsep _x000d__x000a_\par }}{\*\ftnsepc \ltrpar \pard\plain \ltrpar\ql \li0\ri0\widctlpar\wrapdefault\aspalpha\aspnum\faauto\adjustright\rin0\lin0\itap0 \rtlch\fcs1 \af0\afs20\alang1025 \ltrch\fcs0 \fs24\lang2057\langfe2057\cgrid\langnp2057\langfenp2057 {\rtlch\fcs1 \af0 _x000d__x000a_\ltrch\fcs0 \insrsid11803771 \chftnsepc _x000d__x000a_\par }}{\*\aftnsep \ltrpar \pard\plain \ltrpar\ql \li0\ri0\widctlpar\wrapdefault\aspalpha\aspnum\faauto\adjustright\rin0\lin0\itap0 \rtlch\fcs1 \af0\afs20\alang1025 \ltrch\fcs0 \fs24\lang2057\langfe2057\cgrid\langnp2057\langfenp2057 {\rtlch\fcs1 \af0 _x000d__x000a_\ltrch\fcs0 \insrsid11803771 \chftnsep _x000d__x000a_\par }}{\*\aftnsepc \ltrpar \pard\plain \ltrpar\ql \li0\ri0\widctlpar\wrapdefault\aspalpha\aspnum\faauto\adjustright\rin0\lin0\itap0 \rtlch\fcs1 \af0\afs20\alang1025 \ltrch\fcs0 \fs24\lang2057\langfe2057\cgrid\langnp2057\langfenp2057 {\rtlch\fcs1 \af0 _x000d__x000a_\ltrch\fcs0 \insrsid118037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621966 \rtlch\fcs1 \af0\afs20\alang1025 \ltrch\fcs0 \fs24\lang2057\langfe2057\cgrid\langnp2057\langfenp2057 {\rtlch\fcs1 \af0 _x000d__x000a_\ltrch\fcs0 \insrsid10621966\charrsid1525456 {\*\bkmkstart restart}[ZSUGGESTIONNR]\tab [ZSUGGESTIONTEXT]}{\rtlch\fcs1 \af0 \ltrch\fcs0 \insrsid1062196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1d_x000d__x000a_16c9bc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DE"/>
    <w:docVar w:name="TXTLANGUEMIN" w:val="de"/>
    <w:docVar w:name="TXTNRPE" w:val="756.194"/>
    <w:docVar w:name="TXTNRPROC" w:val="2023/2157"/>
    <w:docVar w:name="TXTPEorAP" w:val="PE"/>
    <w:docVar w:name="TXTROUTE" w:val="AD\1295226DE.docx"/>
    <w:docVar w:name="TXTVERSION" w:val="03-00"/>
  </w:docVars>
  <w:rsids>
    <w:rsidRoot w:val="00FA51E3"/>
    <w:rsid w:val="0005325B"/>
    <w:rsid w:val="000E7EBF"/>
    <w:rsid w:val="00124F60"/>
    <w:rsid w:val="00135121"/>
    <w:rsid w:val="00140BE6"/>
    <w:rsid w:val="00147F4E"/>
    <w:rsid w:val="00147FBF"/>
    <w:rsid w:val="0016635E"/>
    <w:rsid w:val="001746D0"/>
    <w:rsid w:val="001B7393"/>
    <w:rsid w:val="001D2ED9"/>
    <w:rsid w:val="001F21C1"/>
    <w:rsid w:val="00207509"/>
    <w:rsid w:val="00236C61"/>
    <w:rsid w:val="002D28A7"/>
    <w:rsid w:val="002E2F2E"/>
    <w:rsid w:val="002E6F98"/>
    <w:rsid w:val="00325BCB"/>
    <w:rsid w:val="00331944"/>
    <w:rsid w:val="00332AD9"/>
    <w:rsid w:val="00347D2C"/>
    <w:rsid w:val="0037356F"/>
    <w:rsid w:val="003858C5"/>
    <w:rsid w:val="00390EB2"/>
    <w:rsid w:val="00396A0E"/>
    <w:rsid w:val="003E2402"/>
    <w:rsid w:val="003F5AC6"/>
    <w:rsid w:val="004C28FB"/>
    <w:rsid w:val="004C44C0"/>
    <w:rsid w:val="0052544E"/>
    <w:rsid w:val="005940C3"/>
    <w:rsid w:val="00594C48"/>
    <w:rsid w:val="005B2F11"/>
    <w:rsid w:val="005C0BDF"/>
    <w:rsid w:val="005D60C6"/>
    <w:rsid w:val="006102E7"/>
    <w:rsid w:val="00640C1B"/>
    <w:rsid w:val="00657AFB"/>
    <w:rsid w:val="006D5BF7"/>
    <w:rsid w:val="007B2C8C"/>
    <w:rsid w:val="00815DE6"/>
    <w:rsid w:val="008313E7"/>
    <w:rsid w:val="00837A53"/>
    <w:rsid w:val="00854CAC"/>
    <w:rsid w:val="008A32C5"/>
    <w:rsid w:val="008C6203"/>
    <w:rsid w:val="008D61E7"/>
    <w:rsid w:val="008F7002"/>
    <w:rsid w:val="0099493F"/>
    <w:rsid w:val="00A16BEA"/>
    <w:rsid w:val="00A312B3"/>
    <w:rsid w:val="00A72C35"/>
    <w:rsid w:val="00AE180F"/>
    <w:rsid w:val="00B362F7"/>
    <w:rsid w:val="00B5456B"/>
    <w:rsid w:val="00B64213"/>
    <w:rsid w:val="00B735E3"/>
    <w:rsid w:val="00B74B53"/>
    <w:rsid w:val="00BC26E4"/>
    <w:rsid w:val="00BD1EAA"/>
    <w:rsid w:val="00C12090"/>
    <w:rsid w:val="00C36610"/>
    <w:rsid w:val="00C466CA"/>
    <w:rsid w:val="00C52739"/>
    <w:rsid w:val="00C827FF"/>
    <w:rsid w:val="00C85D0F"/>
    <w:rsid w:val="00CD34AC"/>
    <w:rsid w:val="00D20F6F"/>
    <w:rsid w:val="00DD276B"/>
    <w:rsid w:val="00DE19FF"/>
    <w:rsid w:val="00E81BA6"/>
    <w:rsid w:val="00E856D2"/>
    <w:rsid w:val="00E929A7"/>
    <w:rsid w:val="00E976F5"/>
    <w:rsid w:val="00FA51E3"/>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B3024"/>
  <w15:chartTrackingRefBased/>
  <w15:docId w15:val="{91EA8306-7BE9-46EE-85A1-3BAB5EFBE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D20F6F"/>
    <w:rPr>
      <w:vertAlign w:val="superscript"/>
    </w:rPr>
  </w:style>
  <w:style w:type="paragraph" w:styleId="Footer">
    <w:name w:val="footer"/>
    <w:basedOn w:val="Normal"/>
    <w:link w:val="FooterChar"/>
    <w:semiHidden/>
    <w:rsid w:val="00D20F6F"/>
    <w:pPr>
      <w:tabs>
        <w:tab w:val="center" w:pos="4513"/>
        <w:tab w:val="right" w:pos="9026"/>
      </w:tabs>
    </w:pPr>
  </w:style>
  <w:style w:type="character" w:customStyle="1" w:styleId="FooterChar">
    <w:name w:val="Footer Char"/>
    <w:basedOn w:val="DefaultParagraphFont"/>
    <w:link w:val="Footer"/>
    <w:semiHidden/>
    <w:rsid w:val="00D20F6F"/>
    <w:rPr>
      <w:sz w:val="24"/>
      <w:lang w:val="de-DE"/>
    </w:rPr>
  </w:style>
  <w:style w:type="paragraph" w:customStyle="1" w:styleId="RollCallSymbols14pt">
    <w:name w:val="RollCallSymbols14pt"/>
    <w:basedOn w:val="Normal"/>
    <w:rsid w:val="003F5AC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F5AC6"/>
    <w:pPr>
      <w:tabs>
        <w:tab w:val="center" w:pos="284"/>
        <w:tab w:val="left" w:pos="426"/>
      </w:tabs>
    </w:pPr>
    <w:rPr>
      <w:snapToGrid w:val="0"/>
      <w:lang w:eastAsia="en-US"/>
    </w:rPr>
  </w:style>
  <w:style w:type="paragraph" w:customStyle="1" w:styleId="RollCallVotes">
    <w:name w:val="RollCallVotes"/>
    <w:basedOn w:val="Normal"/>
    <w:rsid w:val="003F5AC6"/>
    <w:pPr>
      <w:spacing w:before="120" w:after="120"/>
      <w:jc w:val="center"/>
    </w:pPr>
    <w:rPr>
      <w:b/>
      <w:bCs/>
      <w:snapToGrid w:val="0"/>
      <w:sz w:val="16"/>
      <w:lang w:eastAsia="en-US"/>
    </w:rPr>
  </w:style>
  <w:style w:type="paragraph" w:customStyle="1" w:styleId="RollCallTable">
    <w:name w:val="RollCallTable"/>
    <w:basedOn w:val="Normal"/>
    <w:rsid w:val="003F5AC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1138</Words>
  <Characters>8154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2024-02-07T10:36:00Z</dcterms:created>
  <dcterms:modified xsi:type="dcterms:W3CDTF">2024-02-07T10:36:00Z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1295226</vt:lpwstr>
  </property>
  <property fmtid="{D5CDD505-2E9C-101B-9397-08002B2CF9AE}" pid="4" name="&lt;Model&gt;">
    <vt:lpwstr>PA_NonLeg</vt:lpwstr>
  </property>
  <property fmtid="{D5CDD505-2E9C-101B-9397-08002B2CF9AE}" pid="5" name="&lt;ModelCod&gt;">
    <vt:lpwstr>\\eiciLUXpr1\pdocep$\DocEP\DOCS\General\PA\PA_NonLeg\PA_NonLeg.dotx(18/09/2023 10:25:02)</vt:lpwstr>
  </property>
  <property fmtid="{D5CDD505-2E9C-101B-9397-08002B2CF9AE}" pid="6" name="&lt;ModelTra&gt;">
    <vt:lpwstr>\\eiciLUXpr1\pdocep$\DocEP\TRANSFIL\DE\PA_NonLeg.DE(18/09/2023 10:08:01)</vt:lpwstr>
  </property>
  <property fmtid="{D5CDD505-2E9C-101B-9397-08002B2CF9AE}" pid="7" name="&lt;Type&gt;">
    <vt:lpwstr>AD</vt:lpwstr>
  </property>
  <property fmtid="{D5CDD505-2E9C-101B-9397-08002B2CF9AE}" pid="8" name="Bookout">
    <vt:lpwstr/>
  </property>
  <property fmtid="{D5CDD505-2E9C-101B-9397-08002B2CF9AE}" pid="9" name="Created with">
    <vt:lpwstr>9.16.1 Build [20230915]</vt:lpwstr>
  </property>
  <property fmtid="{D5CDD505-2E9C-101B-9397-08002B2CF9AE}" pid="10" name="FooterPath">
    <vt:lpwstr>AD\1295226DE.docx</vt:lpwstr>
  </property>
  <property fmtid="{D5CDD505-2E9C-101B-9397-08002B2CF9AE}" pid="11" name="LastEdited with">
    <vt:lpwstr>9.17.1 Build [20240101]</vt:lpwstr>
  </property>
  <property fmtid="{D5CDD505-2E9C-101B-9397-08002B2CF9AE}" pid="12" name="PE number">
    <vt:lpwstr>756.194</vt:lpwstr>
  </property>
  <property fmtid="{D5CDD505-2E9C-101B-9397-08002B2CF9AE}" pid="13" name="SDLStudio">
    <vt:lpwstr/>
  </property>
</Properties>
</file>