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8A7F5C" w:rsidTr="00C85D0F">
        <w:trPr>
          <w:trHeight w:hRule="exact" w:val="1418"/>
        </w:trPr>
        <w:tc>
          <w:tcPr>
            <w:tcW w:w="6804" w:type="dxa"/>
            <w:shd w:val="clear" w:color="auto" w:fill="auto"/>
            <w:vAlign w:val="center"/>
          </w:tcPr>
          <w:p w:rsidR="00854CAC" w:rsidRPr="008A7F5C" w:rsidRDefault="007B2C8C" w:rsidP="00C85D0F">
            <w:pPr>
              <w:pStyle w:val="EPName"/>
            </w:pPr>
            <w:r w:rsidRPr="008A7F5C">
              <w:t>Ευρωπαϊκό Κοινοβούλιο</w:t>
            </w:r>
          </w:p>
          <w:p w:rsidR="00854CAC" w:rsidRPr="008A7F5C" w:rsidRDefault="008E3C1B" w:rsidP="008E3C1B">
            <w:pPr>
              <w:pStyle w:val="EPTerm"/>
            </w:pPr>
            <w:r w:rsidRPr="008A7F5C">
              <w:t>2019-2024</w:t>
            </w:r>
          </w:p>
        </w:tc>
        <w:tc>
          <w:tcPr>
            <w:tcW w:w="2268" w:type="dxa"/>
            <w:shd w:val="clear" w:color="auto" w:fill="auto"/>
          </w:tcPr>
          <w:p w:rsidR="00854CAC" w:rsidRPr="008A7F5C" w:rsidRDefault="00854CAC" w:rsidP="00C85D0F">
            <w:pPr>
              <w:pStyle w:val="EPLogo"/>
            </w:pPr>
            <w:r w:rsidRPr="008A7F5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8A7F5C" w:rsidRDefault="001746D0" w:rsidP="001746D0">
      <w:pPr>
        <w:pStyle w:val="LineTop"/>
      </w:pPr>
    </w:p>
    <w:p w:rsidR="001746D0" w:rsidRPr="008A7F5C" w:rsidRDefault="001746D0" w:rsidP="001746D0">
      <w:pPr>
        <w:pStyle w:val="EPBody"/>
      </w:pPr>
      <w:r w:rsidRPr="008A7F5C">
        <w:rPr>
          <w:rStyle w:val="HideTWBExt"/>
        </w:rPr>
        <w:t>&lt;</w:t>
      </w:r>
      <w:r w:rsidRPr="008A7F5C">
        <w:rPr>
          <w:rStyle w:val="HideTWBExt"/>
          <w:i w:val="0"/>
        </w:rPr>
        <w:t>Commission</w:t>
      </w:r>
      <w:r w:rsidRPr="008A7F5C">
        <w:rPr>
          <w:rStyle w:val="HideTWBExt"/>
        </w:rPr>
        <w:t>&gt;</w:t>
      </w:r>
      <w:r w:rsidRPr="008A7F5C">
        <w:rPr>
          <w:rStyle w:val="HideTWBInt"/>
        </w:rPr>
        <w:t>{LIBE}</w:t>
      </w:r>
      <w:r w:rsidRPr="008A7F5C">
        <w:t>Επιτροπή Πολιτικών Ελευθεριών, Δικαιοσύνης και Εσωτερικών Υποθέσεων</w:t>
      </w:r>
      <w:r w:rsidRPr="008A7F5C">
        <w:rPr>
          <w:rStyle w:val="HideTWBExt"/>
        </w:rPr>
        <w:t>&lt;/</w:t>
      </w:r>
      <w:r w:rsidRPr="008A7F5C">
        <w:rPr>
          <w:rStyle w:val="HideTWBExt"/>
          <w:i w:val="0"/>
        </w:rPr>
        <w:t>Commission</w:t>
      </w:r>
      <w:r w:rsidRPr="008A7F5C">
        <w:rPr>
          <w:rStyle w:val="HideTWBExt"/>
        </w:rPr>
        <w:t>&gt;</w:t>
      </w:r>
    </w:p>
    <w:p w:rsidR="001746D0" w:rsidRPr="008A7F5C" w:rsidRDefault="001746D0" w:rsidP="001746D0">
      <w:pPr>
        <w:pStyle w:val="LineBottom"/>
      </w:pPr>
    </w:p>
    <w:p w:rsidR="002E2F2E" w:rsidRPr="008A7F5C" w:rsidRDefault="002E2F2E">
      <w:pPr>
        <w:pStyle w:val="CoverReference"/>
      </w:pPr>
      <w:r w:rsidRPr="008A7F5C">
        <w:rPr>
          <w:rStyle w:val="HideTWBExt"/>
          <w:b w:val="0"/>
        </w:rPr>
        <w:t>&lt;RefProc&gt;</w:t>
      </w:r>
      <w:r w:rsidRPr="008A7F5C">
        <w:t>2023/2157</w:t>
      </w:r>
      <w:r w:rsidRPr="008A7F5C">
        <w:rPr>
          <w:rStyle w:val="HideTWBExt"/>
          <w:b w:val="0"/>
        </w:rPr>
        <w:t>&lt;/RefProc&gt;&lt;RefTypeProc&gt;</w:t>
      </w:r>
      <w:r w:rsidRPr="008A7F5C">
        <w:t>(DEC)</w:t>
      </w:r>
      <w:r w:rsidRPr="008A7F5C">
        <w:rPr>
          <w:rStyle w:val="HideTWBExt"/>
          <w:b w:val="0"/>
        </w:rPr>
        <w:t>&lt;/RefTypeProc&gt;</w:t>
      </w:r>
    </w:p>
    <w:p w:rsidR="002E2F2E" w:rsidRPr="008A7F5C" w:rsidRDefault="002E2F2E">
      <w:pPr>
        <w:pStyle w:val="CoverDate"/>
      </w:pPr>
      <w:r w:rsidRPr="008A7F5C">
        <w:rPr>
          <w:rStyle w:val="HideTWBExt"/>
        </w:rPr>
        <w:t>&lt;Date&gt;</w:t>
      </w:r>
      <w:r w:rsidRPr="008A7F5C">
        <w:rPr>
          <w:rStyle w:val="HideTWBInt"/>
        </w:rPr>
        <w:t>{24/01/2024}</w:t>
      </w:r>
      <w:r w:rsidRPr="008A7F5C">
        <w:t>24.01.2024</w:t>
      </w:r>
      <w:r w:rsidRPr="008A7F5C">
        <w:rPr>
          <w:rStyle w:val="HideTWBExt"/>
        </w:rPr>
        <w:t>&lt;/Date&gt;</w:t>
      </w:r>
    </w:p>
    <w:p w:rsidR="002E2F2E" w:rsidRPr="008A7F5C" w:rsidRDefault="002E2F2E">
      <w:pPr>
        <w:pStyle w:val="CoverDocType24a"/>
      </w:pPr>
      <w:r w:rsidRPr="008A7F5C">
        <w:rPr>
          <w:rStyle w:val="HideTWBExt"/>
          <w:b w:val="0"/>
        </w:rPr>
        <w:t>&lt;TitreType&gt;</w:t>
      </w:r>
      <w:r w:rsidRPr="008A7F5C">
        <w:t>ΓΝΩΜΟΔΟΤΗΣΗ</w:t>
      </w:r>
      <w:r w:rsidRPr="008A7F5C">
        <w:rPr>
          <w:rStyle w:val="HideTWBExt"/>
          <w:b w:val="0"/>
        </w:rPr>
        <w:t>&lt;/TitreType&gt;</w:t>
      </w:r>
    </w:p>
    <w:p w:rsidR="002E2F2E" w:rsidRPr="008A7F5C" w:rsidRDefault="002E2F2E">
      <w:pPr>
        <w:pStyle w:val="CoverNormal24a"/>
      </w:pPr>
      <w:r w:rsidRPr="008A7F5C">
        <w:rPr>
          <w:rStyle w:val="HideTWBExt"/>
        </w:rPr>
        <w:t>&lt;CommissionResp&gt;</w:t>
      </w:r>
      <w:r w:rsidRPr="008A7F5C">
        <w:t>της Επιτροπής Πολιτικών Ελευθεριών, Δικαιοσύνης και Εσωτερικών Υποθέσεων</w:t>
      </w:r>
      <w:r w:rsidRPr="008A7F5C">
        <w:rPr>
          <w:rStyle w:val="HideTWBExt"/>
        </w:rPr>
        <w:t>&lt;/CommissionResp&gt;</w:t>
      </w:r>
    </w:p>
    <w:p w:rsidR="002E2F2E" w:rsidRPr="008A7F5C" w:rsidRDefault="002E2F2E">
      <w:pPr>
        <w:pStyle w:val="CoverNormal24a"/>
      </w:pPr>
      <w:r w:rsidRPr="008A7F5C">
        <w:rPr>
          <w:rStyle w:val="HideTWBExt"/>
        </w:rPr>
        <w:t>&lt;CommissionInt&gt;</w:t>
      </w:r>
      <w:r w:rsidRPr="008A7F5C">
        <w:t>προς την Επιτροπή Ελέγχου του Προϋπολογισμού</w:t>
      </w:r>
      <w:r w:rsidRPr="008A7F5C">
        <w:rPr>
          <w:rStyle w:val="HideTWBExt"/>
        </w:rPr>
        <w:t>&lt;/CommissionInt&gt;</w:t>
      </w:r>
    </w:p>
    <w:p w:rsidR="002E2F2E" w:rsidRPr="008A7F5C" w:rsidRDefault="002E2F2E">
      <w:pPr>
        <w:pStyle w:val="CoverNormal"/>
      </w:pPr>
      <w:r w:rsidRPr="008A7F5C">
        <w:rPr>
          <w:rStyle w:val="HideTWBExt"/>
        </w:rPr>
        <w:t>&lt;Titre&gt;</w:t>
      </w:r>
      <w:r w:rsidRPr="008A7F5C">
        <w:t>σχετικά με την απαλλαγή όσον αφορά την εκτέλεση του προϋπολογισμού του Ευρωπαϊκού Κέντρου Παρακολούθησης Ναρκωτικών και Τοξικομανίας για το οικονομικό έτος 2022</w:t>
      </w:r>
      <w:r w:rsidRPr="008A7F5C">
        <w:rPr>
          <w:rStyle w:val="HideTWBExt"/>
        </w:rPr>
        <w:t>&lt;/Titre&gt;</w:t>
      </w:r>
    </w:p>
    <w:p w:rsidR="002E2F2E" w:rsidRPr="008A7F5C" w:rsidRDefault="002E2F2E">
      <w:pPr>
        <w:pStyle w:val="CoverNormal24a"/>
      </w:pPr>
      <w:r w:rsidRPr="008A7F5C">
        <w:rPr>
          <w:rStyle w:val="HideTWBExt"/>
        </w:rPr>
        <w:t>&lt;DocRef&gt;</w:t>
      </w:r>
      <w:r w:rsidRPr="008A7F5C">
        <w:t>(2023/2157(DEC))</w:t>
      </w:r>
      <w:r w:rsidRPr="008A7F5C">
        <w:rPr>
          <w:rStyle w:val="HideTWBExt"/>
        </w:rPr>
        <w:t>&lt;/DocRef&gt;</w:t>
      </w:r>
    </w:p>
    <w:p w:rsidR="002E2F2E" w:rsidRPr="008A7F5C" w:rsidRDefault="007B2C8C">
      <w:pPr>
        <w:pStyle w:val="CoverNormal24a"/>
      </w:pPr>
      <w:r w:rsidRPr="008A7F5C">
        <w:t xml:space="preserve">Συντάκτης γνωμοδότησης: </w:t>
      </w:r>
      <w:r w:rsidRPr="008A7F5C">
        <w:rPr>
          <w:rStyle w:val="HideTWBExt"/>
        </w:rPr>
        <w:t>&lt;Depute&gt;</w:t>
      </w:r>
      <w:r w:rsidRPr="008A7F5C">
        <w:t>Tomáš Zdechovský</w:t>
      </w:r>
      <w:r w:rsidRPr="008A7F5C">
        <w:rPr>
          <w:rStyle w:val="HideTWBExt"/>
        </w:rPr>
        <w:t>&lt;/Depute&gt;</w:t>
      </w:r>
    </w:p>
    <w:p w:rsidR="00A72C35" w:rsidRPr="008A7F5C" w:rsidRDefault="00A72C35" w:rsidP="00A72C35">
      <w:pPr>
        <w:pStyle w:val="CoverNormal"/>
      </w:pPr>
    </w:p>
    <w:p w:rsidR="002E2F2E" w:rsidRPr="008A7F5C" w:rsidRDefault="002E2F2E" w:rsidP="00E856D2">
      <w:pPr>
        <w:widowControl/>
        <w:tabs>
          <w:tab w:val="center" w:pos="4677"/>
        </w:tabs>
      </w:pPr>
      <w:r w:rsidRPr="008A7F5C">
        <w:br w:type="page"/>
      </w:r>
      <w:r w:rsidRPr="008A7F5C">
        <w:lastRenderedPageBreak/>
        <w:t>PA_NonLeg</w:t>
      </w:r>
    </w:p>
    <w:p w:rsidR="002E2F2E" w:rsidRPr="008A7F5C" w:rsidRDefault="002E2F2E">
      <w:pPr>
        <w:pStyle w:val="PageHeadingNotTOC"/>
      </w:pPr>
      <w:r w:rsidRPr="008A7F5C">
        <w:br w:type="page"/>
      </w:r>
      <w:r w:rsidRPr="008A7F5C">
        <w:lastRenderedPageBreak/>
        <w:t>ΠΡΟΤΑΣΕΙΣ</w:t>
      </w:r>
    </w:p>
    <w:p w:rsidR="002E2F2E" w:rsidRPr="008A7F5C" w:rsidRDefault="007B2C8C" w:rsidP="008313E7">
      <w:pPr>
        <w:pStyle w:val="Normal12a"/>
      </w:pPr>
      <w:r w:rsidRPr="008A7F5C">
        <w:t>Η Επιτροπή Πολιτικών Ελευθεριών, Δικαιοσύνης και Εσωτερικών Υποθέσεων καλεί την Επιτροπή Ελέγχου του Προϋπολογισμού, που είναι αρμόδια επί της ουσίας, να συμπεριλάβει στην πρόταση ψηφίσματός της τις ακόλουθες προτάσεις:</w:t>
      </w:r>
    </w:p>
    <w:p w:rsidR="002E2F2E" w:rsidRPr="008A7F5C" w:rsidRDefault="008E3C1B" w:rsidP="008313E7">
      <w:pPr>
        <w:pStyle w:val="NormalHanging12a"/>
      </w:pPr>
      <w:bookmarkStart w:id="0" w:name="restart"/>
      <w:r w:rsidRPr="008A7F5C">
        <w:t>1.</w:t>
      </w:r>
      <w:r w:rsidRPr="008A7F5C">
        <w:tab/>
        <w:t>εκφράζει την ικανοποίησή του για το γεγονός ότι το Ελεγκτικό Συνέδριο δήλωσε ότι οι πράξεις στις οποίες βασίζονται οι ετήσιοι λογαριασμοί του Ευρωπαϊκού Κέντρου Παρακολούθησης Ναρκωτικών και Τοξικομανίας («το Κέντρο») για το οικονομικό έτος 2022 είναι, από κάθε ουσιώδη πλευρά, νόμιμες και κανονικές· σημειώνει ότι, σύμφωνα με την ετήσια έκθεση του Ελεγκτικού Συνεδρίου σχετικά με τους οργανισμούς της ΕΕ για το έτος 2022, ο προϋπολογισμός του Κέντρου το 2022 ανήλθε σε 26 εκατομμύρια EUR, ποσό που συνιστά αύξηση κατά 4 % σε σύγκριση με το 2021 (25 εκατομμύρια EUR), ενώ ο αριθμός των υπαλλήλων του παρέμεινε αμετάβλητος σύμφωνα με την απόφαση της αρμόδιας για τον προϋπολογισμό αρχής·</w:t>
      </w:r>
    </w:p>
    <w:bookmarkEnd w:id="0"/>
    <w:p w:rsidR="008E3C1B" w:rsidRPr="008A7F5C" w:rsidRDefault="008E3C1B" w:rsidP="008E3C1B">
      <w:pPr>
        <w:pStyle w:val="NormalHanging12a"/>
        <w:rPr>
          <w:szCs w:val="24"/>
        </w:rPr>
      </w:pPr>
      <w:r w:rsidRPr="008A7F5C">
        <w:t>2.</w:t>
      </w:r>
      <w:r w:rsidRPr="008A7F5C">
        <w:tab/>
        <w:t>εκφράζει την ικανοποίησή του</w:t>
      </w:r>
      <w:r w:rsidR="00A22422">
        <w:t xml:space="preserve"> </w:t>
      </w:r>
      <w:r w:rsidRPr="008A7F5C">
        <w:t>για το γεγονός ότι ελήφθησαν κατάλληλα διορθωτικά μέτρα ώστε να δοθεί συνέχεια στις παρατηρήσεις του Ελεγκτικού Συνεδρίου από τα προηγούμενα έτη· εκφράζει την ικανοποίησή του για την ετήσια εμβληματική δημοσίευση, ήτοι την ευρωπαϊκή έκθεση για τα ναρκωτικά 2022, καθώς και για το στατιστικό δελτίο 2022 και για την προστιθέμενη αξία του συστήματος έγκαιρης προειδοποίησης της ΕΕ για τις νέες ψυχοδραστικές ουσίες, το οποίο το 2022 συμπλήρωσε 25 έτη υπό τη διαχείριση του Κέντρου· εκφράζει την ικανοποίησή του για την πραγματοποίηση 69 δημοσιεύσεων, συμπεριλαμβανομένων επτά σύντομων οδηγών και τριών αφιερωμάτων στο πλαίσιο της εμβληματικής έκθεσης του Κέντρου με τίτλο «Health and social responses to drug problems: a European guide» (Υγεία και κοινωνικές αντιδράσεις στα προβλήματα των ναρκωτικών: ένας ευρωπαϊκός οδηγός)· εκφράζει την ικανοποίησή του για τη διοργάνωση της τέταρτης Ευρωπαϊκής Διάσκεψης για τις εθιστικές συμπεριφορές και τις εξαρτήσεις που διοργανώθηκε από κοινού από το Κέντρο και τους εταίρους του· ενθαρρύνει το Κέντρο να συνεχίσει τις δραστηριότητές του για την ανταλλαγή γνώσεων·</w:t>
      </w:r>
    </w:p>
    <w:p w:rsidR="00543436" w:rsidRPr="008A7F5C" w:rsidRDefault="008E3C1B" w:rsidP="008E3C1B">
      <w:pPr>
        <w:pStyle w:val="NormalHanging12a"/>
        <w:rPr>
          <w:szCs w:val="24"/>
        </w:rPr>
      </w:pPr>
      <w:r w:rsidRPr="008A7F5C">
        <w:t>3.</w:t>
      </w:r>
      <w:r w:rsidRPr="008A7F5C">
        <w:tab/>
        <w:t>εκφράζει την ικανοποίησή του για τις δραστηριότητες κατάρτισης σχετικά με τα ναρκωτικά – με τη συμμετοχή 609 επαγγελματιών του τομέα της επιβολής του νόμου από την ΕΕ και χώρες εταίρους που συμμετέχουν σε έργα τεχνικής συνεργασίας – οι οποίες υλοποιήθηκαν από το Κέντρο σε συνεργασία με τον Οργανισμό της Ευρωπαϊκής Ένωσης για την Κατάρτιση στον Τομέα της Επιβολής του Νόμου (CEPOL)· εκφράζει την ικανοποίησή του για το γεγονός ότι σχεδόν 950 επαγγελματίες που εργάζονται στον τομέα των ναρκωτικών, συμπεριλαμβανομένων υπαλλήλων επιβολής του νόμου και υπευθύνων χάραξης πολιτικής, έλαβαν κατάρτιση στο Κέντρο κατά τη διάρκεια του 2022, ενώ περίπου 1.200 επαγγελματίες που εργάζονται στον τομέα των ναρκωτικών παρακολούθησαν τα επτά διαδικτυακά σεμινάρια που διοργάνωσε το Κέντρο· επισημαίνει τον σημαντικό ρόλο του Κέντρου καθώς παρέχει αναλύσεις και πληροφορίες σχετικά με τα ναρκωτικά και την τοξικομανία με βάση τη δημόσια υγεία στους υπεύθυνους χάραξης πολιτικής και στους επαγγελματίες·</w:t>
      </w:r>
    </w:p>
    <w:p w:rsidR="008E3C1B" w:rsidRPr="008A7F5C" w:rsidRDefault="00543436" w:rsidP="008E3C1B">
      <w:pPr>
        <w:pStyle w:val="NormalHanging12a"/>
        <w:rPr>
          <w:szCs w:val="24"/>
        </w:rPr>
      </w:pPr>
      <w:r w:rsidRPr="008A7F5C">
        <w:t>4.</w:t>
      </w:r>
      <w:r w:rsidRPr="008A7F5C">
        <w:tab/>
        <w:t xml:space="preserve">επικροτεί τις αδιάκοπες προσπάθειες του Κέντρου για την ανάδειξη των κοινωνικών πτυχών και των κοινωνικών επιπτώσεων των ναρκωτικών, την προώθηση πολιτικών </w:t>
      </w:r>
      <w:r w:rsidRPr="008A7F5C">
        <w:lastRenderedPageBreak/>
        <w:t>κοινωνικής επανένταξης για τους χρήστες ναρκωτικών και την προσέγγιση του θέματος των ναρκωτικών με διεπιστημονική προοπτική· θεωρεί απαραίτητο να συνεχιστεί η ευαισθητοποίηση σχετικά με τη σημασία της πρόληψης και μιας καινοτόμου προσέγγισης των πολιτικών για τα ναρκωτικά που να βασίζεται στην ψυχική υγεία·</w:t>
      </w:r>
    </w:p>
    <w:p w:rsidR="00543436" w:rsidRPr="008A7F5C" w:rsidRDefault="00543436" w:rsidP="008E3C1B">
      <w:pPr>
        <w:pStyle w:val="NormalHanging12a"/>
        <w:rPr>
          <w:szCs w:val="24"/>
        </w:rPr>
      </w:pPr>
      <w:r w:rsidRPr="008A7F5C">
        <w:t>5.</w:t>
      </w:r>
      <w:r w:rsidRPr="008A7F5C">
        <w:tab/>
        <w:t>υπενθυμίζει ότι το έργο του Κέντρου βασίζεται σε μια ικανότητα στρατηγικής τεκμηριωμένης αξιολόγησης απειλών για την υγεία και την ασφάλεια, για τον προσδιορισμό – σε πρώιμο στάδιο – νέων εξελίξεων του φαινομένου των ναρκωτικών οι οποίες είναι δυνατόν να επηρεάσουν δυσμενώς την υγεία, την κοινωνική διάσταση, και την ασφάλεια και προστασία στην Ένωση· υπενθυμίζει ότι η αξιολόγηση των απειλών για την υγεία θα πρέπει να αντικατοπτρίζεται εξίσου στο έργο του Κέντρου·</w:t>
      </w:r>
    </w:p>
    <w:p w:rsidR="008E3C1B" w:rsidRPr="008A7F5C" w:rsidRDefault="00543436" w:rsidP="008E3C1B">
      <w:pPr>
        <w:pStyle w:val="NormalHanging12a"/>
      </w:pPr>
      <w:r w:rsidRPr="008A7F5C">
        <w:t>6.</w:t>
      </w:r>
      <w:r w:rsidRPr="008A7F5C">
        <w:tab/>
        <w:t>εκφράζει την ικανοποίησή του για την πρόοδο που σημείωσε το Κέντρο όσον αφορά την κοινή εμπεριστατωμένη ανάλυση της ΕΕ για τις αγορές ναρκωτικών, η οποία διενεργείται σε συνεργασία με την Ευρωπόλ, δεδομένου ότι το 2022 δημοσιεύτηκαν ενότητες σχετικά με συγκεκριμένα ναρκωτικά και προγραμματίστηκαν και άλλες δημοσιεύσεις για το 2023· εκφράζει την ικανοποίησή του για το έργο που πραγματοποίησε το Κέντρο το 2022 για τη βελτίωση της ποιότητας και της διαθεσιμότητας των βασικών δεδομένων εφοδιασμού, σε συνεργασία με τα εθνικά σημεία εστίασης του δικτύου Reitox και την Ευρωπόλ· εκφράζει την ικανοποίησή του για την εκτέλεση όλων των καθηκόντων του Κέντρου στο πλαίσιο των επιχειρησιακών σχεδίων δράσης της Πολυκλαδικής Πλατφόρμας κατά των Εγκληματικών Απειλών για την κάνναβη, την κοκαΐνη και την ηρωίνη·</w:t>
      </w:r>
      <w:r w:rsidRPr="008A7F5C">
        <w:rPr>
          <w:rStyle w:val="FootnoteReference"/>
        </w:rPr>
        <w:t xml:space="preserve"> </w:t>
      </w:r>
      <w:r w:rsidRPr="008A7F5C">
        <w:t>υπενθυμίζει ότι η διακίνηση ναρκωτικών έχει αναγνωριστεί ως κύρια πηγή κέρδους και ως δίαυλος στρατολόγησης για το οργανωμένο έγκλημα και την τρομοκρατία, και τονίζει τη συμβολή του Κέντρου σε μια ασφαλέστερη Ευρώπη·</w:t>
      </w:r>
    </w:p>
    <w:p w:rsidR="008E3C1B" w:rsidRPr="008A7F5C" w:rsidRDefault="00543436" w:rsidP="008E3C1B">
      <w:pPr>
        <w:pStyle w:val="NormalHanging12a"/>
        <w:rPr>
          <w:szCs w:val="24"/>
        </w:rPr>
      </w:pPr>
      <w:r w:rsidRPr="008A7F5C">
        <w:t>7.</w:t>
      </w:r>
      <w:r w:rsidRPr="008A7F5C">
        <w:tab/>
        <w:t xml:space="preserve">εκφράζει την ικανοποίησή του για τη σελίδα ενημερωτικού υλικού «EMCDDA 4 Ukraine», η οποία δημιουργήθηκε για επαγγελματίες που εργάζονται στον τομέα των ναρκωτικών στην Ευρώπη προς στήριξη των εκτοπισθέντων από την Ουκρανία· </w:t>
      </w:r>
    </w:p>
    <w:p w:rsidR="008E3C1B" w:rsidRPr="008A7F5C" w:rsidRDefault="00543436" w:rsidP="008E3C1B">
      <w:pPr>
        <w:pStyle w:val="NormalHanging12a"/>
      </w:pPr>
      <w:r w:rsidRPr="008A7F5C">
        <w:t>8.</w:t>
      </w:r>
      <w:r w:rsidRPr="008A7F5C">
        <w:tab/>
        <w:t>εκφράζει την ικανοποίησή του για τη συνεχιζόμενη συνεργασία μεταξύ του Κέντρου και των χωρών εταίρων της Ευρωπαϊκής Πολιτικής Γειτονίας σε περιφερειακό επίπεδο, μέσω του έργου τεχνικής βοήθειας EU4MD, καθώς και για τη συνεχιζόμενη υλοποίηση του διμερούς έργου EMCDDA4GE σε συνεργασία με τη Γεωργία· χαιρετίζει την καθιέρωση επίσημης εταιρικής σχέσης στο πλαίσιο του προγράμματος συνεργασίας μεταξύ της Λατινικής Αμερικής, της Καραϊβικής και της Ευρωπαϊκής Ένωσης για τις πολιτικές στον τομέα των ναρκωτικών·</w:t>
      </w:r>
    </w:p>
    <w:p w:rsidR="005B6971" w:rsidRPr="008A7F5C" w:rsidRDefault="00543436" w:rsidP="00647C6C">
      <w:pPr>
        <w:ind w:left="560" w:hanging="560"/>
      </w:pPr>
      <w:r w:rsidRPr="008A7F5C">
        <w:t>9.</w:t>
      </w:r>
      <w:r w:rsidRPr="008A7F5C">
        <w:tab/>
        <w:t>εκφράζει την ικανοποίησή του για τη συνεργασία του Κέντρου με άλλους οργανισμούς και τη συμβολή του στο δίκτυο των οργανισμών ΔΕΥ· εκφράζει την ικανοποίησή του για τη συνεχή συνεργασία του Κέντρου με εθνικούς οργανισμούς για τα ναρκωτικά, τρίτες χώρες και διεθνείς οργανισμούς, όπως το UNODC και ο ΠΟΥ.</w:t>
      </w:r>
    </w:p>
    <w:p w:rsidR="00647C6C" w:rsidRPr="008A7F5C" w:rsidRDefault="00647C6C" w:rsidP="00647C6C">
      <w:r w:rsidRPr="008A7F5C">
        <w:br w:type="page"/>
      </w:r>
    </w:p>
    <w:p w:rsidR="00647C6C" w:rsidRPr="008A7F5C" w:rsidRDefault="00647C6C" w:rsidP="00647C6C">
      <w:pPr>
        <w:pStyle w:val="PageHeadingNotTOC"/>
      </w:pPr>
      <w:bookmarkStart w:id="1" w:name="ProcPageAD"/>
      <w:r w:rsidRPr="008A7F5C">
        <w:lastRenderedPageBreak/>
        <w:t>ΠΛΗΡΟΦΟΡΙΕΣ ΓΙΑ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47C6C" w:rsidRPr="008A7F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b/>
                <w:bCs/>
                <w:color w:val="000000"/>
                <w:sz w:val="20"/>
              </w:rPr>
            </w:pPr>
            <w:r w:rsidRPr="008A7F5C">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8A7F5C" w:rsidRDefault="00647C6C">
            <w:pPr>
              <w:autoSpaceDE w:val="0"/>
              <w:autoSpaceDN w:val="0"/>
              <w:adjustRightInd w:val="0"/>
              <w:rPr>
                <w:color w:val="000000"/>
                <w:sz w:val="20"/>
              </w:rPr>
            </w:pPr>
            <w:r w:rsidRPr="008A7F5C">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8A7F5C"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8A7F5C"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rFonts w:ascii="sans-serif" w:hAnsi="sans-serif" w:cs="sans-serif"/>
                <w:color w:val="000000"/>
                <w:szCs w:val="24"/>
              </w:rPr>
            </w:pPr>
          </w:p>
        </w:tc>
      </w:tr>
      <w:tr w:rsidR="00647C6C" w:rsidRPr="008A7F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b/>
                <w:bCs/>
                <w:color w:val="000000"/>
                <w:sz w:val="20"/>
              </w:rPr>
            </w:pPr>
            <w:r w:rsidRPr="008A7F5C">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8A7F5C" w:rsidRDefault="00647C6C">
            <w:pPr>
              <w:autoSpaceDE w:val="0"/>
              <w:autoSpaceDN w:val="0"/>
              <w:adjustRightInd w:val="0"/>
              <w:rPr>
                <w:color w:val="000000"/>
                <w:sz w:val="20"/>
              </w:rPr>
            </w:pPr>
            <w:r w:rsidRPr="008A7F5C">
              <w:rPr>
                <w:color w:val="000000"/>
                <w:sz w:val="20"/>
              </w:rPr>
              <w:t>+:</w:t>
            </w:r>
          </w:p>
          <w:p w:rsidR="00647C6C" w:rsidRPr="008A7F5C" w:rsidRDefault="00647C6C">
            <w:pPr>
              <w:autoSpaceDE w:val="0"/>
              <w:autoSpaceDN w:val="0"/>
              <w:adjustRightInd w:val="0"/>
              <w:rPr>
                <w:color w:val="000000"/>
                <w:sz w:val="20"/>
              </w:rPr>
            </w:pPr>
            <w:r w:rsidRPr="008A7F5C">
              <w:rPr>
                <w:color w:val="000000"/>
                <w:sz w:val="20"/>
              </w:rPr>
              <w:t>–:</w:t>
            </w:r>
          </w:p>
          <w:p w:rsidR="00647C6C" w:rsidRPr="008A7F5C" w:rsidRDefault="00647C6C">
            <w:pPr>
              <w:autoSpaceDE w:val="0"/>
              <w:autoSpaceDN w:val="0"/>
              <w:adjustRightInd w:val="0"/>
              <w:rPr>
                <w:color w:val="000000"/>
                <w:sz w:val="20"/>
              </w:rPr>
            </w:pPr>
            <w:r w:rsidRPr="008A7F5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color w:val="000000"/>
                <w:sz w:val="20"/>
              </w:rPr>
            </w:pPr>
            <w:r w:rsidRPr="008A7F5C">
              <w:rPr>
                <w:color w:val="000000"/>
                <w:sz w:val="20"/>
              </w:rPr>
              <w:t>52</w:t>
            </w:r>
          </w:p>
          <w:p w:rsidR="00647C6C" w:rsidRPr="008A7F5C" w:rsidRDefault="00647C6C">
            <w:pPr>
              <w:autoSpaceDE w:val="0"/>
              <w:autoSpaceDN w:val="0"/>
              <w:adjustRightInd w:val="0"/>
              <w:rPr>
                <w:color w:val="000000"/>
                <w:sz w:val="20"/>
              </w:rPr>
            </w:pPr>
            <w:r w:rsidRPr="008A7F5C">
              <w:rPr>
                <w:color w:val="000000"/>
                <w:sz w:val="20"/>
              </w:rPr>
              <w:t>1</w:t>
            </w:r>
          </w:p>
          <w:p w:rsidR="00647C6C" w:rsidRPr="008A7F5C" w:rsidRDefault="00647C6C">
            <w:pPr>
              <w:autoSpaceDE w:val="0"/>
              <w:autoSpaceDN w:val="0"/>
              <w:adjustRightInd w:val="0"/>
              <w:rPr>
                <w:color w:val="000000"/>
                <w:sz w:val="20"/>
              </w:rPr>
            </w:pPr>
            <w:r w:rsidRPr="008A7F5C">
              <w:rPr>
                <w:color w:val="000000"/>
                <w:sz w:val="20"/>
              </w:rPr>
              <w:t>3</w:t>
            </w:r>
          </w:p>
        </w:tc>
      </w:tr>
      <w:tr w:rsidR="00647C6C" w:rsidRPr="008A7F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b/>
                <w:bCs/>
                <w:color w:val="000000"/>
                <w:sz w:val="20"/>
              </w:rPr>
            </w:pPr>
            <w:r w:rsidRPr="008A7F5C">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color w:val="000000"/>
                <w:sz w:val="20"/>
              </w:rPr>
            </w:pPr>
            <w:r w:rsidRPr="008A7F5C">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Ελισσάβετ Βόζεμπεργκ-Βρυωνίδη, Javier Zarzalejos</w:t>
            </w:r>
          </w:p>
        </w:tc>
      </w:tr>
      <w:tr w:rsidR="00647C6C" w:rsidRPr="008A7F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b/>
                <w:bCs/>
                <w:color w:val="000000"/>
                <w:sz w:val="20"/>
              </w:rPr>
            </w:pPr>
            <w:r w:rsidRPr="008A7F5C">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color w:val="000000"/>
                <w:sz w:val="20"/>
              </w:rPr>
            </w:pPr>
            <w:r w:rsidRPr="008A7F5C">
              <w:rPr>
                <w:color w:val="000000"/>
                <w:sz w:val="20"/>
              </w:rPr>
              <w:t>Cyrus Engerer, José Gusmão, Beata Kempa, Leopoldo López Gil, Janina Ochojska, Anne-Sophie Pelletier, Bergur Løkke Rasmussen, Róża Thun und Hohenstein, Maria Walsh, Tomáš Zdechovský</w:t>
            </w:r>
          </w:p>
        </w:tc>
      </w:tr>
      <w:tr w:rsidR="00647C6C" w:rsidRPr="008A7F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b/>
                <w:bCs/>
                <w:color w:val="000000"/>
                <w:sz w:val="20"/>
              </w:rPr>
            </w:pPr>
            <w:r w:rsidRPr="008A7F5C">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8A7F5C" w:rsidRDefault="00647C6C">
            <w:pPr>
              <w:autoSpaceDE w:val="0"/>
              <w:autoSpaceDN w:val="0"/>
              <w:adjustRightInd w:val="0"/>
              <w:rPr>
                <w:color w:val="000000"/>
                <w:sz w:val="20"/>
              </w:rPr>
            </w:pPr>
            <w:r w:rsidRPr="008A7F5C">
              <w:rPr>
                <w:color w:val="000000"/>
                <w:sz w:val="20"/>
              </w:rPr>
              <w:t>Andrus Ansip, Hildegard Bentele, Maria da Graça Carvalho, Marisa Matias, Caroline Nagtegaal</w:t>
            </w:r>
          </w:p>
        </w:tc>
      </w:tr>
    </w:tbl>
    <w:p w:rsidR="00647C6C" w:rsidRPr="008A7F5C" w:rsidRDefault="00647C6C"/>
    <w:bookmarkEnd w:id="1"/>
    <w:p w:rsidR="001B663A" w:rsidRPr="008A7F5C" w:rsidRDefault="001B663A" w:rsidP="00647C6C">
      <w:pPr>
        <w:sectPr w:rsidR="001B663A" w:rsidRPr="008A7F5C" w:rsidSect="008A7F5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B663A" w:rsidRPr="008A7F5C" w:rsidRDefault="001B663A" w:rsidP="002B2C72">
      <w:pPr>
        <w:pStyle w:val="PageHeadingNotTOC"/>
        <w:rPr>
          <w:noProof/>
        </w:rPr>
      </w:pPr>
      <w:bookmarkStart w:id="2" w:name="FootprintPageAD"/>
      <w:r w:rsidRPr="008A7F5C">
        <w:lastRenderedPageBreak/>
        <w:t>ΠΑΡΑΡΤΗΜΑ: ΟΝΤΟΤΗΤΕΣ Ή ΠΡΟΣΩΠΑ</w:t>
      </w:r>
      <w:r w:rsidRPr="008A7F5C">
        <w:br/>
        <w:t>ΠΟΥ ΕΧΟΥΝ ΚΑΤΑΘΕΣΕΙ ΤΙΣ ΕΙΣΗΓΗΣΕΙΣ ΤΟΥΣ Σ</w:t>
      </w:r>
      <w:bookmarkStart w:id="3" w:name="_GoBack"/>
      <w:bookmarkEnd w:id="3"/>
      <w:r w:rsidRPr="008A7F5C">
        <w:t>ΤΟΝ ΣΥΝΤΑΚΤΗ ΤΗΣ ΓΝΩΜΟΔΟΤΗΣΗΣ</w:t>
      </w:r>
    </w:p>
    <w:p w:rsidR="001B663A" w:rsidRPr="008A7F5C" w:rsidRDefault="001B663A" w:rsidP="00037518">
      <w:pPr>
        <w:pStyle w:val="Normal24a"/>
      </w:pPr>
      <w:r w:rsidRPr="008A7F5C">
        <w:rPr>
          <w:rStyle w:val="HideTWBExt"/>
        </w:rPr>
        <w:t>&lt;FootprintIntro&gt;</w:t>
      </w:r>
      <w:r w:rsidRPr="008A7F5C">
        <w:t>Ο συντάκτης της γνωμοδότησης δηλώνει, υπό την αποκλειστική του ευθύνη,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8A7F5C">
        <w:rPr>
          <w:rStyle w:val="HideTWBExt"/>
        </w:rPr>
        <w:t>&lt;/FootprintIntro&gt;</w:t>
      </w:r>
    </w:p>
    <w:p w:rsidR="001B663A" w:rsidRPr="008A7F5C" w:rsidRDefault="001B663A" w:rsidP="00AD5932"/>
    <w:p w:rsidR="001B663A" w:rsidRPr="008A7F5C" w:rsidRDefault="001B663A" w:rsidP="001B663A"/>
    <w:bookmarkEnd w:id="2"/>
    <w:p w:rsidR="001B663A" w:rsidRPr="008A7F5C" w:rsidRDefault="001B663A" w:rsidP="00647C6C">
      <w:pPr>
        <w:sectPr w:rsidR="001B663A" w:rsidRPr="008A7F5C" w:rsidSect="001B663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7C6C" w:rsidRPr="008A7F5C" w:rsidRDefault="00647C6C" w:rsidP="00647C6C">
      <w:pPr>
        <w:pStyle w:val="PageHeadingNotTOC"/>
      </w:pPr>
      <w:bookmarkStart w:id="4" w:name="RollCallPageAD"/>
      <w:r w:rsidRPr="008A7F5C">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8A7F5C" w:rsidTr="008920AC">
        <w:trPr>
          <w:cantSplit/>
        </w:trPr>
        <w:tc>
          <w:tcPr>
            <w:tcW w:w="1701" w:type="dxa"/>
            <w:shd w:val="pct10" w:color="000000" w:fill="FFFFFF"/>
            <w:vAlign w:val="center"/>
          </w:tcPr>
          <w:p w:rsidR="00647C6C" w:rsidRPr="008A7F5C" w:rsidRDefault="00647C6C" w:rsidP="003858C5">
            <w:pPr>
              <w:pStyle w:val="RollCallVotes"/>
            </w:pPr>
            <w:r w:rsidRPr="008A7F5C">
              <w:t>52</w:t>
            </w:r>
          </w:p>
        </w:tc>
        <w:tc>
          <w:tcPr>
            <w:tcW w:w="7371" w:type="dxa"/>
            <w:shd w:val="pct10" w:color="000000" w:fill="FFFFFF"/>
          </w:tcPr>
          <w:p w:rsidR="00647C6C" w:rsidRPr="008A7F5C" w:rsidRDefault="00647C6C" w:rsidP="003858C5">
            <w:pPr>
              <w:pStyle w:val="RollCallSymbols14pt"/>
            </w:pPr>
            <w:r w:rsidRPr="008A7F5C">
              <w:t>+</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ECR</w:t>
            </w:r>
          </w:p>
        </w:tc>
        <w:tc>
          <w:tcPr>
            <w:tcW w:w="7371" w:type="dxa"/>
            <w:shd w:val="clear" w:color="auto" w:fill="FFFFFF"/>
          </w:tcPr>
          <w:p w:rsidR="00647C6C" w:rsidRPr="008A7F5C" w:rsidRDefault="00647C6C" w:rsidP="003858C5">
            <w:pPr>
              <w:pStyle w:val="RollCallTable"/>
            </w:pPr>
            <w:r w:rsidRPr="008A7F5C">
              <w:t>Jorge Buxadé Villalba, Patryk Jaki, Assita Kanko, Beata Kempa, Vincenzo Sofo</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NI</w:t>
            </w:r>
          </w:p>
        </w:tc>
        <w:tc>
          <w:tcPr>
            <w:tcW w:w="7371" w:type="dxa"/>
            <w:shd w:val="clear" w:color="auto" w:fill="FFFFFF"/>
          </w:tcPr>
          <w:p w:rsidR="00647C6C" w:rsidRPr="008A7F5C" w:rsidRDefault="00647C6C" w:rsidP="003858C5">
            <w:pPr>
              <w:pStyle w:val="RollCallTable"/>
            </w:pPr>
            <w:r w:rsidRPr="008A7F5C">
              <w:t>Laura Ferrara</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PPE</w:t>
            </w:r>
          </w:p>
        </w:tc>
        <w:tc>
          <w:tcPr>
            <w:tcW w:w="7371" w:type="dxa"/>
            <w:shd w:val="clear" w:color="auto" w:fill="FFFFFF"/>
          </w:tcPr>
          <w:p w:rsidR="00647C6C" w:rsidRPr="008A7F5C" w:rsidRDefault="00647C6C" w:rsidP="003858C5">
            <w:pPr>
              <w:pStyle w:val="RollCallTable"/>
            </w:pPr>
            <w:r w:rsidRPr="008A7F5C">
              <w:t>Magdalena Adamowicz, Hildegard Bentele, Maria da Graça Carvalho, Lena Düpont, Andrzej Halicki, Jeroen Lenaers, Leopoldo López Gil, Janina Ochojska, Ελισσάβετ Βόζεμπεργκ-Βρυωνίδη, Maria Walsh, Javier Zarzalejos, Tomáš Zdechovský</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Renew</w:t>
            </w:r>
          </w:p>
        </w:tc>
        <w:tc>
          <w:tcPr>
            <w:tcW w:w="7371" w:type="dxa"/>
            <w:shd w:val="clear" w:color="auto" w:fill="FFFFFF"/>
          </w:tcPr>
          <w:p w:rsidR="00647C6C" w:rsidRPr="008A7F5C" w:rsidRDefault="00647C6C" w:rsidP="003858C5">
            <w:pPr>
              <w:pStyle w:val="RollCallTable"/>
            </w:pPr>
            <w:r w:rsidRPr="008A7F5C">
              <w:t>Abir Al-Sahlani, Andrus Ansip, Lucia Ďuriš Nicholsonová, Sophia in 't Veld, Moritz Körner, Caroline Nagtegaal, Maite Pagazaurtundúa, Bergur Løkke Rasmussen, Róża Thun und Hohenstein, Jana Toom</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S&amp;D</w:t>
            </w:r>
          </w:p>
        </w:tc>
        <w:tc>
          <w:tcPr>
            <w:tcW w:w="7371" w:type="dxa"/>
            <w:shd w:val="clear" w:color="auto" w:fill="FFFFFF"/>
          </w:tcPr>
          <w:p w:rsidR="00647C6C" w:rsidRPr="008A7F5C" w:rsidRDefault="00647C6C" w:rsidP="003858C5">
            <w:pPr>
              <w:pStyle w:val="RollCallTable"/>
            </w:pPr>
            <w:r w:rsidRPr="008A7F5C">
              <w:t>Katarina Barley, Pietro Bartolo, Theresa Bielowski, Cyrus Engerer, Maria Grapini, Sylvie Guillaume, Evin Incir, Marina Kaljurand, Łukasz Kohut, Juan Fernando López Aguilar, Javier Moreno Sánchez, Isabel Santos, Birgit Sippel</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The Left</w:t>
            </w:r>
          </w:p>
        </w:tc>
        <w:tc>
          <w:tcPr>
            <w:tcW w:w="7371" w:type="dxa"/>
            <w:shd w:val="clear" w:color="auto" w:fill="FFFFFF"/>
          </w:tcPr>
          <w:p w:rsidR="00647C6C" w:rsidRPr="008A7F5C" w:rsidRDefault="00647C6C" w:rsidP="003858C5">
            <w:pPr>
              <w:pStyle w:val="RollCallTable"/>
            </w:pPr>
            <w:r w:rsidRPr="008A7F5C">
              <w:t>Cornelia Ernst, José Gusmão, Marisa Matias, Anne-Sophie Pelletier</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Verts/ALE</w:t>
            </w:r>
          </w:p>
        </w:tc>
        <w:tc>
          <w:tcPr>
            <w:tcW w:w="7371" w:type="dxa"/>
            <w:shd w:val="clear" w:color="auto" w:fill="FFFFFF"/>
          </w:tcPr>
          <w:p w:rsidR="00647C6C" w:rsidRPr="008A7F5C" w:rsidRDefault="00647C6C" w:rsidP="003858C5">
            <w:pPr>
              <w:pStyle w:val="RollCallTable"/>
            </w:pPr>
            <w:r w:rsidRPr="008A7F5C">
              <w:t>Patrick Breyer, Saskia Bricmont, Damien Carême, Alice Kuhnke, Erik Marquardt, Diana Riba i Giner, Tineke Strik</w:t>
            </w:r>
          </w:p>
        </w:tc>
      </w:tr>
    </w:tbl>
    <w:p w:rsidR="00647C6C" w:rsidRPr="008A7F5C"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8A7F5C" w:rsidTr="008920AC">
        <w:trPr>
          <w:cantSplit/>
        </w:trPr>
        <w:tc>
          <w:tcPr>
            <w:tcW w:w="1701" w:type="dxa"/>
            <w:shd w:val="pct10" w:color="000000" w:fill="FFFFFF"/>
            <w:vAlign w:val="center"/>
          </w:tcPr>
          <w:p w:rsidR="00647C6C" w:rsidRPr="008A7F5C" w:rsidRDefault="00647C6C" w:rsidP="003858C5">
            <w:pPr>
              <w:pStyle w:val="RollCallVotes"/>
            </w:pPr>
            <w:r w:rsidRPr="008A7F5C">
              <w:t>1</w:t>
            </w:r>
          </w:p>
        </w:tc>
        <w:tc>
          <w:tcPr>
            <w:tcW w:w="7371" w:type="dxa"/>
            <w:shd w:val="pct10" w:color="000000" w:fill="FFFFFF"/>
          </w:tcPr>
          <w:p w:rsidR="00647C6C" w:rsidRPr="008A7F5C" w:rsidRDefault="00647C6C" w:rsidP="003858C5">
            <w:pPr>
              <w:pStyle w:val="RollCallSymbols14pt"/>
            </w:pPr>
            <w:r w:rsidRPr="008A7F5C">
              <w:t>-</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NI</w:t>
            </w:r>
          </w:p>
        </w:tc>
        <w:tc>
          <w:tcPr>
            <w:tcW w:w="7371" w:type="dxa"/>
            <w:shd w:val="clear" w:color="auto" w:fill="FFFFFF"/>
          </w:tcPr>
          <w:p w:rsidR="00647C6C" w:rsidRPr="008A7F5C" w:rsidRDefault="00647C6C" w:rsidP="003858C5">
            <w:pPr>
              <w:pStyle w:val="RollCallTable"/>
            </w:pPr>
            <w:r w:rsidRPr="008A7F5C">
              <w:t>Milan Uhrík</w:t>
            </w:r>
          </w:p>
        </w:tc>
      </w:tr>
    </w:tbl>
    <w:p w:rsidR="00647C6C" w:rsidRPr="008A7F5C"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8A7F5C" w:rsidTr="008920AC">
        <w:trPr>
          <w:cantSplit/>
        </w:trPr>
        <w:tc>
          <w:tcPr>
            <w:tcW w:w="1701" w:type="dxa"/>
            <w:shd w:val="pct10" w:color="000000" w:fill="FFFFFF"/>
            <w:vAlign w:val="center"/>
          </w:tcPr>
          <w:p w:rsidR="00647C6C" w:rsidRPr="008A7F5C" w:rsidRDefault="00647C6C" w:rsidP="003858C5">
            <w:pPr>
              <w:pStyle w:val="RollCallVotes"/>
            </w:pPr>
            <w:r w:rsidRPr="008A7F5C">
              <w:t>3</w:t>
            </w:r>
          </w:p>
        </w:tc>
        <w:tc>
          <w:tcPr>
            <w:tcW w:w="7371" w:type="dxa"/>
            <w:shd w:val="pct10" w:color="000000" w:fill="FFFFFF"/>
          </w:tcPr>
          <w:p w:rsidR="00647C6C" w:rsidRPr="008A7F5C" w:rsidRDefault="00647C6C" w:rsidP="003858C5">
            <w:pPr>
              <w:pStyle w:val="RollCallSymbols14pt"/>
            </w:pPr>
            <w:r w:rsidRPr="008A7F5C">
              <w:t>0</w:t>
            </w:r>
          </w:p>
        </w:tc>
      </w:tr>
      <w:tr w:rsidR="00647C6C" w:rsidRPr="008A7F5C" w:rsidTr="008920AC">
        <w:trPr>
          <w:cantSplit/>
        </w:trPr>
        <w:tc>
          <w:tcPr>
            <w:tcW w:w="1701" w:type="dxa"/>
            <w:shd w:val="clear" w:color="auto" w:fill="FFFFFF"/>
          </w:tcPr>
          <w:p w:rsidR="00647C6C" w:rsidRPr="008A7F5C" w:rsidRDefault="00647C6C" w:rsidP="003858C5">
            <w:pPr>
              <w:pStyle w:val="RollCallTable"/>
            </w:pPr>
            <w:r w:rsidRPr="008A7F5C">
              <w:t>ID</w:t>
            </w:r>
          </w:p>
        </w:tc>
        <w:tc>
          <w:tcPr>
            <w:tcW w:w="7371" w:type="dxa"/>
            <w:shd w:val="clear" w:color="auto" w:fill="FFFFFF"/>
          </w:tcPr>
          <w:p w:rsidR="00647C6C" w:rsidRPr="008A7F5C" w:rsidRDefault="00647C6C" w:rsidP="003858C5">
            <w:pPr>
              <w:pStyle w:val="RollCallTable"/>
            </w:pPr>
            <w:r w:rsidRPr="008A7F5C">
              <w:t>Patricia Chagnon, Nicolaus Fest, Tom Vandendriessche</w:t>
            </w:r>
          </w:p>
        </w:tc>
      </w:tr>
    </w:tbl>
    <w:p w:rsidR="00647C6C" w:rsidRPr="008A7F5C" w:rsidRDefault="00647C6C" w:rsidP="00147FBF">
      <w:pPr>
        <w:pStyle w:val="Normal12a"/>
      </w:pPr>
    </w:p>
    <w:p w:rsidR="00647C6C" w:rsidRPr="008A7F5C" w:rsidRDefault="00647C6C" w:rsidP="00B735E3">
      <w:r w:rsidRPr="008A7F5C">
        <w:t>Υπόμνημα των χρησιμοποιούμενων συμβόλων:</w:t>
      </w:r>
    </w:p>
    <w:p w:rsidR="00647C6C" w:rsidRPr="008A7F5C" w:rsidRDefault="00647C6C" w:rsidP="003858C5">
      <w:pPr>
        <w:pStyle w:val="RollCallTabs"/>
      </w:pPr>
      <w:r w:rsidRPr="008A7F5C">
        <w:t>+</w:t>
      </w:r>
      <w:r w:rsidRPr="008A7F5C">
        <w:tab/>
        <w:t>:</w:t>
      </w:r>
      <w:r w:rsidRPr="008A7F5C">
        <w:tab/>
        <w:t>υπέρ</w:t>
      </w:r>
    </w:p>
    <w:p w:rsidR="00647C6C" w:rsidRPr="008A7F5C" w:rsidRDefault="00647C6C" w:rsidP="003858C5">
      <w:pPr>
        <w:pStyle w:val="RollCallTabs"/>
      </w:pPr>
      <w:r w:rsidRPr="008A7F5C">
        <w:t>-</w:t>
      </w:r>
      <w:r w:rsidRPr="008A7F5C">
        <w:tab/>
        <w:t>:</w:t>
      </w:r>
      <w:r w:rsidRPr="008A7F5C">
        <w:tab/>
        <w:t>κατά</w:t>
      </w:r>
    </w:p>
    <w:p w:rsidR="00647C6C" w:rsidRPr="008A7F5C" w:rsidRDefault="00647C6C" w:rsidP="003858C5">
      <w:pPr>
        <w:pStyle w:val="RollCallTabs"/>
      </w:pPr>
      <w:r w:rsidRPr="008A7F5C">
        <w:t>0</w:t>
      </w:r>
      <w:r w:rsidRPr="008A7F5C">
        <w:tab/>
        <w:t>:</w:t>
      </w:r>
      <w:r w:rsidRPr="008A7F5C">
        <w:tab/>
        <w:t>αποχή</w:t>
      </w:r>
    </w:p>
    <w:p w:rsidR="00647C6C" w:rsidRPr="008A7F5C" w:rsidRDefault="00647C6C" w:rsidP="00207509"/>
    <w:bookmarkEnd w:id="4"/>
    <w:p w:rsidR="002E6F98" w:rsidRPr="008A7F5C" w:rsidRDefault="002E6F98" w:rsidP="00647C6C"/>
    <w:sectPr w:rsidR="002E6F98" w:rsidRPr="008A7F5C" w:rsidSect="001B6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C8C" w:rsidRPr="008A7F5C" w:rsidRDefault="007B2C8C">
      <w:r w:rsidRPr="008A7F5C">
        <w:separator/>
      </w:r>
    </w:p>
  </w:endnote>
  <w:endnote w:type="continuationSeparator" w:id="0">
    <w:p w:rsidR="007B2C8C" w:rsidRPr="008A7F5C" w:rsidRDefault="007B2C8C">
      <w:r w:rsidRPr="008A7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5C" w:rsidRPr="008A7F5C" w:rsidRDefault="008A7F5C" w:rsidP="008A7F5C">
    <w:pPr>
      <w:pStyle w:val="EPFooter"/>
    </w:pPr>
    <w:r w:rsidRPr="008A7F5C">
      <w:t>PE</w:t>
    </w:r>
    <w:r w:rsidRPr="008A7F5C">
      <w:rPr>
        <w:rStyle w:val="HideTWBExt"/>
      </w:rPr>
      <w:t>&lt;NoPE&gt;</w:t>
    </w:r>
    <w:r w:rsidRPr="008A7F5C">
      <w:t>756.194</w:t>
    </w:r>
    <w:r w:rsidRPr="008A7F5C">
      <w:rPr>
        <w:rStyle w:val="HideTWBExt"/>
      </w:rPr>
      <w:t>&lt;/NoPE&gt;&lt;Version&gt;</w:t>
    </w:r>
    <w:r w:rsidRPr="008A7F5C">
      <w:t>v03-00</w:t>
    </w:r>
    <w:r w:rsidRPr="008A7F5C">
      <w:rPr>
        <w:rStyle w:val="HideTWBExt"/>
      </w:rPr>
      <w:t>&lt;/Version&gt;</w:t>
    </w:r>
    <w:r w:rsidRPr="008A7F5C">
      <w:tab/>
    </w:r>
    <w:r w:rsidRPr="008A7F5C">
      <w:fldChar w:fldCharType="begin"/>
    </w:r>
    <w:r w:rsidRPr="008A7F5C">
      <w:instrText xml:space="preserve"> PAGE  \* MERGEFORMAT </w:instrText>
    </w:r>
    <w:r w:rsidRPr="008A7F5C">
      <w:fldChar w:fldCharType="separate"/>
    </w:r>
    <w:r w:rsidR="00A22422">
      <w:rPr>
        <w:noProof/>
      </w:rPr>
      <w:t>6</w:t>
    </w:r>
    <w:r w:rsidRPr="008A7F5C">
      <w:fldChar w:fldCharType="end"/>
    </w:r>
    <w:r w:rsidRPr="008A7F5C">
      <w:t>/</w:t>
    </w:r>
    <w:fldSimple w:instr=" NUMPAGES  \* MERGEFORMAT ">
      <w:r w:rsidR="00A22422">
        <w:rPr>
          <w:noProof/>
        </w:rPr>
        <w:t>7</w:t>
      </w:r>
    </w:fldSimple>
    <w:r w:rsidRPr="008A7F5C">
      <w:tab/>
    </w:r>
    <w:r w:rsidRPr="008A7F5C">
      <w:rPr>
        <w:rStyle w:val="HideTWBExt"/>
      </w:rPr>
      <w:t>&lt;PathFdR&gt;</w:t>
    </w:r>
    <w:r w:rsidRPr="008A7F5C">
      <w:t>AD\1295226EL.docx</w:t>
    </w:r>
    <w:r w:rsidRPr="008A7F5C">
      <w:rPr>
        <w:rStyle w:val="HideTWBExt"/>
      </w:rPr>
      <w:t>&lt;/PathFdR&gt;</w:t>
    </w:r>
  </w:p>
  <w:p w:rsidR="002E2F2E" w:rsidRPr="008A7F5C" w:rsidRDefault="008A7F5C" w:rsidP="008A7F5C">
    <w:pPr>
      <w:pStyle w:val="EPFooter2"/>
    </w:pPr>
    <w:r w:rsidRPr="008A7F5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5C" w:rsidRPr="008A7F5C" w:rsidRDefault="008A7F5C" w:rsidP="008A7F5C">
    <w:pPr>
      <w:pStyle w:val="EPFooter"/>
    </w:pPr>
    <w:r w:rsidRPr="008A7F5C">
      <w:rPr>
        <w:rStyle w:val="HideTWBExt"/>
      </w:rPr>
      <w:t>&lt;PathFdR&gt;</w:t>
    </w:r>
    <w:r w:rsidRPr="008A7F5C">
      <w:t>AD\1295226EL.docx</w:t>
    </w:r>
    <w:r w:rsidRPr="008A7F5C">
      <w:rPr>
        <w:rStyle w:val="HideTWBExt"/>
      </w:rPr>
      <w:t>&lt;/PathFdR&gt;</w:t>
    </w:r>
    <w:r w:rsidRPr="008A7F5C">
      <w:tab/>
    </w:r>
    <w:r w:rsidRPr="008A7F5C">
      <w:fldChar w:fldCharType="begin"/>
    </w:r>
    <w:r w:rsidRPr="008A7F5C">
      <w:instrText xml:space="preserve"> PAGE  \* MERGEFORMAT </w:instrText>
    </w:r>
    <w:r w:rsidRPr="008A7F5C">
      <w:fldChar w:fldCharType="separate"/>
    </w:r>
    <w:r w:rsidR="00A22422">
      <w:rPr>
        <w:noProof/>
      </w:rPr>
      <w:t>5</w:t>
    </w:r>
    <w:r w:rsidRPr="008A7F5C">
      <w:fldChar w:fldCharType="end"/>
    </w:r>
    <w:r w:rsidRPr="008A7F5C">
      <w:t>/</w:t>
    </w:r>
    <w:fldSimple w:instr=" NUMPAGES  \* MERGEFORMAT ">
      <w:r w:rsidR="00A22422">
        <w:rPr>
          <w:noProof/>
        </w:rPr>
        <w:t>7</w:t>
      </w:r>
    </w:fldSimple>
    <w:r w:rsidRPr="008A7F5C">
      <w:tab/>
      <w:t>PE</w:t>
    </w:r>
    <w:r w:rsidRPr="008A7F5C">
      <w:rPr>
        <w:rStyle w:val="HideTWBExt"/>
      </w:rPr>
      <w:t>&lt;NoPE&gt;</w:t>
    </w:r>
    <w:r w:rsidRPr="008A7F5C">
      <w:t>756.194</w:t>
    </w:r>
    <w:r w:rsidRPr="008A7F5C">
      <w:rPr>
        <w:rStyle w:val="HideTWBExt"/>
      </w:rPr>
      <w:t>&lt;/NoPE&gt;&lt;Version&gt;</w:t>
    </w:r>
    <w:r w:rsidRPr="008A7F5C">
      <w:t>v03-00</w:t>
    </w:r>
    <w:r w:rsidRPr="008A7F5C">
      <w:rPr>
        <w:rStyle w:val="HideTWBExt"/>
      </w:rPr>
      <w:t>&lt;/Version&gt;</w:t>
    </w:r>
  </w:p>
  <w:p w:rsidR="002E2F2E" w:rsidRPr="008A7F5C" w:rsidRDefault="008A7F5C" w:rsidP="008A7F5C">
    <w:pPr>
      <w:pStyle w:val="EPFooter2"/>
    </w:pPr>
    <w:r w:rsidRPr="008A7F5C">
      <w:tab/>
    </w:r>
    <w:r w:rsidRPr="008A7F5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5C" w:rsidRPr="008A7F5C" w:rsidRDefault="008A7F5C" w:rsidP="008A7F5C">
    <w:pPr>
      <w:pStyle w:val="EPFooter"/>
    </w:pPr>
    <w:r w:rsidRPr="008A7F5C">
      <w:rPr>
        <w:rStyle w:val="HideTWBExt"/>
      </w:rPr>
      <w:t>&lt;PathFdR&gt;</w:t>
    </w:r>
    <w:r w:rsidRPr="008A7F5C">
      <w:t>AD\1295226EL.docx</w:t>
    </w:r>
    <w:r w:rsidRPr="008A7F5C">
      <w:rPr>
        <w:rStyle w:val="HideTWBExt"/>
      </w:rPr>
      <w:t>&lt;/PathFdR&gt;</w:t>
    </w:r>
    <w:r w:rsidRPr="008A7F5C">
      <w:tab/>
    </w:r>
    <w:r w:rsidRPr="008A7F5C">
      <w:tab/>
      <w:t>PE</w:t>
    </w:r>
    <w:r w:rsidRPr="008A7F5C">
      <w:rPr>
        <w:rStyle w:val="HideTWBExt"/>
      </w:rPr>
      <w:t>&lt;NoPE&gt;</w:t>
    </w:r>
    <w:r w:rsidRPr="008A7F5C">
      <w:t>756.194</w:t>
    </w:r>
    <w:r w:rsidRPr="008A7F5C">
      <w:rPr>
        <w:rStyle w:val="HideTWBExt"/>
      </w:rPr>
      <w:t>&lt;/NoPE&gt;&lt;Version&gt;</w:t>
    </w:r>
    <w:r w:rsidRPr="008A7F5C">
      <w:t>v03-00</w:t>
    </w:r>
    <w:r w:rsidRPr="008A7F5C">
      <w:rPr>
        <w:rStyle w:val="HideTWBExt"/>
      </w:rPr>
      <w:t>&lt;/Version&gt;</w:t>
    </w:r>
  </w:p>
  <w:p w:rsidR="002E2F2E" w:rsidRPr="008A7F5C" w:rsidRDefault="008A7F5C" w:rsidP="008A7F5C">
    <w:pPr>
      <w:pStyle w:val="EPFooter2"/>
    </w:pPr>
    <w:r w:rsidRPr="008A7F5C">
      <w:t>EL</w:t>
    </w:r>
    <w:r w:rsidRPr="008A7F5C">
      <w:tab/>
    </w:r>
    <w:r w:rsidRPr="008A7F5C">
      <w:rPr>
        <w:b w:val="0"/>
        <w:i/>
        <w:color w:val="C0C0C0"/>
        <w:sz w:val="22"/>
      </w:rPr>
      <w:t>Ενωμένη στην πολυμορφία</w:t>
    </w:r>
    <w:r w:rsidRPr="008A7F5C">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C8C" w:rsidRPr="008A7F5C" w:rsidRDefault="007B2C8C">
      <w:r w:rsidRPr="008A7F5C">
        <w:separator/>
      </w:r>
    </w:p>
  </w:footnote>
  <w:footnote w:type="continuationSeparator" w:id="0">
    <w:p w:rsidR="007B2C8C" w:rsidRPr="008A7F5C" w:rsidRDefault="007B2C8C">
      <w:r w:rsidRPr="008A7F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422" w:rsidRDefault="00A22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422" w:rsidRDefault="00A22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422" w:rsidRDefault="00A224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096 HideTWBInt;}{_x000d__x000a_\s18\ql \fi-567\li567\ri0\sa240\nowidctlpar\wrapdefault\aspalpha\aspnum\faauto\adjustright\rin0\lin567\itap0 \rtlch\fcs1 \af0\afs20\alang1025 \ltrch\fcs0 \fs24\lang2057\langfe2057\cgrid\langnp2057\langfenp2057 _x000d__x000a_\sbasedon0 \snext18 \spriority0 \styrsid96096 NormalHanging12a;}}{\*\rsidtbl \rsid24658\rsid96096\rsid223860\rsid735077\rsid1718133\rsid2892074\rsid3565327\rsid4666813\rsid6641733\rsid7823322\rsid9636012\rsid10377208\rsid11215221\rsid11549030\rsid12154954_x000d__x000a_\rsid13264953\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9}{\revtim\yr2024\mo1\dy22\hr10\min9}{\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096\newtblstyruls\nogrowautofit\usenormstyforlist\noindnmbrts\felnbrelev\nocxsptable\indrlsweleven\noafcnsttbl\afelev\utinl\hwelev\spltpgpar\notcvasp\notbrkcnstfrctbl\notvatxbx\krnprsnet\cachedcolbal \nouicompat \fet0_x000d__x000a_{\*\wgrffmtfilter 013f}\nofeaturethrottle1\ilfomacatclnup0{\*\template C:\\Users\\icuadrat\\AppData\\Local\\Temp\\Blank1.dotx}{\*\ftnsep \ltrpar \pard\plain \ltrpar\ql \li0\ri0\widctlpar\wrapdefault\aspalpha\aspnum\faauto\adjustright\rin0\lin0\itap0 _x000d__x000a_\rtlch\fcs1 \af0\afs20\alang1025 \ltrch\fcs0 \fs24\lang2057\langfe2057\cgrid\langnp2057\langfenp2057 {\rtlch\fcs1 \af0 \ltrch\fcs0 \insrsid13264953 \chftnsep _x000d__x000a_\par }}{\*\ftnsepc \ltrpar \pard\plain \ltrpar\ql \li0\ri0\widctlpar\wrapdefault\aspalpha\aspnum\faauto\adjustright\rin0\lin0\itap0 \rtlch\fcs1 \af0\afs20\alang1025 \ltrch\fcs0 \fs24\lang2057\langfe2057\cgrid\langnp2057\langfenp2057 {\rtlch\fcs1 \af0 _x000d__x000a_\ltrch\fcs0 \insrsid13264953 \chftnsepc _x000d__x000a_\par }}{\*\aftnsep \ltrpar \pard\plain \ltrpar\ql \li0\ri0\widctlpar\wrapdefault\aspalpha\aspnum\faauto\adjustright\rin0\lin0\itap0 \rtlch\fcs1 \af0\afs20\alang1025 \ltrch\fcs0 \fs24\lang2057\langfe2057\cgrid\langnp2057\langfenp2057 {\rtlch\fcs1 \af0 _x000d__x000a_\ltrch\fcs0 \insrsid13264953 \chftnsep _x000d__x000a_\par }}{\*\aftnsepc \ltrpar \pard\plain \ltrpar\ql \li0\ri0\widctlpar\wrapdefault\aspalpha\aspnum\faauto\adjustright\rin0\lin0\itap0 \rtlch\fcs1 \af0\afs20\alang1025 \ltrch\fcs0 \fs24\lang2057\langfe2057\cgrid\langnp2057\langfenp2057 {\rtlch\fcs1 \af0 _x000d__x000a_\ltrch\fcs0 \insrsid132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6096 \rtlch\fcs1 \af0\afs20\alang1025 \ltrch\fcs0 \fs24\lang2057\langfe2057\cgrid\langnp2057\langfenp2057 {\rtlch\fcs1 \af0 \ltrch\fcs0 _x000d__x000a_\insrsid96096\charrsid13044652 {\*\bkmkstart restart}#}{\rtlch\fcs1 \af1 \ltrch\fcs0 \cs17\v\f1\fs20\cf15\insrsid96096\charrsid13044652 NRMSG}{\rtlch\fcs1 \af0 \ltrch\fcs0 \insrsid96096\charrsid13044652 #.\tab ##}{\rtlch\fcs1 \af0 \ltrch\fcs0 _x000d__x000a_\insrsid9609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2_x000d__x000a_d9b4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265189 NormalHanging12a;}}{\*\rsidtbl \rsid24658\rsid223860\rsid735077\rsid1718133\rsid2892074\rsid3565327\rsid4666813\rsid6316134\rsid6641733\rsid7823322_x000d__x000a_\rsid926518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9}{\revtim\yr2024\mo1\dy22\hr10\min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518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6316134 \chftnsep _x000d__x000a_\par }}{\*\ftnsepc \ltrpar \pard\plain \ltrpar\ql \li0\ri0\widctlpar\wrapdefault\aspalpha\aspnum\faauto\adjustright\rin0\lin0\itap0 \rtlch\fcs1 \af0\afs20\alang1025 \ltrch\fcs0 \fs24\lang2057\langfe2057\cgrid\langnp2057\langfenp2057 {\rtlch\fcs1 \af0 _x000d__x000a_\ltrch\fcs0 \insrsid6316134 \chftnsepc _x000d__x000a_\par }}{\*\aftnsep \ltrpar \pard\plain \ltrpar\ql \li0\ri0\widctlpar\wrapdefault\aspalpha\aspnum\faauto\adjustright\rin0\lin0\itap0 \rtlch\fcs1 \af0\afs20\alang1025 \ltrch\fcs0 \fs24\lang2057\langfe2057\cgrid\langnp2057\langfenp2057 {\rtlch\fcs1 \af0 _x000d__x000a_\ltrch\fcs0 \insrsid6316134 \chftnsep _x000d__x000a_\par }}{\*\aftnsepc \ltrpar \pard\plain \ltrpar\ql \li0\ri0\widctlpar\wrapdefault\aspalpha\aspnum\faauto\adjustright\rin0\lin0\itap0 \rtlch\fcs1 \af0\afs20\alang1025 \ltrch\fcs0 \fs24\lang2057\langfe2057\cgrid\langnp2057\langfenp2057 {\rtlch\fcs1 \af0 _x000d__x000a_\ltrch\fcs0 \insrsid6316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265189 \rtlch\fcs1 \af0\afs20\alang1025 \ltrch\fcs0 \fs24\lang2057\langfe2057\cgrid\langnp2057\langfenp2057 {\rtlch\fcs1 \af0 _x000d__x000a_\ltrch\fcs0 \insrsid9265189\charrsid1525456 {\*\bkmkstart restart}[ZSUGGESTIONNR]\tab [ZSUGGESTIONTEXT]}{\rtlch\fcs1 \af0 \ltrch\fcs0 \insrsid926518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9_x000d__x000a_7bb7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L"/>
    <w:docVar w:name="TXTLANGUEMIN" w:val="el"/>
    <w:docVar w:name="TXTNRPE" w:val="756.194"/>
    <w:docVar w:name="TXTNRPROC" w:val="2023/2157"/>
    <w:docVar w:name="TXTPEorAP" w:val="PE"/>
    <w:docVar w:name="TXTROUTE" w:val="AD\1295226EL.docx"/>
    <w:docVar w:name="TXTTITLE" w:val="of the European Monitoring Centre for Drugs and Drug Addiction for the financial year 2022"/>
    <w:docVar w:name="TXTVERSION" w:val="03-00"/>
  </w:docVars>
  <w:rsids>
    <w:rsidRoot w:val="007B2C8C"/>
    <w:rsid w:val="000316E7"/>
    <w:rsid w:val="000E7EBF"/>
    <w:rsid w:val="00124F60"/>
    <w:rsid w:val="00135121"/>
    <w:rsid w:val="00140BE6"/>
    <w:rsid w:val="00147F4E"/>
    <w:rsid w:val="0016635E"/>
    <w:rsid w:val="001746D0"/>
    <w:rsid w:val="001B6005"/>
    <w:rsid w:val="001B663A"/>
    <w:rsid w:val="001B7393"/>
    <w:rsid w:val="001D2ED9"/>
    <w:rsid w:val="001D4AB6"/>
    <w:rsid w:val="001F21C1"/>
    <w:rsid w:val="002D28A7"/>
    <w:rsid w:val="002E2F2E"/>
    <w:rsid w:val="002E6F98"/>
    <w:rsid w:val="00325BCB"/>
    <w:rsid w:val="00331944"/>
    <w:rsid w:val="00332AD9"/>
    <w:rsid w:val="00347D2C"/>
    <w:rsid w:val="0037356F"/>
    <w:rsid w:val="00390EB2"/>
    <w:rsid w:val="00396A0E"/>
    <w:rsid w:val="003D00A4"/>
    <w:rsid w:val="003E2402"/>
    <w:rsid w:val="004C28FB"/>
    <w:rsid w:val="004C44C0"/>
    <w:rsid w:val="0052544E"/>
    <w:rsid w:val="00543436"/>
    <w:rsid w:val="00555018"/>
    <w:rsid w:val="005940C3"/>
    <w:rsid w:val="00594C48"/>
    <w:rsid w:val="005B2F11"/>
    <w:rsid w:val="005B6971"/>
    <w:rsid w:val="005C0BDF"/>
    <w:rsid w:val="005D60C6"/>
    <w:rsid w:val="006102E7"/>
    <w:rsid w:val="00635621"/>
    <w:rsid w:val="00640C1B"/>
    <w:rsid w:val="00647C6C"/>
    <w:rsid w:val="00657AFB"/>
    <w:rsid w:val="006D5BF7"/>
    <w:rsid w:val="007B0491"/>
    <w:rsid w:val="007B2C8C"/>
    <w:rsid w:val="007F2664"/>
    <w:rsid w:val="008313E7"/>
    <w:rsid w:val="00854CAC"/>
    <w:rsid w:val="008A32C5"/>
    <w:rsid w:val="008A7F5C"/>
    <w:rsid w:val="008C6203"/>
    <w:rsid w:val="008D61E7"/>
    <w:rsid w:val="008E3C1B"/>
    <w:rsid w:val="008F7002"/>
    <w:rsid w:val="009177EE"/>
    <w:rsid w:val="0099493F"/>
    <w:rsid w:val="00A16BEA"/>
    <w:rsid w:val="00A22422"/>
    <w:rsid w:val="00A312B3"/>
    <w:rsid w:val="00A72C35"/>
    <w:rsid w:val="00A82ACC"/>
    <w:rsid w:val="00AE180F"/>
    <w:rsid w:val="00B362F7"/>
    <w:rsid w:val="00B4432D"/>
    <w:rsid w:val="00B5456B"/>
    <w:rsid w:val="00B74B53"/>
    <w:rsid w:val="00BC26E4"/>
    <w:rsid w:val="00BD1EAA"/>
    <w:rsid w:val="00C52739"/>
    <w:rsid w:val="00C66DC4"/>
    <w:rsid w:val="00C827FF"/>
    <w:rsid w:val="00CD34AC"/>
    <w:rsid w:val="00DE19FF"/>
    <w:rsid w:val="00E65F6A"/>
    <w:rsid w:val="00E66C67"/>
    <w:rsid w:val="00E81BA6"/>
    <w:rsid w:val="00E856D2"/>
    <w:rsid w:val="00E929A7"/>
    <w:rsid w:val="00EE21EA"/>
    <w:rsid w:val="00EE31D5"/>
    <w:rsid w:val="00F832C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FA6579E"/>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styleId="BalloonText">
    <w:name w:val="Balloon Text"/>
    <w:basedOn w:val="Normal"/>
    <w:link w:val="BalloonTextChar"/>
    <w:semiHidden/>
    <w:unhideWhenUsed/>
    <w:rsid w:val="00543436"/>
    <w:rPr>
      <w:rFonts w:ascii="Segoe UI" w:hAnsi="Segoe UI" w:cs="Segoe UI"/>
      <w:sz w:val="18"/>
      <w:szCs w:val="18"/>
    </w:rPr>
  </w:style>
  <w:style w:type="character" w:customStyle="1" w:styleId="BalloonTextChar">
    <w:name w:val="Balloon Text Char"/>
    <w:basedOn w:val="DefaultParagraphFont"/>
    <w:link w:val="BalloonText"/>
    <w:semiHidden/>
    <w:rsid w:val="00543436"/>
    <w:rPr>
      <w:rFonts w:ascii="Segoe UI" w:hAnsi="Segoe UI" w:cs="Segoe UI"/>
      <w:sz w:val="18"/>
      <w:szCs w:val="18"/>
    </w:rPr>
  </w:style>
  <w:style w:type="paragraph" w:customStyle="1" w:styleId="RollCallSymbols14pt">
    <w:name w:val="RollCallSymbols14pt"/>
    <w:basedOn w:val="Normal"/>
    <w:rsid w:val="00647C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7C6C"/>
    <w:pPr>
      <w:tabs>
        <w:tab w:val="center" w:pos="284"/>
        <w:tab w:val="left" w:pos="426"/>
      </w:tabs>
    </w:pPr>
    <w:rPr>
      <w:snapToGrid w:val="0"/>
      <w:lang w:eastAsia="en-US"/>
    </w:rPr>
  </w:style>
  <w:style w:type="paragraph" w:customStyle="1" w:styleId="RollCallVotes">
    <w:name w:val="RollCallVotes"/>
    <w:basedOn w:val="Normal"/>
    <w:rsid w:val="00647C6C"/>
    <w:pPr>
      <w:spacing w:before="120" w:after="120"/>
      <w:jc w:val="center"/>
    </w:pPr>
    <w:rPr>
      <w:b/>
      <w:bCs/>
      <w:snapToGrid w:val="0"/>
      <w:sz w:val="16"/>
      <w:lang w:eastAsia="en-US"/>
    </w:rPr>
  </w:style>
  <w:style w:type="paragraph" w:customStyle="1" w:styleId="RollCallTable">
    <w:name w:val="RollCallTable"/>
    <w:basedOn w:val="Normal"/>
    <w:rsid w:val="00647C6C"/>
    <w:pPr>
      <w:spacing w:before="120" w:after="120"/>
    </w:pPr>
    <w:rPr>
      <w:snapToGrid w:val="0"/>
      <w:sz w:val="16"/>
      <w:lang w:eastAsia="en-US"/>
    </w:rPr>
  </w:style>
  <w:style w:type="paragraph" w:customStyle="1" w:styleId="Normal24a">
    <w:name w:val="Normal24a"/>
    <w:basedOn w:val="Normal"/>
    <w:rsid w:val="001B663A"/>
    <w:pPr>
      <w:spacing w:after="480"/>
    </w:pPr>
  </w:style>
  <w:style w:type="paragraph" w:customStyle="1" w:styleId="NormalBoldCenter">
    <w:name w:val="NormalBoldCenter"/>
    <w:basedOn w:val="Normal"/>
    <w:rsid w:val="001B663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953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1325</Words>
  <Characters>7986</Characters>
  <Application>Microsoft Office Word</Application>
  <DocSecurity>0</DocSecurity>
  <Lines>189</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2024-02-08T16:10:00Z</dcterms:created>
  <dcterms:modified xsi:type="dcterms:W3CDTF">2024-02-08T16:10:00Z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AD\1295226EL.docx</vt:lpwstr>
  </property>
  <property fmtid="{D5CDD505-2E9C-101B-9397-08002B2CF9AE}" pid="11" name="PE number">
    <vt:lpwstr>756.194</vt:lpwstr>
  </property>
  <property fmtid="{D5CDD505-2E9C-101B-9397-08002B2CF9AE}" pid="12" name="SendToEpades">
    <vt:lpwstr>OK - 2024/01/25 13:19</vt:lpwstr>
  </property>
  <property fmtid="{D5CDD505-2E9C-101B-9397-08002B2CF9AE}" pid="13" name="SDLStudio">
    <vt:lpwstr/>
  </property>
  <property fmtid="{D5CDD505-2E9C-101B-9397-08002B2CF9AE}" pid="14" name="Bookout">
    <vt:lpwstr>OK - 2024/02/08 17:10</vt:lpwstr>
  </property>
</Properties>
</file>