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854CAC" w:rsidRPr="00325578" w:rsidTr="00C85D0F">
        <w:trPr>
          <w:trHeight w:hRule="exact" w:val="1418"/>
        </w:trPr>
        <w:tc>
          <w:tcPr>
            <w:tcW w:w="6804" w:type="dxa"/>
            <w:shd w:val="clear" w:color="auto" w:fill="auto"/>
            <w:vAlign w:val="center"/>
          </w:tcPr>
          <w:p w:rsidR="00854CAC" w:rsidRPr="00325578" w:rsidRDefault="005C6C37" w:rsidP="00C85D0F">
            <w:pPr>
              <w:pStyle w:val="EPName"/>
            </w:pPr>
            <w:r w:rsidRPr="00325578">
              <w:t>Parlamento europeo</w:t>
            </w:r>
          </w:p>
          <w:p w:rsidR="00854CAC" w:rsidRPr="00325578" w:rsidRDefault="00FC7EFC" w:rsidP="00FC7EFC">
            <w:pPr>
              <w:pStyle w:val="EPTerm"/>
            </w:pPr>
            <w:r w:rsidRPr="00325578">
              <w:t>2019-2024</w:t>
            </w:r>
          </w:p>
        </w:tc>
        <w:tc>
          <w:tcPr>
            <w:tcW w:w="2268" w:type="dxa"/>
            <w:shd w:val="clear" w:color="auto" w:fill="auto"/>
          </w:tcPr>
          <w:p w:rsidR="00854CAC" w:rsidRPr="00325578" w:rsidRDefault="00854CAC" w:rsidP="00C85D0F">
            <w:pPr>
              <w:pStyle w:val="EPLogo"/>
            </w:pPr>
            <w:r w:rsidRPr="00325578">
              <w:rPr>
                <w:noProof/>
                <w:lang w:bidi="bn-BD"/>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1746D0" w:rsidRPr="00325578" w:rsidRDefault="001746D0" w:rsidP="001746D0">
      <w:pPr>
        <w:pStyle w:val="LineTop"/>
      </w:pPr>
    </w:p>
    <w:p w:rsidR="001746D0" w:rsidRPr="00325578" w:rsidRDefault="001746D0" w:rsidP="001746D0">
      <w:pPr>
        <w:pStyle w:val="EPBody"/>
      </w:pPr>
      <w:r w:rsidRPr="00325578">
        <w:rPr>
          <w:rStyle w:val="HideTWBExt"/>
          <w:i w:val="0"/>
          <w:szCs w:val="20"/>
        </w:rPr>
        <w:t>&lt;Commission&gt;</w:t>
      </w:r>
      <w:r w:rsidRPr="00325578">
        <w:rPr>
          <w:rStyle w:val="HideTWBInt"/>
          <w:i w:val="0"/>
          <w:szCs w:val="20"/>
        </w:rPr>
        <w:t>{LIBE}</w:t>
      </w:r>
      <w:r w:rsidRPr="00325578">
        <w:t>Commissione per le libertà civili, la giustizia e gli affari interni</w:t>
      </w:r>
      <w:r w:rsidRPr="00325578">
        <w:rPr>
          <w:rStyle w:val="HideTWBExt"/>
          <w:i w:val="0"/>
          <w:szCs w:val="20"/>
        </w:rPr>
        <w:t>&lt;/Comm</w:t>
      </w:r>
      <w:bookmarkStart w:id="0" w:name="iStart"/>
      <w:bookmarkEnd w:id="0"/>
      <w:r w:rsidRPr="00325578">
        <w:rPr>
          <w:rStyle w:val="HideTWBExt"/>
          <w:i w:val="0"/>
          <w:szCs w:val="20"/>
        </w:rPr>
        <w:t>ission&gt;</w:t>
      </w:r>
    </w:p>
    <w:p w:rsidR="001746D0" w:rsidRPr="00325578" w:rsidRDefault="001746D0" w:rsidP="001746D0">
      <w:pPr>
        <w:pStyle w:val="LineBottom"/>
      </w:pPr>
    </w:p>
    <w:p w:rsidR="002E2F2E" w:rsidRPr="00325578" w:rsidRDefault="00FC7EFC">
      <w:pPr>
        <w:pStyle w:val="CoverReference"/>
      </w:pPr>
      <w:r w:rsidRPr="00325578">
        <w:rPr>
          <w:rStyle w:val="HideTWBExt"/>
          <w:b w:val="0"/>
        </w:rPr>
        <w:t>&lt;RefProc&gt;</w:t>
      </w:r>
      <w:r w:rsidRPr="00325578">
        <w:t>2023/2157</w:t>
      </w:r>
      <w:r w:rsidRPr="00325578">
        <w:rPr>
          <w:rStyle w:val="HideTWBExt"/>
          <w:b w:val="0"/>
        </w:rPr>
        <w:t>&lt;/RefProc&gt;&lt;RefTypeProc&gt;</w:t>
      </w:r>
      <w:r w:rsidRPr="00325578">
        <w:t>(DEC)</w:t>
      </w:r>
      <w:r w:rsidRPr="00325578">
        <w:rPr>
          <w:rStyle w:val="HideTWBExt"/>
          <w:b w:val="0"/>
        </w:rPr>
        <w:t>&lt;/RefTypeProc&gt;</w:t>
      </w:r>
    </w:p>
    <w:p w:rsidR="002E2F2E" w:rsidRPr="00325578" w:rsidRDefault="002E2F2E">
      <w:pPr>
        <w:pStyle w:val="CoverDate"/>
      </w:pPr>
      <w:r w:rsidRPr="00325578">
        <w:rPr>
          <w:rStyle w:val="HideTWBExt"/>
        </w:rPr>
        <w:t>&lt;Date&gt;</w:t>
      </w:r>
      <w:r w:rsidRPr="00325578">
        <w:rPr>
          <w:rStyle w:val="HideTWBInt"/>
        </w:rPr>
        <w:t>{24/01/2024}</w:t>
      </w:r>
      <w:r w:rsidRPr="00325578">
        <w:t>24.1.2024</w:t>
      </w:r>
      <w:r w:rsidRPr="00325578">
        <w:rPr>
          <w:rStyle w:val="HideTWBExt"/>
        </w:rPr>
        <w:t>&lt;/Date&gt;</w:t>
      </w:r>
    </w:p>
    <w:p w:rsidR="002E2F2E" w:rsidRPr="00325578" w:rsidRDefault="002E2F2E">
      <w:pPr>
        <w:pStyle w:val="CoverDocType24a"/>
      </w:pPr>
      <w:r w:rsidRPr="00325578">
        <w:rPr>
          <w:rStyle w:val="HideTWBExt"/>
          <w:b w:val="0"/>
        </w:rPr>
        <w:t>&lt;TitreType&gt;</w:t>
      </w:r>
      <w:r w:rsidRPr="00325578">
        <w:t>PARERE</w:t>
      </w:r>
      <w:r w:rsidRPr="00325578">
        <w:rPr>
          <w:rStyle w:val="HideTWBExt"/>
          <w:b w:val="0"/>
        </w:rPr>
        <w:t>&lt;/TitreType&gt;</w:t>
      </w:r>
    </w:p>
    <w:p w:rsidR="002E2F2E" w:rsidRPr="00325578" w:rsidRDefault="002E2F2E">
      <w:pPr>
        <w:pStyle w:val="CoverNormal24a"/>
      </w:pPr>
      <w:r w:rsidRPr="00325578">
        <w:rPr>
          <w:rStyle w:val="HideTWBExt"/>
        </w:rPr>
        <w:t>&lt;CommissionResp&gt;</w:t>
      </w:r>
      <w:r w:rsidRPr="00325578">
        <w:t>della commissione per le libertà civili, la giustizia e gli affari interni</w:t>
      </w:r>
      <w:r w:rsidRPr="00325578">
        <w:rPr>
          <w:rStyle w:val="HideTWBExt"/>
        </w:rPr>
        <w:t>&lt;/CommissionResp&gt;</w:t>
      </w:r>
    </w:p>
    <w:p w:rsidR="002E2F2E" w:rsidRPr="00325578" w:rsidRDefault="002E2F2E">
      <w:pPr>
        <w:pStyle w:val="CoverNormal24a"/>
      </w:pPr>
      <w:r w:rsidRPr="00325578">
        <w:rPr>
          <w:rStyle w:val="HideTWBExt"/>
        </w:rPr>
        <w:t>&lt;CommissionInt&gt;</w:t>
      </w:r>
      <w:r w:rsidRPr="00325578">
        <w:t>destinato alla commissione per il controllo dei bilanci</w:t>
      </w:r>
      <w:r w:rsidRPr="00325578">
        <w:rPr>
          <w:rStyle w:val="HideTWBExt"/>
        </w:rPr>
        <w:t>&lt;/CommissionInt&gt;</w:t>
      </w:r>
    </w:p>
    <w:p w:rsidR="00FC7EFC" w:rsidRPr="00325578" w:rsidRDefault="00FC7EFC" w:rsidP="00FC7EFC">
      <w:pPr>
        <w:pStyle w:val="CoverNormal"/>
      </w:pPr>
      <w:r w:rsidRPr="00325578">
        <w:rPr>
          <w:rStyle w:val="HideTWBExt"/>
        </w:rPr>
        <w:t>&lt;Titre&gt;</w:t>
      </w:r>
      <w:r w:rsidRPr="00325578">
        <w:t>sul discarico per l'esecuzione del bilancio dell'Osservatorio europeo delle droghe e delle tossicodipendenze per l'esercizio 2022</w:t>
      </w:r>
      <w:r w:rsidRPr="00325578">
        <w:rPr>
          <w:rStyle w:val="HideTWBExt"/>
        </w:rPr>
        <w:t>&lt;/Titre&gt;</w:t>
      </w:r>
    </w:p>
    <w:p w:rsidR="002E2F2E" w:rsidRPr="00325578" w:rsidRDefault="00FC7EFC" w:rsidP="00FC7EFC">
      <w:pPr>
        <w:pStyle w:val="CoverNormal24a"/>
      </w:pPr>
      <w:r w:rsidRPr="00325578">
        <w:rPr>
          <w:rStyle w:val="HideTWBExt"/>
        </w:rPr>
        <w:t>&lt;DocRef&gt;</w:t>
      </w:r>
      <w:r w:rsidRPr="00325578">
        <w:t>(2023/2157(DEC))</w:t>
      </w:r>
      <w:r w:rsidRPr="00325578">
        <w:rPr>
          <w:rStyle w:val="HideTWBExt"/>
        </w:rPr>
        <w:t>&lt;/DocRef&gt;</w:t>
      </w:r>
    </w:p>
    <w:p w:rsidR="002E2F2E" w:rsidRPr="00325578" w:rsidRDefault="00FC7EFC">
      <w:pPr>
        <w:pStyle w:val="CoverNormal24a"/>
      </w:pPr>
      <w:r w:rsidRPr="00325578">
        <w:t xml:space="preserve">Relatore per parere: </w:t>
      </w:r>
      <w:r w:rsidRPr="00325578">
        <w:rPr>
          <w:rStyle w:val="HideTWBExt"/>
        </w:rPr>
        <w:t>&lt;Depute&gt;</w:t>
      </w:r>
      <w:r w:rsidRPr="00325578">
        <w:t>Tomáš Zdechovský</w:t>
      </w:r>
      <w:r w:rsidRPr="00325578">
        <w:rPr>
          <w:rStyle w:val="HideTWBExt"/>
        </w:rPr>
        <w:t>&lt;/Depute&gt;</w:t>
      </w:r>
    </w:p>
    <w:p w:rsidR="00A72C35" w:rsidRPr="00325578" w:rsidRDefault="00A72C35" w:rsidP="00A72C35">
      <w:pPr>
        <w:pStyle w:val="CoverNormal"/>
      </w:pPr>
    </w:p>
    <w:p w:rsidR="002E2F2E" w:rsidRPr="00325578" w:rsidRDefault="002E2F2E" w:rsidP="00E856D2">
      <w:pPr>
        <w:widowControl/>
        <w:tabs>
          <w:tab w:val="center" w:pos="4677"/>
        </w:tabs>
      </w:pPr>
      <w:r w:rsidRPr="00325578">
        <w:br w:type="page"/>
      </w:r>
      <w:r w:rsidRPr="00325578">
        <w:lastRenderedPageBreak/>
        <w:t>PA_NonLeg</w:t>
      </w:r>
    </w:p>
    <w:p w:rsidR="002E2F2E" w:rsidRPr="00325578" w:rsidRDefault="002E2F2E">
      <w:pPr>
        <w:pStyle w:val="PageHeadingNotTOC"/>
      </w:pPr>
      <w:r w:rsidRPr="00325578">
        <w:br w:type="page"/>
      </w:r>
      <w:r w:rsidRPr="00325578">
        <w:lastRenderedPageBreak/>
        <w:t>SUGGERIMENTI</w:t>
      </w:r>
    </w:p>
    <w:p w:rsidR="002E2F2E" w:rsidRPr="00325578" w:rsidRDefault="005C6C37" w:rsidP="008313E7">
      <w:pPr>
        <w:pStyle w:val="Normal12a"/>
      </w:pPr>
      <w:r w:rsidRPr="00325578">
        <w:t>La commissione per le libertà civili, la giustizia e gli affari interni invita la commissione per il controllo dei bilanci, competente per il merito, a includere nella proposta di risoluzione che approverà i seguenti suggerimenti:</w:t>
      </w:r>
    </w:p>
    <w:p w:rsidR="00AD7C5B" w:rsidRPr="00325578" w:rsidRDefault="00FC7EFC" w:rsidP="00AD7C5B">
      <w:pPr>
        <w:pStyle w:val="NormalHanging12a"/>
      </w:pPr>
      <w:bookmarkStart w:id="1" w:name="restart"/>
      <w:r w:rsidRPr="00325578">
        <w:t>1.</w:t>
      </w:r>
      <w:r w:rsidRPr="00325578">
        <w:tab/>
      </w:r>
      <w:bookmarkEnd w:id="1"/>
      <w:r w:rsidRPr="00325578">
        <w:t>si compiace che la Corte dei conti (la "Corte") abbia dichiarato legittime e regolari, sotto tutti gli aspetti rilevanti, le operazioni alla base dei conti annuali dell'Osservatorio europeo delle droghe e delle tossicodipendenze (l'"Osservatorio") per l'esercizio 2022; osserva che, secondo la relazione annuale della Corte sulle agenzie dell'UE per l'esercizio 2022, il bilancio dell'Osservatorio nel 2022 ammontava a 26 milioni di EUR, il che rappresenta un aumento del 4 % rispetto al 2021 (25 milioni di EUR), mentre il numero degli effettivi rimaneva invariato in virtù della decisione dell'autorità competente in materia di bilancio;</w:t>
      </w:r>
    </w:p>
    <w:p w:rsidR="00AD7C5B" w:rsidRPr="00325578" w:rsidRDefault="00AD7C5B" w:rsidP="00AD7C5B">
      <w:pPr>
        <w:pStyle w:val="NormalHanging12a"/>
        <w:rPr>
          <w:szCs w:val="24"/>
        </w:rPr>
      </w:pPr>
      <w:r w:rsidRPr="00325578">
        <w:t>2.</w:t>
      </w:r>
      <w:r w:rsidRPr="00325578">
        <w:tab/>
        <w:t>accoglie con favore il fatto che siano state adottate adeguate azioni correttive per dare seguito all'osservazione formulata dalla Corte per gli esercizi precedenti; accoglie con favore la pubblicazione faro annuale, la relazione europea sulla droga 2022, il bollettino statistico 2022 e il valore aggiunto del sistema di allarme rapido dell'Unione europea per le nuove sostanze psicoattive, gestito dall'Osservatorio, che nel 2022 ha celebrato venticinque anni di attività; plaude all'uscita di 69 pubblicazioni, tra cui sette miniguide e tre sezioni "in evidenza" nell'ambito della relazione faro dell'Osservatorio "Health and Social Responses to Drug Problems: A European Guide" (Risposte sanitarie e sociali ai problemi della droga: una guida europea); accoglie con favore l'organizzazione della quarta Conferenza europea sui comportamenti additivi e le dipendenze, organizzata dall'Osservatorio insieme ai suoi partner; incoraggia l'Osservatorio a proseguire le sue attività di condivisione delle conoscenze;</w:t>
      </w:r>
    </w:p>
    <w:p w:rsidR="00AD7C5B" w:rsidRPr="00325578" w:rsidRDefault="00AD7C5B" w:rsidP="00AD7C5B">
      <w:pPr>
        <w:pStyle w:val="NormalHanging12a"/>
        <w:rPr>
          <w:szCs w:val="24"/>
        </w:rPr>
      </w:pPr>
      <w:r w:rsidRPr="00325578">
        <w:t>3.</w:t>
      </w:r>
      <w:r w:rsidRPr="00325578">
        <w:tab/>
        <w:t>plaude alle attività di formazione in materia di stupefacenti, che ha visto la partecipazione di 609 professionisti facenti parte delle autorità di contrasto dell'UE e dei partner dei progetti di cooperazione tecnica, svolte dall'Osservatorio in collaborazione con l'Agenzia dell'Unione europea per la formazione delle autorità di contrasto (CEPOL); accoglie con favore il fatto che quasi 950 professionisti che operano nel settore della lotta contro la droga, tra cui funzionari delle autorità di contrasto e responsabili politici, abbiano ricevuto una formazione offerta dall'Osservatorio nel corso del 2022, e che circa 1 200 professionisti di tale settore abbiano partecipato ai sette webinar organizzati dall'Osservatorio; sottolinea l'importante ruolo svolto dall'Osservatorio nel fornire ai responsabili politici e ai medici analisi e informazioni basate sulla salute pubblica in relazione alle droghe e alle tossicodipendenze;</w:t>
      </w:r>
    </w:p>
    <w:p w:rsidR="00AD7C5B" w:rsidRPr="00325578" w:rsidRDefault="00AD7C5B" w:rsidP="00AD7C5B">
      <w:pPr>
        <w:pStyle w:val="NormalHanging12a"/>
        <w:rPr>
          <w:szCs w:val="24"/>
        </w:rPr>
      </w:pPr>
      <w:r w:rsidRPr="00325578">
        <w:t>4.</w:t>
      </w:r>
      <w:r w:rsidRPr="00325578">
        <w:tab/>
        <w:t>plaude ai costanti sforzi dell'Osservatorio volti a mettere in evidenza gli aspetti sociali delle droghe, compreso il loro impatto sulla società, promuovere politiche di reinserimento sociale per i consumatori di stupefacenti e avvicinare il tema delle droghe con un approccio multidisciplinare; ritiene essenziale proseguire l'opera di sensibilizzazione in merito all'importanza della prevenzione e di un approccio innovativo alle politiche in materia di stupefacenti basato sulla salute mentale;</w:t>
      </w:r>
    </w:p>
    <w:p w:rsidR="00AD7C5B" w:rsidRPr="00325578" w:rsidRDefault="00AD7C5B" w:rsidP="00AD7C5B">
      <w:pPr>
        <w:pStyle w:val="NormalHanging12a"/>
        <w:rPr>
          <w:szCs w:val="24"/>
        </w:rPr>
      </w:pPr>
      <w:r w:rsidRPr="00325578">
        <w:t>5.</w:t>
      </w:r>
      <w:r w:rsidRPr="00325578">
        <w:tab/>
        <w:t xml:space="preserve">rammenta che le attività dell'Osservatorio si basano su una capacità di valutazione strategica, basata su dati probanti, delle minacce alla salute e alla sicurezza per </w:t>
      </w:r>
      <w:r w:rsidRPr="00325578">
        <w:lastRenderedPageBreak/>
        <w:t>individuare precocemente i nuovi sviluppi concernenti il fenomeno degli stupefacenti che possono avere ripercussioni negative sulla salute, sulle questioni sociali, sulla protezione o sulla sicurezza nell'Unione; rammenta inoltre che anche la valutazione dei rischi sanitari dovrebbe riflettersi nel lavoro dell'Osservatorio;</w:t>
      </w:r>
    </w:p>
    <w:p w:rsidR="00AD7C5B" w:rsidRPr="00325578" w:rsidRDefault="00AD7C5B" w:rsidP="00AD7C5B">
      <w:pPr>
        <w:pStyle w:val="NormalHanging12a"/>
      </w:pPr>
      <w:r w:rsidRPr="00325578">
        <w:t>6.</w:t>
      </w:r>
      <w:r w:rsidRPr="00325578">
        <w:tab/>
        <w:t>accoglie con favore i progressi compiuti dall'Osservatorio nell'ambito dell'analisi approfondita congiunta sui mercati della droga nell'UE, condotta in collaborazione con Europol, con moduli dedicati a droghe specifiche pubblicati nel corso del 2022 e altri moduli previsti nel 2023; accoglie con favore il lavoro svolto nel 2022 per migliorare la qualità e la disponibilità della fornitura di dati fondamentali, in collaborazione con i punti focali nazionali Reitox ed Europol; plaude all'attuazione di tutti i compiti dell'Osservatorio nell'ambito dei piani d'azione operativi della piattaforma multidisciplinare di lotta alle minacce della criminalità per quanto riguarda la cannabis, la cocaina e l'eroina;</w:t>
      </w:r>
      <w:r w:rsidRPr="00325578">
        <w:rPr>
          <w:rStyle w:val="FootnoteReference"/>
        </w:rPr>
        <w:t xml:space="preserve"> </w:t>
      </w:r>
      <w:r w:rsidRPr="00325578">
        <w:t>ricorda che il traffico di stupefacenti è stato riconosciuto quale una delle principali fonti di profitto nonché un canale di reclutamento per la criminalità organizzata e il terrorismo, e sottolinea il contributo dell'Osservatorio per una maggiore sicurezza in Europa;</w:t>
      </w:r>
    </w:p>
    <w:p w:rsidR="00AD7C5B" w:rsidRPr="00325578" w:rsidRDefault="00AD7C5B" w:rsidP="00AD7C5B">
      <w:pPr>
        <w:pStyle w:val="NormalHanging12a"/>
        <w:rPr>
          <w:szCs w:val="24"/>
        </w:rPr>
      </w:pPr>
      <w:r w:rsidRPr="00325578">
        <w:t>7.</w:t>
      </w:r>
      <w:r w:rsidRPr="00325578">
        <w:tab/>
        <w:t xml:space="preserve">accoglie con favore la pagina web delle risorse EMCDDA 4 Ukraine, creata per i professionisti che operano nel settore delle droghe in Europa e che sostengono le persone sfollate dall'Ucraina; </w:t>
      </w:r>
    </w:p>
    <w:p w:rsidR="00AD7C5B" w:rsidRPr="00325578" w:rsidRDefault="00AD7C5B" w:rsidP="00AD7C5B">
      <w:pPr>
        <w:pStyle w:val="NormalHanging12a"/>
      </w:pPr>
      <w:r w:rsidRPr="00325578">
        <w:t>8.</w:t>
      </w:r>
      <w:r w:rsidRPr="00325578">
        <w:tab/>
        <w:t>accoglie con favore la cooperazione in atto a livello regionale tra l'Osservatorio e i paesi partner della politica europea di vicinato nel quadro del progetto di assistenza tecnica EU4MD, nonché l'attuazione in corso del progetto EMCDDA4GE a livello bilaterale con la Georgia; plaude all'istituzione di un partenariato ufficiale nell'ambito del programma di cooperazione tra l'America latina, i Caraibi e l'Unione europea sulle politiche in materia di stupefacenti;</w:t>
      </w:r>
    </w:p>
    <w:p w:rsidR="00936BDC" w:rsidRPr="00325578" w:rsidRDefault="00AD7C5B" w:rsidP="00AD7C5B">
      <w:pPr>
        <w:pStyle w:val="NormalHanging12a"/>
      </w:pPr>
      <w:r w:rsidRPr="00325578">
        <w:t>9.</w:t>
      </w:r>
      <w:r w:rsidRPr="00325578">
        <w:tab/>
        <w:t>si compiace della cooperazione tra l'Osservatorio e altre agenzie e il suo contribuito alla rete delle agenzie in ambito GAI; accoglie con favore la costante cooperazione dell'Osservatorio con le agenzie nazionali antidroga, i paesi terzi e organizzazioni internazionali quali l'UNODC e l'OMS.</w:t>
      </w:r>
    </w:p>
    <w:p w:rsidR="00936BDC" w:rsidRPr="00325578" w:rsidRDefault="00936BDC" w:rsidP="00936BDC">
      <w:r w:rsidRPr="00325578">
        <w:br w:type="page"/>
      </w:r>
    </w:p>
    <w:p w:rsidR="00936BDC" w:rsidRPr="00325578" w:rsidRDefault="00325578" w:rsidP="00936BDC">
      <w:pPr>
        <w:pStyle w:val="PageHeadingNotTOC"/>
      </w:pPr>
      <w:bookmarkStart w:id="2" w:name="ProcPageAD"/>
      <w:r w:rsidRPr="00325578">
        <w:lastRenderedPageBreak/>
        <w:t>INFORMAZIONI SULL'</w:t>
      </w:r>
      <w:r w:rsidR="00936BDC" w:rsidRPr="00325578">
        <w:t>APPROVAZIONE</w:t>
      </w:r>
      <w:r w:rsidR="00936BDC" w:rsidRPr="00325578">
        <w:br/>
        <w:t>IN SEDE DI COMMISSIONE COMPETENTE PER PARERE</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936BDC" w:rsidRPr="003255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36BDC" w:rsidRPr="00325578" w:rsidRDefault="00936BDC">
            <w:pPr>
              <w:autoSpaceDE w:val="0"/>
              <w:autoSpaceDN w:val="0"/>
              <w:adjustRightInd w:val="0"/>
              <w:rPr>
                <w:b/>
                <w:bCs/>
                <w:color w:val="000000"/>
                <w:sz w:val="20"/>
              </w:rPr>
            </w:pPr>
            <w:r w:rsidRPr="00325578">
              <w:rPr>
                <w:b/>
                <w:color w:val="000000"/>
                <w:sz w:val="20"/>
              </w:rPr>
              <w:t>Approvazione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36BDC" w:rsidRPr="00325578" w:rsidRDefault="00936BDC">
            <w:pPr>
              <w:autoSpaceDE w:val="0"/>
              <w:autoSpaceDN w:val="0"/>
              <w:adjustRightInd w:val="0"/>
              <w:rPr>
                <w:color w:val="000000"/>
                <w:sz w:val="20"/>
              </w:rPr>
            </w:pPr>
            <w:r w:rsidRPr="00325578">
              <w:rPr>
                <w:color w:val="000000"/>
                <w:sz w:val="20"/>
              </w:rPr>
              <w:t>23.1.2024</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36BDC" w:rsidRPr="00325578" w:rsidRDefault="00936BD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936BDC" w:rsidRPr="00325578" w:rsidRDefault="00936BDC">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36BDC" w:rsidRPr="00325578" w:rsidRDefault="00936BDC">
            <w:pPr>
              <w:autoSpaceDE w:val="0"/>
              <w:autoSpaceDN w:val="0"/>
              <w:adjustRightInd w:val="0"/>
              <w:rPr>
                <w:rFonts w:ascii="sans-serif" w:hAnsi="sans-serif" w:cs="sans-serif"/>
                <w:color w:val="000000"/>
                <w:szCs w:val="24"/>
              </w:rPr>
            </w:pPr>
          </w:p>
        </w:tc>
      </w:tr>
      <w:tr w:rsidR="00936BDC" w:rsidRPr="003255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36BDC" w:rsidRPr="00325578" w:rsidRDefault="00936BDC">
            <w:pPr>
              <w:autoSpaceDE w:val="0"/>
              <w:autoSpaceDN w:val="0"/>
              <w:adjustRightInd w:val="0"/>
              <w:rPr>
                <w:b/>
                <w:bCs/>
                <w:color w:val="000000"/>
                <w:sz w:val="20"/>
              </w:rPr>
            </w:pPr>
            <w:r w:rsidRPr="00325578">
              <w:rPr>
                <w:b/>
                <w:color w:val="000000"/>
                <w:sz w:val="20"/>
              </w:rPr>
              <w:t>Esito della votazione finale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936BDC" w:rsidRPr="00325578" w:rsidRDefault="00936BDC">
            <w:pPr>
              <w:autoSpaceDE w:val="0"/>
              <w:autoSpaceDN w:val="0"/>
              <w:adjustRightInd w:val="0"/>
              <w:rPr>
                <w:color w:val="000000"/>
                <w:sz w:val="20"/>
              </w:rPr>
            </w:pPr>
            <w:r w:rsidRPr="00325578">
              <w:rPr>
                <w:color w:val="000000"/>
                <w:sz w:val="20"/>
              </w:rPr>
              <w:t>+:</w:t>
            </w:r>
          </w:p>
          <w:p w:rsidR="00936BDC" w:rsidRPr="00325578" w:rsidRDefault="00936BDC">
            <w:pPr>
              <w:autoSpaceDE w:val="0"/>
              <w:autoSpaceDN w:val="0"/>
              <w:adjustRightInd w:val="0"/>
              <w:rPr>
                <w:color w:val="000000"/>
                <w:sz w:val="20"/>
              </w:rPr>
            </w:pPr>
            <w:r w:rsidRPr="00325578">
              <w:rPr>
                <w:color w:val="000000"/>
                <w:sz w:val="20"/>
              </w:rPr>
              <w:t>–:</w:t>
            </w:r>
          </w:p>
          <w:p w:rsidR="00936BDC" w:rsidRPr="00325578" w:rsidRDefault="00936BDC">
            <w:pPr>
              <w:autoSpaceDE w:val="0"/>
              <w:autoSpaceDN w:val="0"/>
              <w:adjustRightInd w:val="0"/>
              <w:rPr>
                <w:color w:val="000000"/>
                <w:sz w:val="20"/>
              </w:rPr>
            </w:pPr>
            <w:r w:rsidRPr="00325578">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36BDC" w:rsidRPr="00325578" w:rsidRDefault="00936BDC">
            <w:pPr>
              <w:autoSpaceDE w:val="0"/>
              <w:autoSpaceDN w:val="0"/>
              <w:adjustRightInd w:val="0"/>
              <w:rPr>
                <w:color w:val="000000"/>
                <w:sz w:val="20"/>
              </w:rPr>
            </w:pPr>
            <w:r w:rsidRPr="00325578">
              <w:rPr>
                <w:color w:val="000000"/>
                <w:sz w:val="20"/>
              </w:rPr>
              <w:t>52</w:t>
            </w:r>
          </w:p>
          <w:p w:rsidR="00936BDC" w:rsidRPr="00325578" w:rsidRDefault="00936BDC">
            <w:pPr>
              <w:autoSpaceDE w:val="0"/>
              <w:autoSpaceDN w:val="0"/>
              <w:adjustRightInd w:val="0"/>
              <w:rPr>
                <w:color w:val="000000"/>
                <w:sz w:val="20"/>
              </w:rPr>
            </w:pPr>
            <w:r w:rsidRPr="00325578">
              <w:rPr>
                <w:color w:val="000000"/>
                <w:sz w:val="20"/>
              </w:rPr>
              <w:t>1</w:t>
            </w:r>
          </w:p>
          <w:p w:rsidR="00936BDC" w:rsidRPr="00325578" w:rsidRDefault="00936BDC">
            <w:pPr>
              <w:autoSpaceDE w:val="0"/>
              <w:autoSpaceDN w:val="0"/>
              <w:adjustRightInd w:val="0"/>
              <w:rPr>
                <w:color w:val="000000"/>
                <w:sz w:val="20"/>
              </w:rPr>
            </w:pPr>
            <w:r w:rsidRPr="00325578">
              <w:rPr>
                <w:color w:val="000000"/>
                <w:sz w:val="20"/>
              </w:rPr>
              <w:t>3</w:t>
            </w:r>
          </w:p>
        </w:tc>
      </w:tr>
      <w:tr w:rsidR="00936BDC" w:rsidRPr="00325578">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936BDC" w:rsidRPr="00325578" w:rsidRDefault="00936BDC">
            <w:pPr>
              <w:autoSpaceDE w:val="0"/>
              <w:autoSpaceDN w:val="0"/>
              <w:adjustRightInd w:val="0"/>
              <w:rPr>
                <w:b/>
                <w:bCs/>
                <w:color w:val="000000"/>
                <w:sz w:val="20"/>
              </w:rPr>
            </w:pPr>
            <w:r w:rsidRPr="00325578">
              <w:rPr>
                <w:b/>
                <w:color w:val="000000"/>
                <w:sz w:val="20"/>
              </w:rPr>
              <w:t>Membri titolari presenti al momento della votazione finale</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936BDC" w:rsidRPr="00325578" w:rsidRDefault="00936BDC">
            <w:pPr>
              <w:autoSpaceDE w:val="0"/>
              <w:autoSpaceDN w:val="0"/>
              <w:adjustRightInd w:val="0"/>
              <w:rPr>
                <w:color w:val="000000"/>
                <w:sz w:val="20"/>
              </w:rPr>
            </w:pPr>
            <w:r w:rsidRPr="00325578">
              <w:rPr>
                <w:color w:val="000000"/>
                <w:sz w:val="20"/>
              </w:rPr>
              <w:t>Magdalena Adamowicz, Abir Al-Sahlani, Katarina Barley, Pietro Bartolo, Theresa Bielowski, Patrick Breyer, Saskia Bricmont, Jorge Buxadé Villalba, Damien Carême, Patricia Chagnon, Lena Düpont, Lucia Ďuriš Nicholsonová, Cornelia Ernst, Laura Ferrara, Nicolaus Fest, Maria Grapini, Sylvie Guillaume, Andrzej Halicki, Evin Incir, Sophia in ‘t Veld, Patryk Jaki, Marina Kaljurand, Assita Kanko, Łukasz Kohut, Moritz Körner, Alice Kuhnke, Jeroen Lenaers, Juan Fernando López Aguilar, Erik Marquardt, Javier Moreno Sánchez, Maite Pagazaurtundúa, Diana Riba i Giner, Isabel Santos, Birgit Sippel, Vincenzo Sofo, Tineke Strik, Jana Toom, Milan Uhrík, Tom Vandendriessche, Elissavet Vozemberg-Vrionidi, Javier Zarzalejos</w:t>
            </w:r>
          </w:p>
        </w:tc>
      </w:tr>
      <w:tr w:rsidR="00936BDC" w:rsidRPr="003255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36BDC" w:rsidRPr="00325578" w:rsidRDefault="00936BDC">
            <w:pPr>
              <w:autoSpaceDE w:val="0"/>
              <w:autoSpaceDN w:val="0"/>
              <w:adjustRightInd w:val="0"/>
              <w:rPr>
                <w:b/>
                <w:bCs/>
                <w:color w:val="000000"/>
                <w:sz w:val="20"/>
              </w:rPr>
            </w:pPr>
            <w:r w:rsidRPr="00325578">
              <w:rPr>
                <w:b/>
                <w:color w:val="000000"/>
                <w:sz w:val="20"/>
              </w:rPr>
              <w:t>Supplenti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36BDC" w:rsidRPr="00325578" w:rsidRDefault="00936BDC">
            <w:pPr>
              <w:autoSpaceDE w:val="0"/>
              <w:autoSpaceDN w:val="0"/>
              <w:adjustRightInd w:val="0"/>
              <w:rPr>
                <w:color w:val="000000"/>
                <w:sz w:val="20"/>
              </w:rPr>
            </w:pPr>
            <w:r w:rsidRPr="00325578">
              <w:rPr>
                <w:color w:val="000000"/>
                <w:sz w:val="20"/>
              </w:rPr>
              <w:t>Cyrus Engerer, José Gusmão, Beata Kempa, Leopoldo López Gil, Janina Ochojska, Anne-Sophie Pelletier, Bergur Løkke Rasmussen, Róża Thun und Hohenstein, Maria Walsh, Tomáš Zdechovský</w:t>
            </w:r>
          </w:p>
        </w:tc>
      </w:tr>
      <w:tr w:rsidR="00936BDC" w:rsidRPr="00325578">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936BDC" w:rsidRPr="00325578" w:rsidRDefault="00936BDC">
            <w:pPr>
              <w:autoSpaceDE w:val="0"/>
              <w:autoSpaceDN w:val="0"/>
              <w:adjustRightInd w:val="0"/>
              <w:rPr>
                <w:b/>
                <w:bCs/>
                <w:color w:val="000000"/>
                <w:sz w:val="20"/>
              </w:rPr>
            </w:pPr>
            <w:r w:rsidRPr="00325578">
              <w:rPr>
                <w:b/>
                <w:color w:val="000000"/>
                <w:sz w:val="20"/>
              </w:rPr>
              <w:t>Supplenti (art. 209, par. 7) presenti al momento della votazione finale</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936BDC" w:rsidRPr="00325578" w:rsidRDefault="00936BDC">
            <w:pPr>
              <w:autoSpaceDE w:val="0"/>
              <w:autoSpaceDN w:val="0"/>
              <w:adjustRightInd w:val="0"/>
              <w:rPr>
                <w:color w:val="000000"/>
                <w:sz w:val="20"/>
              </w:rPr>
            </w:pPr>
            <w:r w:rsidRPr="00325578">
              <w:rPr>
                <w:color w:val="000000"/>
                <w:sz w:val="20"/>
              </w:rPr>
              <w:t>Andrus Ansip, Hildegard Bentele, Maria da Graça Carvalho, Marisa Matias, Caroline Nagtegaal</w:t>
            </w:r>
          </w:p>
        </w:tc>
      </w:tr>
    </w:tbl>
    <w:p w:rsidR="00936BDC" w:rsidRPr="00325578" w:rsidRDefault="00936BDC"/>
    <w:bookmarkEnd w:id="2"/>
    <w:p w:rsidR="00AD7C5B" w:rsidRPr="00325578" w:rsidRDefault="00AD7C5B" w:rsidP="00936BDC">
      <w:pPr>
        <w:sectPr w:rsidR="00AD7C5B" w:rsidRPr="00325578" w:rsidSect="007825AC">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2E6F98" w:rsidRPr="00325578" w:rsidRDefault="00AD7C5B" w:rsidP="00AD7C5B">
      <w:pPr>
        <w:pStyle w:val="PageHeadingNotTOC"/>
      </w:pPr>
      <w:r w:rsidRPr="00325578">
        <w:lastRenderedPageBreak/>
        <w:t>ALLEGATO: ENTITÀ O PERSONE</w:t>
      </w:r>
      <w:r w:rsidRPr="00325578">
        <w:br/>
        <w:t>DA CUI IL RELATORE PER PARERE HA RICEVUTO CONTRIBUTI</w:t>
      </w:r>
      <w:bookmarkStart w:id="3" w:name="iEnd"/>
      <w:bookmarkEnd w:id="3"/>
    </w:p>
    <w:p w:rsidR="00AD7C5B" w:rsidRPr="00325578" w:rsidRDefault="00AD7C5B" w:rsidP="00AD7C5B">
      <w:r w:rsidRPr="00325578">
        <w:t>Il relatore dichiara, sotto la sua esclusiva responsabilità, di non aver ricevuto alcun contributo da entità o persone da menzionare nel presente allegato in virtù dell'allegato I, articolo 8, del regolamento</w:t>
      </w:r>
      <w:r w:rsidR="00325578" w:rsidRPr="00325578">
        <w:t>.</w:t>
      </w:r>
    </w:p>
    <w:p w:rsidR="00AD7C5B" w:rsidRPr="00325578" w:rsidRDefault="00AD7C5B" w:rsidP="00936BDC">
      <w:pPr>
        <w:sectPr w:rsidR="00AD7C5B" w:rsidRPr="00325578" w:rsidSect="00AD7C5B">
          <w:footnotePr>
            <w:numRestart w:val="eachSect"/>
          </w:footnotePr>
          <w:endnotePr>
            <w:numFmt w:val="decimal"/>
          </w:endnotePr>
          <w:pgSz w:w="11906" w:h="16838" w:code="9"/>
          <w:pgMar w:top="1134" w:right="1418" w:bottom="1418" w:left="1418" w:header="1134" w:footer="567" w:gutter="0"/>
          <w:cols w:space="720"/>
          <w:noEndnote/>
          <w:docGrid w:linePitch="326"/>
        </w:sectPr>
      </w:pPr>
    </w:p>
    <w:p w:rsidR="00AD7C5B" w:rsidRPr="00325578" w:rsidRDefault="00AD7C5B" w:rsidP="00AD7C5B">
      <w:pPr>
        <w:pStyle w:val="PageHeadingNotTOC"/>
      </w:pPr>
      <w:r w:rsidRPr="00325578">
        <w:lastRenderedPageBreak/>
        <w:t>VOTAZIONE FINALE PER APPELLO NOMINALE</w:t>
      </w:r>
      <w:r w:rsidRPr="00325578">
        <w:br/>
        <w:t>IN SEDE DI COMMISSIONE COMPETENTE PER PARERE</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D7C5B" w:rsidRPr="00325578" w:rsidTr="000543D1">
        <w:trPr>
          <w:cantSplit/>
        </w:trPr>
        <w:tc>
          <w:tcPr>
            <w:tcW w:w="1701" w:type="dxa"/>
            <w:shd w:val="pct10" w:color="000000" w:fill="FFFFFF"/>
            <w:vAlign w:val="center"/>
          </w:tcPr>
          <w:p w:rsidR="00AD7C5B" w:rsidRPr="00325578" w:rsidRDefault="00AD7C5B" w:rsidP="000543D1">
            <w:pPr>
              <w:pStyle w:val="RollCallVotes"/>
            </w:pPr>
            <w:r w:rsidRPr="00325578">
              <w:t>52</w:t>
            </w:r>
          </w:p>
        </w:tc>
        <w:tc>
          <w:tcPr>
            <w:tcW w:w="7371" w:type="dxa"/>
            <w:shd w:val="pct10" w:color="000000" w:fill="FFFFFF"/>
          </w:tcPr>
          <w:p w:rsidR="00AD7C5B" w:rsidRPr="00325578" w:rsidRDefault="00AD7C5B" w:rsidP="000543D1">
            <w:pPr>
              <w:pStyle w:val="RollCallSymbols14pt"/>
            </w:pPr>
            <w:r w:rsidRPr="00325578">
              <w:t>+</w:t>
            </w:r>
          </w:p>
        </w:tc>
      </w:tr>
      <w:tr w:rsidR="00AD7C5B" w:rsidRPr="00325578" w:rsidTr="000543D1">
        <w:trPr>
          <w:cantSplit/>
        </w:trPr>
        <w:tc>
          <w:tcPr>
            <w:tcW w:w="1701" w:type="dxa"/>
            <w:shd w:val="clear" w:color="auto" w:fill="FFFFFF"/>
          </w:tcPr>
          <w:p w:rsidR="00AD7C5B" w:rsidRPr="00325578" w:rsidRDefault="00AD7C5B" w:rsidP="000543D1">
            <w:pPr>
              <w:pStyle w:val="RollCallTable"/>
            </w:pPr>
            <w:r w:rsidRPr="00325578">
              <w:t>ECR</w:t>
            </w:r>
          </w:p>
        </w:tc>
        <w:tc>
          <w:tcPr>
            <w:tcW w:w="7371" w:type="dxa"/>
            <w:shd w:val="clear" w:color="auto" w:fill="FFFFFF"/>
          </w:tcPr>
          <w:p w:rsidR="00AD7C5B" w:rsidRPr="00325578" w:rsidRDefault="00AD7C5B" w:rsidP="000543D1">
            <w:pPr>
              <w:pStyle w:val="RollCallTable"/>
            </w:pPr>
            <w:r w:rsidRPr="00325578">
              <w:t>Jorge Buxadé Villalba, Patryk Jaki, Assita Kanko, Beata Kempa, Vincenzo Sofo</w:t>
            </w:r>
          </w:p>
        </w:tc>
      </w:tr>
      <w:tr w:rsidR="00AD7C5B" w:rsidRPr="00325578" w:rsidTr="000543D1">
        <w:trPr>
          <w:cantSplit/>
        </w:trPr>
        <w:tc>
          <w:tcPr>
            <w:tcW w:w="1701" w:type="dxa"/>
            <w:shd w:val="clear" w:color="auto" w:fill="FFFFFF"/>
          </w:tcPr>
          <w:p w:rsidR="00AD7C5B" w:rsidRPr="00325578" w:rsidRDefault="00AD7C5B" w:rsidP="000543D1">
            <w:pPr>
              <w:pStyle w:val="RollCallTable"/>
            </w:pPr>
            <w:r w:rsidRPr="00325578">
              <w:t>NI</w:t>
            </w:r>
          </w:p>
        </w:tc>
        <w:tc>
          <w:tcPr>
            <w:tcW w:w="7371" w:type="dxa"/>
            <w:shd w:val="clear" w:color="auto" w:fill="FFFFFF"/>
          </w:tcPr>
          <w:p w:rsidR="00AD7C5B" w:rsidRPr="00325578" w:rsidRDefault="00AD7C5B" w:rsidP="000543D1">
            <w:pPr>
              <w:pStyle w:val="RollCallTable"/>
            </w:pPr>
            <w:r w:rsidRPr="00325578">
              <w:t>Laura Ferrara</w:t>
            </w:r>
          </w:p>
        </w:tc>
      </w:tr>
      <w:tr w:rsidR="00AD7C5B" w:rsidRPr="00325578" w:rsidTr="000543D1">
        <w:trPr>
          <w:cantSplit/>
        </w:trPr>
        <w:tc>
          <w:tcPr>
            <w:tcW w:w="1701" w:type="dxa"/>
            <w:shd w:val="clear" w:color="auto" w:fill="FFFFFF"/>
          </w:tcPr>
          <w:p w:rsidR="00AD7C5B" w:rsidRPr="00325578" w:rsidRDefault="00AD7C5B" w:rsidP="000543D1">
            <w:pPr>
              <w:pStyle w:val="RollCallTable"/>
            </w:pPr>
            <w:r w:rsidRPr="00325578">
              <w:t>PPE</w:t>
            </w:r>
          </w:p>
        </w:tc>
        <w:tc>
          <w:tcPr>
            <w:tcW w:w="7371" w:type="dxa"/>
            <w:shd w:val="clear" w:color="auto" w:fill="FFFFFF"/>
          </w:tcPr>
          <w:p w:rsidR="00AD7C5B" w:rsidRPr="00325578" w:rsidRDefault="00AD7C5B" w:rsidP="000543D1">
            <w:pPr>
              <w:pStyle w:val="RollCallTable"/>
            </w:pPr>
            <w:r w:rsidRPr="00325578">
              <w:t>Magdalena Adamowicz, Hildegard Bentele, Maria da Graça Carvalho, Lena Düpont, Andrzej Halicki, Jeroen Lenaers, Leopoldo López Gil, Janina Ochojska, Elissavet Vozemberg-Vrionidi, Maria Walsh, Javier Zarzalejos, Tomáš Zdechovský</w:t>
            </w:r>
          </w:p>
        </w:tc>
      </w:tr>
      <w:tr w:rsidR="00AD7C5B" w:rsidRPr="00325578" w:rsidTr="000543D1">
        <w:trPr>
          <w:cantSplit/>
        </w:trPr>
        <w:tc>
          <w:tcPr>
            <w:tcW w:w="1701" w:type="dxa"/>
            <w:shd w:val="clear" w:color="auto" w:fill="FFFFFF"/>
          </w:tcPr>
          <w:p w:rsidR="00AD7C5B" w:rsidRPr="00325578" w:rsidRDefault="00AD7C5B" w:rsidP="000543D1">
            <w:pPr>
              <w:pStyle w:val="RollCallTable"/>
            </w:pPr>
            <w:r w:rsidRPr="00325578">
              <w:t>Renew</w:t>
            </w:r>
          </w:p>
        </w:tc>
        <w:tc>
          <w:tcPr>
            <w:tcW w:w="7371" w:type="dxa"/>
            <w:shd w:val="clear" w:color="auto" w:fill="FFFFFF"/>
          </w:tcPr>
          <w:p w:rsidR="00AD7C5B" w:rsidRPr="00325578" w:rsidRDefault="00AD7C5B" w:rsidP="000543D1">
            <w:pPr>
              <w:pStyle w:val="RollCallTable"/>
            </w:pPr>
            <w:r w:rsidRPr="00325578">
              <w:t>Abir Al-Sahlani, Andrus Ansip, Lucia Ďuriš Nicholsonová, Sophia in 't Veld, Moritz Körner, Caroline Nagtegaal, Maite Pagazaurtundúa, Bergur Løkke Rasmussen, Róża Thun und Hohenstein, Jana Toom</w:t>
            </w:r>
          </w:p>
        </w:tc>
      </w:tr>
      <w:tr w:rsidR="00AD7C5B" w:rsidRPr="00325578" w:rsidTr="000543D1">
        <w:trPr>
          <w:cantSplit/>
        </w:trPr>
        <w:tc>
          <w:tcPr>
            <w:tcW w:w="1701" w:type="dxa"/>
            <w:shd w:val="clear" w:color="auto" w:fill="FFFFFF"/>
          </w:tcPr>
          <w:p w:rsidR="00AD7C5B" w:rsidRPr="00325578" w:rsidRDefault="00AD7C5B" w:rsidP="000543D1">
            <w:pPr>
              <w:pStyle w:val="RollCallTable"/>
            </w:pPr>
            <w:r w:rsidRPr="00325578">
              <w:t>S&amp;D</w:t>
            </w:r>
          </w:p>
        </w:tc>
        <w:tc>
          <w:tcPr>
            <w:tcW w:w="7371" w:type="dxa"/>
            <w:shd w:val="clear" w:color="auto" w:fill="FFFFFF"/>
          </w:tcPr>
          <w:p w:rsidR="00AD7C5B" w:rsidRPr="00325578" w:rsidRDefault="00AD7C5B" w:rsidP="000543D1">
            <w:pPr>
              <w:pStyle w:val="RollCallTable"/>
            </w:pPr>
            <w:r w:rsidRPr="00325578">
              <w:t>Katarina Barley, Pietro Bartolo, Theresa Bielowski, Cyrus Engerer, Maria Grapini, Sylvie Guillaume, Evin Incir, Marina Kaljurand, Łukasz Kohut, Juan Fernando López Aguilar, Javier Moreno Sánchez, Isabel Santos, Birgit Sippel</w:t>
            </w:r>
          </w:p>
        </w:tc>
      </w:tr>
      <w:tr w:rsidR="00AD7C5B" w:rsidRPr="00325578" w:rsidTr="000543D1">
        <w:trPr>
          <w:cantSplit/>
        </w:trPr>
        <w:tc>
          <w:tcPr>
            <w:tcW w:w="1701" w:type="dxa"/>
            <w:shd w:val="clear" w:color="auto" w:fill="FFFFFF"/>
          </w:tcPr>
          <w:p w:rsidR="00AD7C5B" w:rsidRPr="00325578" w:rsidRDefault="00AD7C5B" w:rsidP="000543D1">
            <w:pPr>
              <w:pStyle w:val="RollCallTable"/>
            </w:pPr>
            <w:r w:rsidRPr="00325578">
              <w:t>The Left</w:t>
            </w:r>
          </w:p>
        </w:tc>
        <w:tc>
          <w:tcPr>
            <w:tcW w:w="7371" w:type="dxa"/>
            <w:shd w:val="clear" w:color="auto" w:fill="FFFFFF"/>
          </w:tcPr>
          <w:p w:rsidR="00AD7C5B" w:rsidRPr="00325578" w:rsidRDefault="00AD7C5B" w:rsidP="000543D1">
            <w:pPr>
              <w:pStyle w:val="RollCallTable"/>
            </w:pPr>
            <w:r w:rsidRPr="00325578">
              <w:t>Cornelia Ernst, José Gusmão, Marisa Matias, Anne-Sophie Pelletier</w:t>
            </w:r>
          </w:p>
        </w:tc>
      </w:tr>
      <w:tr w:rsidR="00AD7C5B" w:rsidRPr="00325578" w:rsidTr="000543D1">
        <w:trPr>
          <w:cantSplit/>
        </w:trPr>
        <w:tc>
          <w:tcPr>
            <w:tcW w:w="1701" w:type="dxa"/>
            <w:shd w:val="clear" w:color="auto" w:fill="FFFFFF"/>
          </w:tcPr>
          <w:p w:rsidR="00AD7C5B" w:rsidRPr="00325578" w:rsidRDefault="00AD7C5B" w:rsidP="000543D1">
            <w:pPr>
              <w:pStyle w:val="RollCallTable"/>
            </w:pPr>
            <w:r w:rsidRPr="00325578">
              <w:t>Verts/ALE</w:t>
            </w:r>
          </w:p>
        </w:tc>
        <w:tc>
          <w:tcPr>
            <w:tcW w:w="7371" w:type="dxa"/>
            <w:shd w:val="clear" w:color="auto" w:fill="FFFFFF"/>
          </w:tcPr>
          <w:p w:rsidR="00AD7C5B" w:rsidRPr="00325578" w:rsidRDefault="00AD7C5B" w:rsidP="000543D1">
            <w:pPr>
              <w:pStyle w:val="RollCallTable"/>
            </w:pPr>
            <w:r w:rsidRPr="00325578">
              <w:t>Patrick Breyer, Saskia Bricmont, Damien Carême, Alice Kuhnke, Erik Marquardt, Diana Riba i Giner, Tineke Strik</w:t>
            </w:r>
          </w:p>
        </w:tc>
      </w:tr>
    </w:tbl>
    <w:p w:rsidR="00AD7C5B" w:rsidRPr="00325578" w:rsidRDefault="00AD7C5B" w:rsidP="00AD7C5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D7C5B" w:rsidRPr="00325578" w:rsidTr="000543D1">
        <w:trPr>
          <w:cantSplit/>
        </w:trPr>
        <w:tc>
          <w:tcPr>
            <w:tcW w:w="1701" w:type="dxa"/>
            <w:shd w:val="pct10" w:color="000000" w:fill="FFFFFF"/>
            <w:vAlign w:val="center"/>
          </w:tcPr>
          <w:p w:rsidR="00AD7C5B" w:rsidRPr="00325578" w:rsidRDefault="00AD7C5B" w:rsidP="000543D1">
            <w:pPr>
              <w:pStyle w:val="RollCallVotes"/>
            </w:pPr>
            <w:r w:rsidRPr="00325578">
              <w:t>1</w:t>
            </w:r>
          </w:p>
        </w:tc>
        <w:tc>
          <w:tcPr>
            <w:tcW w:w="7371" w:type="dxa"/>
            <w:shd w:val="pct10" w:color="000000" w:fill="FFFFFF"/>
          </w:tcPr>
          <w:p w:rsidR="00AD7C5B" w:rsidRPr="00325578" w:rsidRDefault="00AD7C5B" w:rsidP="000543D1">
            <w:pPr>
              <w:pStyle w:val="RollCallSymbols14pt"/>
            </w:pPr>
            <w:r w:rsidRPr="00325578">
              <w:t>-</w:t>
            </w:r>
          </w:p>
        </w:tc>
      </w:tr>
      <w:tr w:rsidR="00AD7C5B" w:rsidRPr="00325578" w:rsidTr="000543D1">
        <w:trPr>
          <w:cantSplit/>
        </w:trPr>
        <w:tc>
          <w:tcPr>
            <w:tcW w:w="1701" w:type="dxa"/>
            <w:shd w:val="clear" w:color="auto" w:fill="FFFFFF"/>
          </w:tcPr>
          <w:p w:rsidR="00AD7C5B" w:rsidRPr="00325578" w:rsidRDefault="00AD7C5B" w:rsidP="000543D1">
            <w:pPr>
              <w:pStyle w:val="RollCallTable"/>
            </w:pPr>
            <w:r w:rsidRPr="00325578">
              <w:t>NI</w:t>
            </w:r>
          </w:p>
        </w:tc>
        <w:tc>
          <w:tcPr>
            <w:tcW w:w="7371" w:type="dxa"/>
            <w:shd w:val="clear" w:color="auto" w:fill="FFFFFF"/>
          </w:tcPr>
          <w:p w:rsidR="00AD7C5B" w:rsidRPr="00325578" w:rsidRDefault="00AD7C5B" w:rsidP="000543D1">
            <w:pPr>
              <w:pStyle w:val="RollCallTable"/>
            </w:pPr>
            <w:r w:rsidRPr="00325578">
              <w:t>Milan Uhrík</w:t>
            </w:r>
          </w:p>
        </w:tc>
      </w:tr>
    </w:tbl>
    <w:p w:rsidR="00AD7C5B" w:rsidRPr="00325578" w:rsidRDefault="00AD7C5B" w:rsidP="00AD7C5B"/>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AD7C5B" w:rsidRPr="00325578" w:rsidTr="000543D1">
        <w:trPr>
          <w:cantSplit/>
        </w:trPr>
        <w:tc>
          <w:tcPr>
            <w:tcW w:w="1701" w:type="dxa"/>
            <w:shd w:val="pct10" w:color="000000" w:fill="FFFFFF"/>
            <w:vAlign w:val="center"/>
          </w:tcPr>
          <w:p w:rsidR="00AD7C5B" w:rsidRPr="00325578" w:rsidRDefault="00AD7C5B" w:rsidP="000543D1">
            <w:pPr>
              <w:pStyle w:val="RollCallVotes"/>
            </w:pPr>
            <w:r w:rsidRPr="00325578">
              <w:t>3</w:t>
            </w:r>
          </w:p>
        </w:tc>
        <w:tc>
          <w:tcPr>
            <w:tcW w:w="7371" w:type="dxa"/>
            <w:shd w:val="pct10" w:color="000000" w:fill="FFFFFF"/>
          </w:tcPr>
          <w:p w:rsidR="00AD7C5B" w:rsidRPr="00325578" w:rsidRDefault="00AD7C5B" w:rsidP="000543D1">
            <w:pPr>
              <w:pStyle w:val="RollCallSymbols14pt"/>
            </w:pPr>
            <w:r w:rsidRPr="00325578">
              <w:t>0</w:t>
            </w:r>
          </w:p>
        </w:tc>
      </w:tr>
      <w:tr w:rsidR="00AD7C5B" w:rsidRPr="00325578" w:rsidTr="000543D1">
        <w:trPr>
          <w:cantSplit/>
        </w:trPr>
        <w:tc>
          <w:tcPr>
            <w:tcW w:w="1701" w:type="dxa"/>
            <w:shd w:val="clear" w:color="auto" w:fill="FFFFFF"/>
          </w:tcPr>
          <w:p w:rsidR="00AD7C5B" w:rsidRPr="00325578" w:rsidRDefault="00AD7C5B" w:rsidP="000543D1">
            <w:pPr>
              <w:pStyle w:val="RollCallTable"/>
            </w:pPr>
            <w:r w:rsidRPr="00325578">
              <w:t>ID</w:t>
            </w:r>
          </w:p>
        </w:tc>
        <w:tc>
          <w:tcPr>
            <w:tcW w:w="7371" w:type="dxa"/>
            <w:shd w:val="clear" w:color="auto" w:fill="FFFFFF"/>
          </w:tcPr>
          <w:p w:rsidR="00AD7C5B" w:rsidRPr="00325578" w:rsidRDefault="00AD7C5B" w:rsidP="000543D1">
            <w:pPr>
              <w:pStyle w:val="RollCallTable"/>
            </w:pPr>
            <w:r w:rsidRPr="00325578">
              <w:t>Patricia Chagnon, Nicolaus Fest, Tom Vandendriessche</w:t>
            </w:r>
          </w:p>
        </w:tc>
      </w:tr>
    </w:tbl>
    <w:p w:rsidR="00AD7C5B" w:rsidRPr="00325578" w:rsidRDefault="00AD7C5B" w:rsidP="00AD7C5B">
      <w:pPr>
        <w:pStyle w:val="Normal12a"/>
      </w:pPr>
    </w:p>
    <w:p w:rsidR="00AD7C5B" w:rsidRPr="00325578" w:rsidRDefault="00AD7C5B" w:rsidP="00AD7C5B">
      <w:r w:rsidRPr="00325578">
        <w:t>Significato dei simboli utilizzati:</w:t>
      </w:r>
    </w:p>
    <w:p w:rsidR="00AD7C5B" w:rsidRPr="00325578" w:rsidRDefault="00AD7C5B" w:rsidP="00AD7C5B">
      <w:pPr>
        <w:pStyle w:val="RollCallTabs"/>
      </w:pPr>
      <w:r w:rsidRPr="00325578">
        <w:t>+</w:t>
      </w:r>
      <w:r w:rsidRPr="00325578">
        <w:tab/>
        <w:t>:</w:t>
      </w:r>
      <w:r w:rsidRPr="00325578">
        <w:tab/>
        <w:t>favorevoli</w:t>
      </w:r>
    </w:p>
    <w:p w:rsidR="00AD7C5B" w:rsidRPr="00325578" w:rsidRDefault="00AD7C5B" w:rsidP="00AD7C5B">
      <w:pPr>
        <w:pStyle w:val="RollCallTabs"/>
      </w:pPr>
      <w:r w:rsidRPr="00325578">
        <w:t>-</w:t>
      </w:r>
      <w:r w:rsidRPr="00325578">
        <w:tab/>
        <w:t>:</w:t>
      </w:r>
      <w:r w:rsidRPr="00325578">
        <w:tab/>
        <w:t>contrari</w:t>
      </w:r>
    </w:p>
    <w:p w:rsidR="00AD7C5B" w:rsidRPr="00325578" w:rsidRDefault="00AD7C5B" w:rsidP="00AD7C5B">
      <w:pPr>
        <w:pStyle w:val="RollCallTabs"/>
      </w:pPr>
      <w:r w:rsidRPr="00325578">
        <w:t>0</w:t>
      </w:r>
      <w:r w:rsidRPr="00325578">
        <w:tab/>
        <w:t>:</w:t>
      </w:r>
      <w:r w:rsidRPr="00325578">
        <w:tab/>
        <w:t>astenuti</w:t>
      </w:r>
    </w:p>
    <w:p w:rsidR="00AD7C5B" w:rsidRPr="00325578" w:rsidRDefault="00AD7C5B" w:rsidP="00AD7C5B">
      <w:bookmarkStart w:id="4" w:name="_GoBack"/>
      <w:bookmarkEnd w:id="4"/>
    </w:p>
    <w:p w:rsidR="00AD7C5B" w:rsidRPr="00325578" w:rsidRDefault="00AD7C5B" w:rsidP="00AD7C5B"/>
    <w:sectPr w:rsidR="00AD7C5B" w:rsidRPr="00325578" w:rsidSect="00AD7C5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C6C37" w:rsidRPr="007825AC" w:rsidRDefault="005C6C37">
      <w:r w:rsidRPr="007825AC">
        <w:separator/>
      </w:r>
    </w:p>
  </w:endnote>
  <w:endnote w:type="continuationSeparator" w:id="0">
    <w:p w:rsidR="005C6C37" w:rsidRPr="007825AC" w:rsidRDefault="005C6C37">
      <w:r w:rsidRPr="007825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5AC" w:rsidRPr="007825AC" w:rsidRDefault="007825AC" w:rsidP="007825AC">
    <w:pPr>
      <w:pStyle w:val="EPFooter"/>
    </w:pPr>
    <w:r w:rsidRPr="007825AC">
      <w:t>PE</w:t>
    </w:r>
    <w:r w:rsidRPr="00325578">
      <w:rPr>
        <w:rStyle w:val="HideTWBExt"/>
      </w:rPr>
      <w:t>&lt;NoPE&gt;</w:t>
    </w:r>
    <w:r w:rsidRPr="007825AC">
      <w:t>756.194</w:t>
    </w:r>
    <w:r w:rsidRPr="00325578">
      <w:rPr>
        <w:rStyle w:val="HideTWBExt"/>
      </w:rPr>
      <w:t>&lt;/NoPE&gt;&lt;Version&gt;</w:t>
    </w:r>
    <w:r w:rsidRPr="007825AC">
      <w:t>v03-00</w:t>
    </w:r>
    <w:r w:rsidRPr="00325578">
      <w:rPr>
        <w:rStyle w:val="HideTWBExt"/>
      </w:rPr>
      <w:t>&lt;/Version&gt;</w:t>
    </w:r>
    <w:r w:rsidRPr="007825AC">
      <w:tab/>
    </w:r>
    <w:r w:rsidRPr="007825AC">
      <w:fldChar w:fldCharType="begin"/>
    </w:r>
    <w:r w:rsidRPr="007825AC">
      <w:instrText xml:space="preserve"> PAGE  \* MERGEFORMAT </w:instrText>
    </w:r>
    <w:r w:rsidRPr="007825AC">
      <w:fldChar w:fldCharType="separate"/>
    </w:r>
    <w:r w:rsidR="002E7F78">
      <w:rPr>
        <w:noProof/>
      </w:rPr>
      <w:t>6</w:t>
    </w:r>
    <w:r w:rsidRPr="007825AC">
      <w:fldChar w:fldCharType="end"/>
    </w:r>
    <w:r w:rsidRPr="007825AC">
      <w:t>/</w:t>
    </w:r>
    <w:r w:rsidR="002E7F78">
      <w:fldChar w:fldCharType="begin"/>
    </w:r>
    <w:r w:rsidR="002E7F78">
      <w:instrText xml:space="preserve"> NUMPAGES  \* MERGEFORMAT </w:instrText>
    </w:r>
    <w:r w:rsidR="002E7F78">
      <w:fldChar w:fldCharType="separate"/>
    </w:r>
    <w:r w:rsidR="002E7F78">
      <w:rPr>
        <w:noProof/>
      </w:rPr>
      <w:t>7</w:t>
    </w:r>
    <w:r w:rsidR="002E7F78">
      <w:rPr>
        <w:noProof/>
      </w:rPr>
      <w:fldChar w:fldCharType="end"/>
    </w:r>
    <w:r w:rsidRPr="007825AC">
      <w:tab/>
    </w:r>
    <w:r w:rsidRPr="00325578">
      <w:rPr>
        <w:rStyle w:val="HideTWBExt"/>
      </w:rPr>
      <w:t>&lt;PathFdR&gt;</w:t>
    </w:r>
    <w:r w:rsidRPr="007825AC">
      <w:t>AD\1295226IT.docx</w:t>
    </w:r>
    <w:r w:rsidRPr="00325578">
      <w:rPr>
        <w:rStyle w:val="HideTWBExt"/>
      </w:rPr>
      <w:t>&lt;/PathFdR&gt;</w:t>
    </w:r>
  </w:p>
  <w:p w:rsidR="002E2F2E" w:rsidRPr="007825AC" w:rsidRDefault="007825AC" w:rsidP="007825AC">
    <w:pPr>
      <w:pStyle w:val="EPFooter2"/>
    </w:pPr>
    <w:r w:rsidRPr="007825AC">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5AC" w:rsidRPr="007825AC" w:rsidRDefault="007825AC" w:rsidP="007825AC">
    <w:pPr>
      <w:pStyle w:val="EPFooter"/>
    </w:pPr>
    <w:r w:rsidRPr="00325578">
      <w:rPr>
        <w:rStyle w:val="HideTWBExt"/>
      </w:rPr>
      <w:t>&lt;PathFdR&gt;</w:t>
    </w:r>
    <w:r w:rsidRPr="007825AC">
      <w:t>AD\1295226IT.docx</w:t>
    </w:r>
    <w:r w:rsidRPr="00325578">
      <w:rPr>
        <w:rStyle w:val="HideTWBExt"/>
      </w:rPr>
      <w:t>&lt;/PathFdR&gt;</w:t>
    </w:r>
    <w:r w:rsidRPr="007825AC">
      <w:tab/>
    </w:r>
    <w:r w:rsidRPr="007825AC">
      <w:fldChar w:fldCharType="begin"/>
    </w:r>
    <w:r w:rsidRPr="007825AC">
      <w:instrText xml:space="preserve"> PAGE  \* MERGEFORMAT </w:instrText>
    </w:r>
    <w:r w:rsidRPr="007825AC">
      <w:fldChar w:fldCharType="separate"/>
    </w:r>
    <w:r w:rsidR="002E7F78">
      <w:rPr>
        <w:noProof/>
      </w:rPr>
      <w:t>7</w:t>
    </w:r>
    <w:r w:rsidRPr="007825AC">
      <w:fldChar w:fldCharType="end"/>
    </w:r>
    <w:r w:rsidRPr="007825AC">
      <w:t>/</w:t>
    </w:r>
    <w:r w:rsidR="002E7F78">
      <w:fldChar w:fldCharType="begin"/>
    </w:r>
    <w:r w:rsidR="002E7F78">
      <w:instrText xml:space="preserve"> NUMPAGES  \* MERGEFORMAT </w:instrText>
    </w:r>
    <w:r w:rsidR="002E7F78">
      <w:fldChar w:fldCharType="separate"/>
    </w:r>
    <w:r w:rsidR="002E7F78">
      <w:rPr>
        <w:noProof/>
      </w:rPr>
      <w:t>7</w:t>
    </w:r>
    <w:r w:rsidR="002E7F78">
      <w:rPr>
        <w:noProof/>
      </w:rPr>
      <w:fldChar w:fldCharType="end"/>
    </w:r>
    <w:r w:rsidRPr="007825AC">
      <w:tab/>
      <w:t>PE</w:t>
    </w:r>
    <w:r w:rsidRPr="00325578">
      <w:rPr>
        <w:rStyle w:val="HideTWBExt"/>
      </w:rPr>
      <w:t>&lt;NoPE&gt;</w:t>
    </w:r>
    <w:r w:rsidRPr="007825AC">
      <w:t>756.194</w:t>
    </w:r>
    <w:r w:rsidRPr="00325578">
      <w:rPr>
        <w:rStyle w:val="HideTWBExt"/>
      </w:rPr>
      <w:t>&lt;/NoPE&gt;&lt;Version&gt;</w:t>
    </w:r>
    <w:r w:rsidRPr="007825AC">
      <w:t>v03-00</w:t>
    </w:r>
    <w:r w:rsidRPr="00325578">
      <w:rPr>
        <w:rStyle w:val="HideTWBExt"/>
      </w:rPr>
      <w:t>&lt;/Version&gt;</w:t>
    </w:r>
  </w:p>
  <w:p w:rsidR="002E2F2E" w:rsidRPr="007825AC" w:rsidRDefault="007825AC" w:rsidP="007825AC">
    <w:pPr>
      <w:pStyle w:val="EPFooter2"/>
    </w:pPr>
    <w:r w:rsidRPr="007825AC">
      <w:tab/>
    </w:r>
    <w:r w:rsidRPr="007825AC">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825AC" w:rsidRPr="007825AC" w:rsidRDefault="007825AC" w:rsidP="007825AC">
    <w:pPr>
      <w:pStyle w:val="EPFooter"/>
    </w:pPr>
    <w:r w:rsidRPr="00325578">
      <w:rPr>
        <w:rStyle w:val="HideTWBExt"/>
      </w:rPr>
      <w:t>&lt;PathFdR&gt;</w:t>
    </w:r>
    <w:r w:rsidRPr="007825AC">
      <w:t>AD\1295226IT.docx</w:t>
    </w:r>
    <w:r w:rsidRPr="00325578">
      <w:rPr>
        <w:rStyle w:val="HideTWBExt"/>
      </w:rPr>
      <w:t>&lt;/PathFdR&gt;</w:t>
    </w:r>
    <w:r w:rsidRPr="007825AC">
      <w:tab/>
    </w:r>
    <w:r w:rsidRPr="007825AC">
      <w:tab/>
      <w:t>PE</w:t>
    </w:r>
    <w:r w:rsidRPr="00325578">
      <w:rPr>
        <w:rStyle w:val="HideTWBExt"/>
      </w:rPr>
      <w:t>&lt;NoPE&gt;</w:t>
    </w:r>
    <w:r w:rsidRPr="007825AC">
      <w:t>756.194</w:t>
    </w:r>
    <w:r w:rsidRPr="00325578">
      <w:rPr>
        <w:rStyle w:val="HideTWBExt"/>
      </w:rPr>
      <w:t>&lt;/NoPE&gt;&lt;Version&gt;</w:t>
    </w:r>
    <w:r w:rsidRPr="007825AC">
      <w:t>v03-00</w:t>
    </w:r>
    <w:r w:rsidRPr="00325578">
      <w:rPr>
        <w:rStyle w:val="HideTWBExt"/>
      </w:rPr>
      <w:t>&lt;/Version&gt;</w:t>
    </w:r>
  </w:p>
  <w:p w:rsidR="002E2F2E" w:rsidRPr="007825AC" w:rsidRDefault="007825AC" w:rsidP="007825AC">
    <w:pPr>
      <w:pStyle w:val="EPFooter2"/>
    </w:pPr>
    <w:r w:rsidRPr="007825AC">
      <w:t>IT</w:t>
    </w:r>
    <w:r w:rsidRPr="007825AC">
      <w:tab/>
    </w:r>
    <w:r w:rsidRPr="007825AC">
      <w:rPr>
        <w:b w:val="0"/>
        <w:i/>
        <w:color w:val="C0C0C0"/>
        <w:sz w:val="22"/>
      </w:rPr>
      <w:t>Unita nella diversità</w:t>
    </w:r>
    <w:r w:rsidRPr="007825AC">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C6C37" w:rsidRPr="007825AC" w:rsidRDefault="005C6C37">
      <w:r w:rsidRPr="007825AC">
        <w:separator/>
      </w:r>
    </w:p>
  </w:footnote>
  <w:footnote w:type="continuationSeparator" w:id="0">
    <w:p w:rsidR="005C6C37" w:rsidRPr="007825AC" w:rsidRDefault="005C6C37">
      <w:r w:rsidRPr="007825AC">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C5B" w:rsidRDefault="00AD7C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C5B" w:rsidRDefault="00AD7C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7C5B" w:rsidRDefault="00AD7C5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JMNU" w:val="1"/>
    <w:docVar w:name="CODEMNU" w:val=" 3"/>
    <w:docVar w:name="COM2KEY" w:val="CONT"/>
    <w:docVar w:name="COMKEY" w:val="LIBE"/>
    <w:docVar w:name="LastEditedSection" w:val=" 1"/>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345\fbidi \fswiss\fcharset238\fprq2 Arial CE;}{\f346\fbidi \fswiss\fcharset204\fprq2 Arial Cyr;}_x000d__x000a_{\f348\fbidi \fswiss\fcharset161\fprq2 Arial Greek;}{\f349\fbidi \fswiss\fcharset162\fprq2 Arial Tur;}{\f350\fbidi \fswiss\fcharset177\fprq2 Arial (Hebrew);}{\f351\fbidi \fswiss\fcharset178\fprq2 Arial (Arabic);}_x000d__x000a_{\f352\fbidi \fswiss\fcharset186\fprq2 Arial Baltic;}{\f353\fbidi \fswiss\fcharset163\fprq2 Arial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9058901 HideTWBInt;}{_x000d__x000a_\s18\ql \fi-567\li567\ri0\sa240\nowidctlpar\wrapdefault\aspalpha\aspnum\faauto\adjustright\rin0\lin567\itap0 \rtlch\fcs1 \af0\afs20\alang1025 \ltrch\fcs0 \fs24\lang1040\langfe2057\cgrid\langnp1040\langfenp2057 _x000d__x000a_\sbasedon0 \snext18 \spriority0 \styrsid9058901 NormalHanging12a;}}{\*\rsidtbl \rsid24658\rsid223860\rsid735077\rsid1718133\rsid2892074\rsid3565327\rsid4666813\rsid6641733\rsid7823322\rsid9058901\rsid9636012\rsid10377208\rsid10909116\rsid11215221_x000d__x000a_\rsid11549030\rsid12154954\rsid14382809\rsid14424199\rsid15204470\rsid15285974\rsid15950462\rsid16324206\rsid16662270}{\mmathPr\mmathFont34\mbrkBin0\mbrkBinSub0\msmallFrac0\mdispDef1\mlMargin0\mrMargin0\mdefJc1\mwrapIndent1440\mintLim0\mnaryLim1}{\info_x000d__x000a_{\author GRIFFINI Ivana}{\operator GRIFFINI Ivana}{\creatim\yr2024\mo1\dy29\hr9\min16}{\revtim\yr2024\mo1\dy29\hr9\min16}{\version1}{\edmins0}{\nofpages1}{\nofwords2}{\nofchars16}{\nofcharsws17}{\vern109}}{\*\xmlnstbl {\xmlns1 http://schemas.microsoft.com_x000d__x000a_/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9058901\newtblstyruls\nogrowautofit\usenormstyforlist\noindnmbrts\felnbrelev\nocxsptable\indrlsweleven\noafcnsttbl\afelev\utinl\hwelev\spltpgpar\notcvasp\notbrkcnstfrctbl\notvatxbx\krnprsnet\cachedcolbal _x000d__x000a_\nouicompat \fet0{\*\wgrffmtfilter 013f}\nofeaturethrottle1\ilfomacatclnup0{\*\template C:\\Users\\IGRIFF~1\\AppData\\Local\\Temp\\Blank1.dotx}{\*\ftnsep \ltrpar \pard\plain \ltrpar_x000d__x000a_\ql \li0\ri0\widctlpar\wrapdefault\aspalpha\aspnum\faauto\adjustright\rin0\lin0\itap0 \rtlch\fcs1 \af0\afs20\alang1025 \ltrch\fcs0 \fs24\lang2057\langfe2057\cgrid\langnp2057\langfenp2057 {\rtlch\fcs1 \af0 \ltrch\fcs0 \insrsid10909116 \chftnsep _x000d__x000a_\par }}{\*\ftnsepc \ltrpar \pard\plain \ltrpar\ql \li0\ri0\widctlpar\wrapdefault\aspalpha\aspnum\faauto\adjustright\rin0\lin0\itap0 \rtlch\fcs1 \af0\afs20\alang1025 \ltrch\fcs0 \fs24\lang2057\langfe2057\cgrid\langnp2057\langfenp2057 {\rtlch\fcs1 \af0 _x000d__x000a_\ltrch\fcs0 \insrsid10909116 \chftnsepc _x000d__x000a_\par }}{\*\aftnsep \ltrpar \pard\plain \ltrpar\ql \li0\ri0\widctlpar\wrapdefault\aspalpha\aspnum\faauto\adjustright\rin0\lin0\itap0 \rtlch\fcs1 \af0\afs20\alang1025 \ltrch\fcs0 \fs24\lang2057\langfe2057\cgrid\langnp2057\langfenp2057 {\rtlch\fcs1 \af0 _x000d__x000a_\ltrch\fcs0 \insrsid10909116 \chftnsep _x000d__x000a_\par }}{\*\aftnsepc \ltrpar \pard\plain \ltrpar\ql \li0\ri0\widctlpar\wrapdefault\aspalpha\aspnum\faauto\adjustright\rin0\lin0\itap0 \rtlch\fcs1 \af0\afs20\alang1025 \ltrch\fcs0 \fs24\lang2057\langfe2057\cgrid\langnp2057\langfenp2057 {\rtlch\fcs1 \af0 _x000d__x000a_\ltrch\fcs0 \insrsid1090911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8\ql \fi-567\li567\ri0\sa240\nowidctlpar\wrapdefault\aspalpha\aspnum\faauto\adjustright\rin0\lin567\itap0\pararsid9058901 \rtlch\fcs1 \af0\afs20\alang1025 \ltrch\fcs0 \fs24\lang1040\langfe2057\cgrid\langnp1040\langfenp2057 {\rtlch\fcs1 \af0 _x000d__x000a_\ltrch\fcs0 \insrsid9058901\charrsid14248848 {\*\bkmkstart restart}#}{\rtlch\fcs1 \af1 \ltrch\fcs0 \cs17\v\f1\fs20\cf15\insrsid9058901\charrsid14248848 NRMSG}{\rtlch\fcs1 \af0 \ltrch\fcs0 \insrsid9058901\charrsid14248848 #.\tab #}{\rtlch\fcs1 \af1 _x000d__x000a_\ltrch\fcs0 \cs17\v\f1\fs20\cf15\insrsid9058901\charrsid14248848 TESTO}{\rtlch\fcs1 \af0 \ltrch\fcs0 \insrsid9058901\charrsid14248848 #}{\rtlch\fcs1 \af0 \ltrch\fcs0 \insrsid9058901\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63_x000d__x000a_88658b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1108{\fonttbl{\f0\fbidi \froman\fcharset0\fprq2{\*\panose 02020603050405020304}Times New Roman;}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5\fbidi \froman\fcharset238\fprq2 Times New Roman CE;}{\f336\fbidi \froman\fcharset204\fprq2 Times New Roman Cyr;}_x000d__x000a_{\f338\fbidi \froman\fcharset161\fprq2 Times New Roman Greek;}{\f339\fbidi \froman\fcharset162\fprq2 Times New Roman Tur;}{\f340\fbidi \froman\fcharset177\fprq2 Times New Roman (Hebrew);}{\f341\fbidi \froman\fcharset178\fprq2 Times New Roman (Arabic);}_x000d__x000a_{\f342\fbidi \froman\fcharset186\fprq2 Times New Roman Baltic;}{\f343\fbidi \froman\fcharset163\fprq2 Times New Roman (Vietnamese);}{\f675\fbidi \froman\fcharset238\fprq2 Cambria Math CE;}{\f676\fbidi \froman\fcharset204\fprq2 Cambria Math Cyr;}_x000d__x000a_{\f678\fbidi \froman\fcharset161\fprq2 Cambria Math Greek;}{\f679\fbidi \froman\fcharset162\fprq2 Cambria Math Tur;}{\f682\fbidi \froman\fcharset186\fprq2 Cambria Math Baltic;}{\f68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s17\ql \fi-567\li567\ri0\sa240\nowidctlpar\wrapdefault\aspalpha\aspnum\faauto\adjustright\rin0\lin567\itap0 \rtlch\fcs1 \af0\afs20\alang1025 \ltrch\fcs0 _x000d__x000a_\fs24\lang2057\langfe2057\cgrid\langnp2057\langfenp2057 \sbasedon0 \snext17 \spriority0 \styrsid10176974 NormalHanging12a;}}{\*\rsidtbl \rsid24658\rsid223860\rsid735077\rsid1718133\rsid2892074\rsid3231056\rsid3565327\rsid4666813\rsid6641733\rsid7823322_x000d__x000a_\rsid9636012\rsid10176974\rsid10377208\rsid11215221\rsid11549030\rsid12154954\rsid14382809\rsid14424199\rsid15204470\rsid15285974\rsid15950462\rsid16324206\rsid16662270}{\mmathPr\mmathFont34\mbrkBin0\mbrkBinSub0\msmallFrac0\mdispDef1\mlMargin0\mrMargin0_x000d__x000a_\mdefJc1\mwrapIndent1440\mintLim0\mnaryLim1}{\info{\author GRIFFINI Ivana}{\operator GRIFFINI Ivana}{\creatim\yr2024\mo1\dy29\hr9\min16}{\revtim\yr2024\mo1\dy29\hr9\min16}{\version1}{\edmins0}{\nofpages1}{\nofwords5}{\nofchars30}{\nofcharsws34}{\vern109}}_x000d__x000a_{\*\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0176974\newtblstyruls\nogrowautofit\usenormstyforlist\noindnmbrts\felnbrelev\nocxsptable\indrlsweleven\noafcnsttbl\afelev\utinl\hwelev\spltpgpar\notcvasp\notbrkcnstfrctbl\notvatxbx\krnprsnet\cachedcolbal _x000d__x000a_\nouicompat \fet0{\*\wgrffmtfilter 013f}\nofeaturethrottle1\ilfomacatclnup0{\*\template C:\\Users\\IGRIFF~1\\AppData\\Local\\Temp\\Blank1.dotx}{\*\ftnsep \ltrpar \pard\plain \ltrpar_x000d__x000a_\ql \li0\ri0\widctlpar\wrapdefault\aspalpha\aspnum\faauto\adjustright\rin0\lin0\itap0 \rtlch\fcs1 \af0\afs20\alang1025 \ltrch\fcs0 \fs24\lang2057\langfe2057\cgrid\langnp2057\langfenp2057 {\rtlch\fcs1 \af0 \ltrch\fcs0 \insrsid3231056 \chftnsep _x000d__x000a_\par }}{\*\ftnsepc \ltrpar \pard\plain \ltrpar\ql \li0\ri0\widctlpar\wrapdefault\aspalpha\aspnum\faauto\adjustright\rin0\lin0\itap0 \rtlch\fcs1 \af0\afs20\alang1025 \ltrch\fcs0 \fs24\lang2057\langfe2057\cgrid\langnp2057\langfenp2057 {\rtlch\fcs1 \af0 _x000d__x000a_\ltrch\fcs0 \insrsid3231056 \chftnsepc _x000d__x000a_\par }}{\*\aftnsep \ltrpar \pard\plain \ltrpar\ql \li0\ri0\widctlpar\wrapdefault\aspalpha\aspnum\faauto\adjustright\rin0\lin0\itap0 \rtlch\fcs1 \af0\afs20\alang1025 \ltrch\fcs0 \fs24\lang2057\langfe2057\cgrid\langnp2057\langfenp2057 {\rtlch\fcs1 \af0 _x000d__x000a_\ltrch\fcs0 \insrsid3231056 \chftnsep _x000d__x000a_\par }}{\*\aftnsepc \ltrpar \pard\plain \ltrpar\ql \li0\ri0\widctlpar\wrapdefault\aspalpha\aspnum\faauto\adjustright\rin0\lin0\itap0 \rtlch\fcs1 \af0\afs20\alang1025 \ltrch\fcs0 \fs24\lang2057\langfe2057\cgrid\langnp2057\langfenp2057 {\rtlch\fcs1 \af0 _x000d__x000a_\ltrch\fcs0 \insrsid3231056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_x000d__x000a_\s17\ql \fi-567\li567\ri0\sa240\nowidctlpar\wrapdefault\aspalpha\aspnum\faauto\adjustright\rin0\lin567\itap0\pararsid10176974 \rtlch\fcs1 \af0\afs20\alang1025 \ltrch\fcs0 \fs24\lang2057\langfe2057\cgrid\langnp2057\langfenp2057 {\rtlch\fcs1 \af0 _x000d__x000a_\ltrch\fcs0 \insrsid10176974\charrsid1525456 {\*\bkmkstart restart}[ZSUGGESTIONNR]\tab [ZSUGGESTIONTEXT]}{\rtlch\fcs1 \af0 \ltrch\fcs0 \insrsid10176974\charrsid16324206 {\*\bkmkend restart}_x000d__x000a_\par }\pard\plain \ltrpar\ql \li0\ri0\widctlpar\wrapdefault\aspalpha\aspnum\faauto\adjustright\rin0\lin0\itap0\pararsid16324206 \rtlch\fcs1 \af0\afs20\alang1025 \ltrch\fcs0 \fs24\lang2057\langfe2057\cgrid\langnp2057\langfenp2057 {\rtlch\fcs1 \af0 \ltrch\fcs0 _x000d__x000a_\insrsid24658\charrsid16324206 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23_x000d__x000a_25678b52da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PA_NonLeg"/>
    <w:docVar w:name="strSubDir" w:val="1295"/>
    <w:docVar w:name="TXTLANGUE" w:val="IT"/>
    <w:docVar w:name="TXTLANGUEMIN" w:val="it"/>
    <w:docVar w:name="TXTNRPE" w:val="756.194"/>
    <w:docVar w:name="TXTPEorAP" w:val="PE"/>
    <w:docVar w:name="TXTROUTE" w:val="AD\1295226IT.docx"/>
    <w:docVar w:name="TXTVERSION" w:val="03-00"/>
  </w:docVars>
  <w:rsids>
    <w:rsidRoot w:val="005C6C37"/>
    <w:rsid w:val="000E7EBF"/>
    <w:rsid w:val="00124F60"/>
    <w:rsid w:val="00135121"/>
    <w:rsid w:val="00140BE6"/>
    <w:rsid w:val="00147F4E"/>
    <w:rsid w:val="0016635E"/>
    <w:rsid w:val="001746D0"/>
    <w:rsid w:val="001B7393"/>
    <w:rsid w:val="001D2ED9"/>
    <w:rsid w:val="001F21C1"/>
    <w:rsid w:val="002D28A7"/>
    <w:rsid w:val="002E2F2E"/>
    <w:rsid w:val="002E6F98"/>
    <w:rsid w:val="002E7F78"/>
    <w:rsid w:val="00325578"/>
    <w:rsid w:val="00325BCB"/>
    <w:rsid w:val="00331944"/>
    <w:rsid w:val="00332AD9"/>
    <w:rsid w:val="00347D2C"/>
    <w:rsid w:val="0037356F"/>
    <w:rsid w:val="00390EB2"/>
    <w:rsid w:val="00396A0E"/>
    <w:rsid w:val="003E2402"/>
    <w:rsid w:val="004C28FB"/>
    <w:rsid w:val="004C44C0"/>
    <w:rsid w:val="0052544E"/>
    <w:rsid w:val="00541355"/>
    <w:rsid w:val="005940C3"/>
    <w:rsid w:val="00594C48"/>
    <w:rsid w:val="005B2F11"/>
    <w:rsid w:val="005C0BDF"/>
    <w:rsid w:val="005C6C37"/>
    <w:rsid w:val="005D60C6"/>
    <w:rsid w:val="006102E7"/>
    <w:rsid w:val="00640C1B"/>
    <w:rsid w:val="00657AFB"/>
    <w:rsid w:val="006B1225"/>
    <w:rsid w:val="006D5BF7"/>
    <w:rsid w:val="007825AC"/>
    <w:rsid w:val="008313E7"/>
    <w:rsid w:val="00854CAC"/>
    <w:rsid w:val="008A32C5"/>
    <w:rsid w:val="008C6203"/>
    <w:rsid w:val="008D61E7"/>
    <w:rsid w:val="008F7002"/>
    <w:rsid w:val="00936BDC"/>
    <w:rsid w:val="0099493F"/>
    <w:rsid w:val="00A16BEA"/>
    <w:rsid w:val="00A312B3"/>
    <w:rsid w:val="00A72C35"/>
    <w:rsid w:val="00AD7C5B"/>
    <w:rsid w:val="00AE180F"/>
    <w:rsid w:val="00B362F7"/>
    <w:rsid w:val="00B5456B"/>
    <w:rsid w:val="00B74B53"/>
    <w:rsid w:val="00BC26E4"/>
    <w:rsid w:val="00BD1EAA"/>
    <w:rsid w:val="00C52739"/>
    <w:rsid w:val="00C827FF"/>
    <w:rsid w:val="00CD34AC"/>
    <w:rsid w:val="00DE19FF"/>
    <w:rsid w:val="00E81BA6"/>
    <w:rsid w:val="00E856D2"/>
    <w:rsid w:val="00E929A7"/>
    <w:rsid w:val="00FC6460"/>
    <w:rsid w:val="00FC7EFC"/>
    <w:rsid w:val="00FD0D14"/>
    <w:rsid w:val="00FD4BC4"/>
    <w:rsid w:val="00FF4B5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C9CA2DE"/>
  <w15:chartTrackingRefBased/>
  <w15:docId w15:val="{D1F685AA-2858-4085-AEE5-553C9DEC4B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3194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Normal12a">
    <w:name w:val="Normal12a"/>
    <w:basedOn w:val="Normal"/>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PageHeadingNotTOC">
    <w:name w:val="PageHeadingNotTOC"/>
    <w:basedOn w:val="Normal"/>
    <w:pPr>
      <w:keepNext/>
      <w:spacing w:after="480"/>
      <w:jc w:val="center"/>
    </w:pPr>
    <w:rPr>
      <w:rFonts w:ascii="Arial" w:hAnsi="Arial" w:cs="Arial"/>
      <w:b/>
    </w:rPr>
  </w:style>
  <w:style w:type="paragraph" w:customStyle="1" w:styleId="EPName">
    <w:name w:val="EPName"/>
    <w:basedOn w:val="Normal"/>
    <w:rsid w:val="00E856D2"/>
    <w:pPr>
      <w:spacing w:before="80" w:after="80"/>
    </w:pPr>
    <w:rPr>
      <w:rFonts w:ascii="Arial Narrow" w:hAnsi="Arial Narrow" w:cs="Arial"/>
      <w:b/>
      <w:sz w:val="32"/>
      <w:szCs w:val="22"/>
    </w:rPr>
  </w:style>
  <w:style w:type="paragraph" w:customStyle="1" w:styleId="CoverNormal24a">
    <w:name w:val="CoverNormal24a"/>
    <w:basedOn w:val="Normal"/>
    <w:rsid w:val="00347D2C"/>
    <w:pPr>
      <w:spacing w:after="480"/>
      <w:ind w:left="1417"/>
    </w:pPr>
  </w:style>
  <w:style w:type="paragraph" w:customStyle="1" w:styleId="CoverNormal">
    <w:name w:val="CoverNormal"/>
    <w:basedOn w:val="Normal"/>
    <w:pPr>
      <w:ind w:left="1418"/>
    </w:pPr>
  </w:style>
  <w:style w:type="paragraph" w:styleId="Header">
    <w:name w:val="header"/>
    <w:basedOn w:val="Normal"/>
    <w:link w:val="HeaderChar"/>
    <w:semiHidden/>
    <w:rsid w:val="005C0BDF"/>
    <w:pPr>
      <w:tabs>
        <w:tab w:val="center" w:pos="4513"/>
        <w:tab w:val="right" w:pos="9026"/>
      </w:tabs>
    </w:pPr>
  </w:style>
  <w:style w:type="paragraph" w:customStyle="1" w:styleId="CoverReference">
    <w:name w:val="CoverReference"/>
    <w:basedOn w:val="Normal"/>
    <w:rsid w:val="00E81BA6"/>
    <w:pPr>
      <w:spacing w:before="1080"/>
      <w:jc w:val="right"/>
    </w:pPr>
    <w:rPr>
      <w:rFonts w:ascii="Arial" w:hAnsi="Arial" w:cs="Arial"/>
      <w:b/>
    </w:rPr>
  </w:style>
  <w:style w:type="paragraph" w:customStyle="1" w:styleId="CoverDocType24a">
    <w:name w:val="CoverDocType24a"/>
    <w:basedOn w:val="Normal"/>
    <w:rsid w:val="00347D2C"/>
    <w:pPr>
      <w:spacing w:after="480"/>
      <w:ind w:left="1418"/>
    </w:pPr>
    <w:rPr>
      <w:rFonts w:ascii="Arial" w:hAnsi="Arial"/>
      <w:b/>
      <w:sz w:val="48"/>
    </w:rPr>
  </w:style>
  <w:style w:type="paragraph" w:customStyle="1" w:styleId="CoverDate">
    <w:name w:val="CoverDate"/>
    <w:basedOn w:val="Normal"/>
    <w:pPr>
      <w:spacing w:before="240" w:after="1200"/>
    </w:pPr>
  </w:style>
  <w:style w:type="table" w:styleId="TableGrid">
    <w:name w:val="Table Grid"/>
    <w:basedOn w:val="TableNormal"/>
    <w:rsid w:val="001746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746D0"/>
    <w:pPr>
      <w:jc w:val="center"/>
    </w:pPr>
    <w:rPr>
      <w:rFonts w:ascii="Arial" w:hAnsi="Arial" w:cs="Arial"/>
      <w:i/>
      <w:sz w:val="22"/>
      <w:szCs w:val="22"/>
    </w:rPr>
  </w:style>
  <w:style w:type="paragraph" w:customStyle="1" w:styleId="LineTop">
    <w:name w:val="LineTop"/>
    <w:basedOn w:val="Normal"/>
    <w:next w:val="Normal"/>
    <w:rsid w:val="001746D0"/>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1746D0"/>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E856D2"/>
    <w:pPr>
      <w:spacing w:after="80"/>
    </w:pPr>
    <w:rPr>
      <w:rFonts w:ascii="Arial" w:hAnsi="Arial" w:cs="Arial"/>
      <w:sz w:val="20"/>
      <w:szCs w:val="22"/>
    </w:rPr>
  </w:style>
  <w:style w:type="paragraph" w:customStyle="1" w:styleId="EPLogo">
    <w:name w:val="EPLogo"/>
    <w:basedOn w:val="Normal"/>
    <w:qFormat/>
    <w:rsid w:val="00E856D2"/>
    <w:pPr>
      <w:jc w:val="right"/>
    </w:pPr>
  </w:style>
  <w:style w:type="paragraph" w:customStyle="1" w:styleId="NormalHanging12a">
    <w:name w:val="NormalHanging12a"/>
    <w:basedOn w:val="Normal"/>
    <w:rsid w:val="008313E7"/>
    <w:pPr>
      <w:spacing w:after="240"/>
      <w:ind w:left="567" w:hanging="567"/>
    </w:pPr>
  </w:style>
  <w:style w:type="paragraph" w:customStyle="1" w:styleId="EPFooter">
    <w:name w:val="EPFooter"/>
    <w:basedOn w:val="Normal"/>
    <w:rsid w:val="00347D2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5C0BDF"/>
    <w:rPr>
      <w:sz w:val="24"/>
    </w:rPr>
  </w:style>
  <w:style w:type="character" w:styleId="FootnoteReference">
    <w:name w:val="footnote reference"/>
    <w:basedOn w:val="DefaultParagraphFont"/>
    <w:uiPriority w:val="99"/>
    <w:unhideWhenUsed/>
    <w:rsid w:val="00FC7EFC"/>
    <w:rPr>
      <w:vertAlign w:val="superscript"/>
    </w:rPr>
  </w:style>
  <w:style w:type="paragraph" w:styleId="Footer">
    <w:name w:val="footer"/>
    <w:basedOn w:val="Normal"/>
    <w:link w:val="FooterChar"/>
    <w:semiHidden/>
    <w:rsid w:val="00FC7EFC"/>
    <w:pPr>
      <w:tabs>
        <w:tab w:val="center" w:pos="4513"/>
        <w:tab w:val="right" w:pos="9026"/>
      </w:tabs>
    </w:pPr>
  </w:style>
  <w:style w:type="character" w:customStyle="1" w:styleId="FooterChar">
    <w:name w:val="Footer Char"/>
    <w:basedOn w:val="DefaultParagraphFont"/>
    <w:link w:val="Footer"/>
    <w:semiHidden/>
    <w:rsid w:val="00FC7EFC"/>
    <w:rPr>
      <w:sz w:val="24"/>
      <w:lang w:val="it-IT"/>
    </w:rPr>
  </w:style>
  <w:style w:type="paragraph" w:customStyle="1" w:styleId="RollCallSymbols14pt">
    <w:name w:val="RollCallSymbols14pt"/>
    <w:basedOn w:val="Normal"/>
    <w:rsid w:val="00AD7C5B"/>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AD7C5B"/>
    <w:pPr>
      <w:tabs>
        <w:tab w:val="center" w:pos="284"/>
        <w:tab w:val="left" w:pos="426"/>
      </w:tabs>
    </w:pPr>
    <w:rPr>
      <w:snapToGrid w:val="0"/>
      <w:lang w:eastAsia="en-US"/>
    </w:rPr>
  </w:style>
  <w:style w:type="paragraph" w:customStyle="1" w:styleId="RollCallVotes">
    <w:name w:val="RollCallVotes"/>
    <w:basedOn w:val="Normal"/>
    <w:rsid w:val="00AD7C5B"/>
    <w:pPr>
      <w:spacing w:before="120" w:after="120"/>
      <w:jc w:val="center"/>
    </w:pPr>
    <w:rPr>
      <w:b/>
      <w:bCs/>
      <w:snapToGrid w:val="0"/>
      <w:sz w:val="16"/>
      <w:lang w:eastAsia="en-US"/>
    </w:rPr>
  </w:style>
  <w:style w:type="paragraph" w:customStyle="1" w:styleId="RollCallTable">
    <w:name w:val="RollCallTable"/>
    <w:basedOn w:val="Normal"/>
    <w:rsid w:val="00AD7C5B"/>
    <w:pPr>
      <w:spacing w:before="120" w:after="120"/>
    </w:pPr>
    <w:rPr>
      <w:snapToGrid w:val="0"/>
      <w:sz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02729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1260</Words>
  <Characters>8058</Characters>
  <Application>Microsoft Office Word</Application>
  <DocSecurity>0</DocSecurity>
  <Lines>183</Lines>
  <Paragraphs>83</Paragraphs>
  <ScaleCrop>false</ScaleCrop>
  <HeadingPairs>
    <vt:vector size="2" baseType="variant">
      <vt:variant>
        <vt:lpstr>Title</vt:lpstr>
      </vt:variant>
      <vt:variant>
        <vt:i4>1</vt:i4>
      </vt:variant>
    </vt:vector>
  </HeadingPairs>
  <TitlesOfParts>
    <vt:vector size="1" baseType="lpstr">
      <vt:lpstr>PA_NonLeg</vt:lpstr>
    </vt:vector>
  </TitlesOfParts>
  <Company/>
  <LinksUpToDate>false</LinksUpToDate>
  <CharactersWithSpaces>9235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c:title>
  <dc:subject/>
  <dc:creator>European Parliament</dc:creator>
  <cp:keywords/>
  <dc:description/>
  <cp:lastModifiedBy>European Parliament</cp:lastModifiedBy>
  <cp:revision>2</cp:revision>
  <cp:lastPrinted>2004-10-28T10:33:00Z</cp:lastPrinted>
  <dcterms:created xsi:type="dcterms:W3CDTF">2024-02-06T15:14:00Z</dcterms:created>
  <dcterms:modified xsi:type="dcterms:W3CDTF">2024-02-06T15:14:00Z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Created with">
    <vt:lpwstr>9.16.1 Build [20230915]</vt:lpwstr>
  </property>
  <property fmtid="{D5CDD505-2E9C-101B-9397-08002B2CF9AE}" pid="4" name="LastEdited with">
    <vt:lpwstr>9.17.1 Build [20240101]</vt:lpwstr>
  </property>
  <property fmtid="{D5CDD505-2E9C-101B-9397-08002B2CF9AE}" pid="5" name="&lt;FdR&gt;">
    <vt:lpwstr>1295226</vt:lpwstr>
  </property>
  <property fmtid="{D5CDD505-2E9C-101B-9397-08002B2CF9AE}" pid="6" name="&lt;Type&gt;">
    <vt:lpwstr>AD</vt:lpwstr>
  </property>
  <property fmtid="{D5CDD505-2E9C-101B-9397-08002B2CF9AE}" pid="7" name="&lt;ModelCod&gt;">
    <vt:lpwstr>\\eiciLUXpr1\pdocep$\DocEP\DOCS\General\PA\PA_NonLeg\PA_NonLeg.dotx(18/09/2023 10:25:02)</vt:lpwstr>
  </property>
  <property fmtid="{D5CDD505-2E9C-101B-9397-08002B2CF9AE}" pid="8" name="&lt;ModelTra&gt;">
    <vt:lpwstr>\\eiciLUXpr1\pdocep$\DocEP\TRANSFIL\IT\PA_NonLeg.IT(18/09/2023 10:08:02)</vt:lpwstr>
  </property>
  <property fmtid="{D5CDD505-2E9C-101B-9397-08002B2CF9AE}" pid="9" name="&lt;Model&gt;">
    <vt:lpwstr>PA_NonLeg</vt:lpwstr>
  </property>
  <property fmtid="{D5CDD505-2E9C-101B-9397-08002B2CF9AE}" pid="10" name="FooterPath">
    <vt:lpwstr>AD\1295226IT.docx</vt:lpwstr>
  </property>
  <property fmtid="{D5CDD505-2E9C-101B-9397-08002B2CF9AE}" pid="11" name="PE number">
    <vt:lpwstr>756.194</vt:lpwstr>
  </property>
  <property fmtid="{D5CDD505-2E9C-101B-9397-08002B2CF9AE}" pid="12" name="Bookout">
    <vt:lpwstr>OK - 2024/02/06 16:14</vt:lpwstr>
  </property>
  <property fmtid="{D5CDD505-2E9C-101B-9397-08002B2CF9AE}" pid="13" name="SDLStudio">
    <vt:lpwstr/>
  </property>
</Properties>
</file>