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66283" w:rsidTr="00C85D0F">
        <w:trPr>
          <w:trHeight w:hRule="exact" w:val="1418"/>
        </w:trPr>
        <w:tc>
          <w:tcPr>
            <w:tcW w:w="6804" w:type="dxa"/>
            <w:shd w:val="clear" w:color="auto" w:fill="auto"/>
            <w:vAlign w:val="center"/>
          </w:tcPr>
          <w:p w:rsidR="00854CAC" w:rsidRPr="00366283" w:rsidRDefault="0008134F" w:rsidP="00C85D0F">
            <w:pPr>
              <w:pStyle w:val="EPName"/>
            </w:pPr>
            <w:bookmarkStart w:id="0" w:name="_GoBack"/>
            <w:bookmarkEnd w:id="0"/>
            <w:r>
              <w:rPr>
                <w:color w:val="000000"/>
              </w:rPr>
              <w:t>Eiropas Parlaments</w:t>
            </w:r>
          </w:p>
          <w:p w:rsidR="00854CAC" w:rsidRPr="00366283" w:rsidRDefault="008E3C1B" w:rsidP="008E3C1B">
            <w:pPr>
              <w:pStyle w:val="EPTerm"/>
            </w:pPr>
            <w:r>
              <w:t>2019-2024</w:t>
            </w:r>
          </w:p>
        </w:tc>
        <w:tc>
          <w:tcPr>
            <w:tcW w:w="2268" w:type="dxa"/>
            <w:shd w:val="clear" w:color="auto" w:fill="auto"/>
          </w:tcPr>
          <w:p w:rsidR="00854CAC" w:rsidRPr="00366283" w:rsidRDefault="00854CAC" w:rsidP="00C85D0F">
            <w:pPr>
              <w:pStyle w:val="EPLogo"/>
            </w:pPr>
            <w:r w:rsidRPr="00366283">
              <w:rPr>
                <w:noProof/>
                <w:lang w:val="en-GB" w:eastAsia="zh-CN"/>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366283" w:rsidRDefault="001746D0" w:rsidP="001746D0">
      <w:pPr>
        <w:pStyle w:val="LineTop"/>
      </w:pPr>
    </w:p>
    <w:p w:rsidR="001746D0" w:rsidRPr="00366283" w:rsidRDefault="001746D0" w:rsidP="001746D0">
      <w:pPr>
        <w:pStyle w:val="EPBody"/>
      </w:pPr>
      <w:r>
        <w:rPr>
          <w:rStyle w:val="HideTWBExt"/>
        </w:rPr>
        <w:t>&lt;</w:t>
      </w:r>
      <w:r>
        <w:rPr>
          <w:rStyle w:val="HideTWBExt"/>
          <w:i w:val="0"/>
        </w:rPr>
        <w:t>Commission</w:t>
      </w:r>
      <w:r>
        <w:rPr>
          <w:rStyle w:val="HideTWBExt"/>
        </w:rPr>
        <w:t>&gt;</w:t>
      </w:r>
      <w:r>
        <w:rPr>
          <w:rStyle w:val="HideTWBInt"/>
        </w:rPr>
        <w:t>{LIBE}</w:t>
      </w:r>
      <w:r>
        <w:t>Pilsoņu brīvību, tieslietu un iekšlietu komiteja</w:t>
      </w:r>
      <w:r>
        <w:rPr>
          <w:rStyle w:val="HideTWBExt"/>
        </w:rPr>
        <w:t>&lt;/</w:t>
      </w:r>
      <w:r>
        <w:rPr>
          <w:rStyle w:val="HideTWBExt"/>
          <w:i w:val="0"/>
        </w:rPr>
        <w:t>Commission</w:t>
      </w:r>
      <w:r>
        <w:rPr>
          <w:rStyle w:val="HideTWBExt"/>
        </w:rPr>
        <w:t>&gt;</w:t>
      </w:r>
    </w:p>
    <w:p w:rsidR="001746D0" w:rsidRPr="00366283" w:rsidRDefault="001746D0" w:rsidP="001746D0">
      <w:pPr>
        <w:pStyle w:val="LineBottom"/>
      </w:pPr>
    </w:p>
    <w:p w:rsidR="002E2F2E" w:rsidRPr="00366283" w:rsidRDefault="002E2F2E">
      <w:pPr>
        <w:pStyle w:val="CoverReference"/>
      </w:pPr>
      <w:r>
        <w:rPr>
          <w:rStyle w:val="HideTWBExt"/>
          <w:b w:val="0"/>
        </w:rPr>
        <w:t>&lt;RefProc&gt;</w:t>
      </w:r>
      <w:r>
        <w:t>2023/2157</w:t>
      </w:r>
      <w:r>
        <w:rPr>
          <w:rStyle w:val="HideTWBExt"/>
          <w:b w:val="0"/>
        </w:rPr>
        <w:t>&lt;/RefProc&gt;&lt;RefTypeProc&gt;</w:t>
      </w:r>
      <w:r>
        <w:t>(DEC)</w:t>
      </w:r>
      <w:r>
        <w:rPr>
          <w:rStyle w:val="HideTWBExt"/>
          <w:b w:val="0"/>
        </w:rPr>
        <w:t>&lt;/RefTypeProc&gt;</w:t>
      </w:r>
    </w:p>
    <w:p w:rsidR="002E2F2E" w:rsidRPr="00366283" w:rsidRDefault="002E2F2E">
      <w:pPr>
        <w:pStyle w:val="CoverDate"/>
      </w:pPr>
      <w:r>
        <w:rPr>
          <w:rStyle w:val="HideTWBExt"/>
        </w:rPr>
        <w:t>&lt;Date&gt;</w:t>
      </w:r>
      <w:r>
        <w:rPr>
          <w:rStyle w:val="HideTWBInt"/>
        </w:rPr>
        <w:t>{24/01/2024}</w:t>
      </w:r>
      <w:r>
        <w:t>24.1.2024</w:t>
      </w:r>
      <w:r>
        <w:rPr>
          <w:rStyle w:val="HideTWBExt"/>
        </w:rPr>
        <w:t>&lt;/Date&gt;</w:t>
      </w:r>
    </w:p>
    <w:p w:rsidR="002E2F2E" w:rsidRPr="00366283" w:rsidRDefault="002E2F2E">
      <w:pPr>
        <w:pStyle w:val="CoverDocType24a"/>
      </w:pPr>
      <w:r>
        <w:rPr>
          <w:rStyle w:val="HideTWBExt"/>
          <w:b w:val="0"/>
        </w:rPr>
        <w:t>&lt;TitreType&gt;</w:t>
      </w:r>
      <w:r>
        <w:t>ATZINUMS</w:t>
      </w:r>
      <w:r>
        <w:rPr>
          <w:rStyle w:val="HideTWBExt"/>
          <w:b w:val="0"/>
        </w:rPr>
        <w:t>&lt;/TitreType&gt;</w:t>
      </w:r>
    </w:p>
    <w:p w:rsidR="002E2F2E" w:rsidRPr="00366283" w:rsidRDefault="002E2F2E">
      <w:pPr>
        <w:pStyle w:val="CoverNormal24a"/>
      </w:pPr>
      <w:r>
        <w:rPr>
          <w:rStyle w:val="HideTWBExt"/>
        </w:rPr>
        <w:t>&lt;CommissionResp&gt;</w:t>
      </w:r>
      <w:r>
        <w:t>Sniegusi Pilsoņu brīvību, tieslietu un iekšlietu komiteja</w:t>
      </w:r>
      <w:r>
        <w:rPr>
          <w:rStyle w:val="HideTWBExt"/>
        </w:rPr>
        <w:t>&lt;/CommissionResp&gt;</w:t>
      </w:r>
    </w:p>
    <w:p w:rsidR="002E2F2E" w:rsidRPr="00366283" w:rsidRDefault="002E2F2E">
      <w:pPr>
        <w:pStyle w:val="CoverNormal24a"/>
      </w:pPr>
      <w:r>
        <w:rPr>
          <w:rStyle w:val="HideTWBExt"/>
        </w:rPr>
        <w:t>&lt;CommissionInt&gt;</w:t>
      </w:r>
      <w:r>
        <w:t>Budžeta kontroles komitejai</w:t>
      </w:r>
      <w:r>
        <w:rPr>
          <w:rStyle w:val="HideTWBExt"/>
        </w:rPr>
        <w:t>&lt;/CommissionInt&gt;</w:t>
      </w:r>
    </w:p>
    <w:p w:rsidR="002E2F2E" w:rsidRPr="00366283" w:rsidRDefault="002E2F2E">
      <w:pPr>
        <w:pStyle w:val="CoverNormal"/>
      </w:pPr>
      <w:r>
        <w:rPr>
          <w:rStyle w:val="HideTWBExt"/>
        </w:rPr>
        <w:t>&lt;Titre&gt;</w:t>
      </w:r>
      <w:r>
        <w:t>par Eiropas Narkotiku un narkomānijas uzraudzības centra 2022. finanšu gada budžeta izpildes apstiprināšanu</w:t>
      </w:r>
      <w:r>
        <w:rPr>
          <w:rStyle w:val="HideTWBExt"/>
        </w:rPr>
        <w:t>&lt;/Titre&gt;</w:t>
      </w:r>
    </w:p>
    <w:p w:rsidR="002E2F2E" w:rsidRPr="00366283" w:rsidRDefault="002E2F2E">
      <w:pPr>
        <w:pStyle w:val="CoverNormal24a"/>
      </w:pPr>
      <w:r>
        <w:rPr>
          <w:rStyle w:val="HideTWBExt"/>
        </w:rPr>
        <w:t>&lt;DocRef&gt;</w:t>
      </w:r>
      <w:r>
        <w:t>(2023/2157(DEC))</w:t>
      </w:r>
      <w:r>
        <w:rPr>
          <w:rStyle w:val="HideTWBExt"/>
        </w:rPr>
        <w:t>&lt;/DocRef&gt;</w:t>
      </w:r>
    </w:p>
    <w:p w:rsidR="002E2F2E" w:rsidRPr="00366283" w:rsidRDefault="0008134F">
      <w:pPr>
        <w:pStyle w:val="CoverNormal24a"/>
      </w:pPr>
      <w:r>
        <w:t xml:space="preserve">Atzinuma sagatavotājs: </w:t>
      </w:r>
      <w:r>
        <w:rPr>
          <w:rStyle w:val="HideTWBExt"/>
          <w:i/>
        </w:rPr>
        <w:t>&lt;Depute&gt;</w:t>
      </w:r>
      <w:r>
        <w:rPr>
          <w:i/>
        </w:rPr>
        <w:t>Tomáš Zdechovský</w:t>
      </w:r>
      <w:r>
        <w:rPr>
          <w:rStyle w:val="HideTWBExt"/>
        </w:rPr>
        <w:t>&lt;/Depute&gt;</w:t>
      </w:r>
    </w:p>
    <w:p w:rsidR="00A72C35" w:rsidRPr="00366283" w:rsidRDefault="00A72C35" w:rsidP="00A72C35">
      <w:pPr>
        <w:pStyle w:val="CoverNormal"/>
      </w:pPr>
    </w:p>
    <w:p w:rsidR="002E2F2E" w:rsidRPr="00366283" w:rsidRDefault="002E2F2E" w:rsidP="00E856D2">
      <w:pPr>
        <w:widowControl/>
        <w:tabs>
          <w:tab w:val="center" w:pos="4677"/>
        </w:tabs>
      </w:pPr>
      <w:r>
        <w:br w:type="page"/>
      </w:r>
      <w:r>
        <w:lastRenderedPageBreak/>
        <w:t>PA_NonLeg</w:t>
      </w:r>
    </w:p>
    <w:p w:rsidR="002E2F2E" w:rsidRPr="00366283" w:rsidRDefault="002E2F2E">
      <w:pPr>
        <w:pStyle w:val="PageHeadingNotTOC"/>
      </w:pPr>
      <w:r>
        <w:br w:type="page"/>
      </w:r>
      <w:r>
        <w:lastRenderedPageBreak/>
        <w:t>IEROSINĀJUMI</w:t>
      </w:r>
    </w:p>
    <w:p w:rsidR="002E2F2E" w:rsidRPr="00366283" w:rsidRDefault="007B2C8C" w:rsidP="008313E7">
      <w:pPr>
        <w:pStyle w:val="Normal12a"/>
      </w:pPr>
      <w:r>
        <w:t>Pilsoņu brīvību, tieslietu un iekšlietu komiteja aicina par jautājumu atbildīgo Budžeta kontroles komiteju rezolūcijas priekšlikumā, ko tā pieņems, iekļaut šādus ierosinājumus:</w:t>
      </w:r>
    </w:p>
    <w:p w:rsidR="00366283" w:rsidRPr="00366283" w:rsidRDefault="008E3C1B" w:rsidP="00366283">
      <w:pPr>
        <w:pStyle w:val="NormalHanging12a"/>
      </w:pPr>
      <w:bookmarkStart w:id="1" w:name="restart"/>
      <w:r>
        <w:t>1.</w:t>
      </w:r>
      <w:r>
        <w:tab/>
      </w:r>
      <w:bookmarkEnd w:id="1"/>
      <w:r>
        <w:t>atzinīgi vērtē to, ka Revīzijas palāta ir atzinusi Eiropas Narkotiku un narkomānijas uzraudzības centra (“Centrs”) 2022. finanšu gada pārskatiem pakārtotos darījumus par likumīgiem un pareiziem visos būtiskajos aspektos; ņem vērā, ka saskaņā ar Revīzijas palātas gada ziņojumu par ES aģentūrām 2022. gadā tā budžets 2022. gadā bija 26 miljoni EUR, un tas ir par 4 % vairāk nekā 2021. gadā (25 miljoni EUR), savukārt darbinieku skaits saskaņā ar attiecīgās budžeta lēmējinstitūcijas lēmumu palika nemainīgs;</w:t>
      </w:r>
    </w:p>
    <w:p w:rsidR="00366283" w:rsidRPr="00366283" w:rsidRDefault="00366283" w:rsidP="00366283">
      <w:pPr>
        <w:pStyle w:val="NormalHanging12a"/>
        <w:rPr>
          <w:szCs w:val="24"/>
        </w:rPr>
      </w:pPr>
      <w:r>
        <w:t>2.</w:t>
      </w:r>
      <w:r>
        <w:tab/>
        <w:t>atzinīgi vērtē to, ka ir veikti atbilstoši korektīvi pasākumi, lai ņemtu vērā Revīzijas palātas iepriekšējo gadu konstatējumu; atzinīgi vērtē ikgadējo pamatpublikāciju, 2022. gada Eiropas ziņojumu par narkotikām, 2022. gada statistikas biļetenu un pievienoto vērtību, ko sniedz ES agrīnās brīdināšanas sistēma attiecībā uz jaunām psihoaktīvām vielām, kuru Centrs 2022. gadā bija pārvaldījis 25 gadus; atzinīgi vērtē to, ka Centra pamatziņojuma “Health and social responses to drug problems: a European guide” (“Veselības un sociālajā jomā īstenotie pasākumi, reaģējot uz narkomānijas problēmām: 2022. gada Eiropas ceļvedis”) satvarā ir publicētas 69 publikācijas, tostarp septiņas īsas vadlīnijas un trīs informatīvi materiāli; atzinīgi vērtē to, ka Centrs un tā partneri kopīgi sarīkoja ceturto Eiropas konferenci par atkarību izraisošu uzvedību un atkarībām; mudina Centru turpināt zināšanu apmaiņas pasākumus;</w:t>
      </w:r>
    </w:p>
    <w:p w:rsidR="00366283" w:rsidRPr="00366283" w:rsidRDefault="00366283" w:rsidP="00366283">
      <w:pPr>
        <w:pStyle w:val="NormalHanging12a"/>
        <w:rPr>
          <w:szCs w:val="24"/>
        </w:rPr>
      </w:pPr>
      <w:r>
        <w:t>3.</w:t>
      </w:r>
      <w:r>
        <w:tab/>
        <w:t>atzinīgi vērtē ar narkotikām saistītos apmācības pasākumus, kuros piedalījās 609 tiesībaizsardzības speciālisti no ES un tehniskās sadarbības projekta partneri un kurus Centrs īstenoja sadarbībā ar Eiropas Savienības Tiesībaizsardzības apmācības aģentūru (</w:t>
      </w:r>
      <w:r>
        <w:rPr>
          <w:i/>
        </w:rPr>
        <w:t>CEPOL</w:t>
      </w:r>
      <w:r>
        <w:t>); atzinīgi vērtē to, ka 2022. gadā Centrā tika apmācīti gandrīz 950 speciālisti, kas strādā narkotiku apkarošanas jomā, tostarp tiesībaizsardzības darbinieki un politikas veidotāji, savukārt aptuveni 1200 speciālisti, kas strādā narkotiku apkarošanas jomā, apmeklēja septiņus Centra organizētos tīmekļseminārus; uzsver Centra svarīgo lomu, sniedzot politikas veidotājiem un profesionāļiem sabiedrības veselības analīzi un informāciju par narkotikām un narkomāniju;</w:t>
      </w:r>
    </w:p>
    <w:p w:rsidR="00366283" w:rsidRPr="00366283" w:rsidRDefault="00366283" w:rsidP="00366283">
      <w:pPr>
        <w:pStyle w:val="NormalHanging12a"/>
        <w:rPr>
          <w:szCs w:val="24"/>
        </w:rPr>
      </w:pPr>
      <w:r>
        <w:t>4.</w:t>
      </w:r>
      <w:r>
        <w:tab/>
        <w:t>atzinīgi vērtē Centra neatlaidīgos centienus uzsvērt narkotiku lietošanas sociālos aspektus un sociālo ietekmi, veicināt sociālās reintegrācijas politiku narkotiku lietotājiem un risināt narkotiku jautājumu no daudzdisciplīnu perspektīvas; uzskata, ka ir svarīgi arī turpmāk palielināt informētību par profilakses un inovatīvas uz psihoemocionālo veselību balstītas pieejas nozīmi narkotiku apkarošanas politikā;</w:t>
      </w:r>
    </w:p>
    <w:p w:rsidR="00366283" w:rsidRPr="00366283" w:rsidRDefault="00366283" w:rsidP="00366283">
      <w:pPr>
        <w:pStyle w:val="NormalHanging12a"/>
        <w:rPr>
          <w:szCs w:val="24"/>
        </w:rPr>
      </w:pPr>
      <w:r>
        <w:t>5.</w:t>
      </w:r>
      <w:r>
        <w:tab/>
        <w:t>atgādina, ka Centra darba pamatā ir stratēģiska, uz pierādījumiem balstīta veselības un drošības apdraudējuma novērtēšanas spēja, lai agrīnā posmā apzinātu jaunas narkotiku lietošanas tendences, kas var negatīvi ietekmēt veselību, sociālos jautājumus, drošumu vai drošību Savienībā; atgādina, ka Centra darbā būtu vienlīdz jāatspoguļo veselības apdraudējuma novērtējums;</w:t>
      </w:r>
    </w:p>
    <w:p w:rsidR="00366283" w:rsidRPr="00366283" w:rsidRDefault="00366283" w:rsidP="00366283">
      <w:pPr>
        <w:pStyle w:val="NormalHanging12a"/>
      </w:pPr>
      <w:r>
        <w:t>6.</w:t>
      </w:r>
      <w:r>
        <w:tab/>
        <w:t>atzinīgi vērtē Centra panākto progresu saistībā ar publikāciju “EU Drug Markets: In-</w:t>
      </w:r>
      <w:r>
        <w:lastRenderedPageBreak/>
        <w:t xml:space="preserve">depth analysis” (“ES narkotiku tirgi: padziļināta analīze”), kas sagatavota sadarbībā ar Eiropolu un ietver moduļus par konkrētām narkotikām, kuri publicēti 2022. gadā un kurus plānots publicēt 2023. gadā; atzinīgi vērtē 2022. gadā veikto darbu pie pamatdatu par piegādēm kvalitātes un pieejamības uzlabošanas sadarbībā ar </w:t>
      </w:r>
      <w:r>
        <w:rPr>
          <w:i/>
        </w:rPr>
        <w:t>Reitox</w:t>
      </w:r>
      <w:r>
        <w:t xml:space="preserve"> valstu kontaktpunktiem un Eiropolu; atzinīgi vērtē visu Centra uzdevumu īstenošanu saskaņā ar daudznozaru platformas pret noziedzības draudiem operatīvajiem rīcības plāniem attiecībā uz marihuānu, kokaīnu un heroīnu;</w:t>
      </w:r>
      <w:r>
        <w:rPr>
          <w:rStyle w:val="FootnoteReference"/>
        </w:rPr>
        <w:t xml:space="preserve"> </w:t>
      </w:r>
      <w:r>
        <w:t>atgādina, ka nelegāla narkotiku tirdzniecība ir atzīta par vienu no galvenajiem peļņas avotiem un līdzekli cilvēku iesaistīšanai organizētajā noziedzībā un terorismā, un uzsver Centra ieguldījumu drošākā Eiropā;</w:t>
      </w:r>
    </w:p>
    <w:p w:rsidR="00366283" w:rsidRPr="00366283" w:rsidRDefault="00366283" w:rsidP="00366283">
      <w:pPr>
        <w:pStyle w:val="NormalHanging12a"/>
        <w:rPr>
          <w:szCs w:val="24"/>
        </w:rPr>
      </w:pPr>
      <w:r>
        <w:t>7.</w:t>
      </w:r>
      <w:r>
        <w:tab/>
        <w:t xml:space="preserve">atzinīgi vērtē resursu lapu </w:t>
      </w:r>
      <w:r>
        <w:rPr>
          <w:i/>
        </w:rPr>
        <w:t>EMCDDA 4 Ukraine</w:t>
      </w:r>
      <w:r>
        <w:t xml:space="preserve">, kas izveidota profesionāļiem, kuri strādā narkotiku jomā Eiropā, sniedzot atbalstu no Ukrainas pārvietotajām personām; </w:t>
      </w:r>
    </w:p>
    <w:p w:rsidR="00366283" w:rsidRPr="00366283" w:rsidRDefault="00366283" w:rsidP="00366283">
      <w:pPr>
        <w:pStyle w:val="NormalHanging12a"/>
      </w:pPr>
      <w:r>
        <w:t>8.</w:t>
      </w:r>
      <w:r>
        <w:tab/>
        <w:t xml:space="preserve">atzinīgi vērtē Centra un Eiropas kaimiņattiecību politikas partnervalstu pašreizējo sadarbību reģionālā līmenī, izmantojot </w:t>
      </w:r>
      <w:r>
        <w:rPr>
          <w:i/>
        </w:rPr>
        <w:t>EU4MD</w:t>
      </w:r>
      <w:r>
        <w:t xml:space="preserve"> tehniskās palīdzības projektu, kā arī divpusējā projekta ar Gruziju </w:t>
      </w:r>
      <w:r>
        <w:rPr>
          <w:i/>
        </w:rPr>
        <w:t>EMCDDA4GE</w:t>
      </w:r>
      <w:r>
        <w:t xml:space="preserve"> pašreizējo īstenošanu; atzinīgi vērtē oficiālās partnerības izveidi Sadarbības programmā starp Latīņamerikas, Karību jūras reģiona un Eiropas Savienības valstīm narkotiku apkarošanas politikas jomā;</w:t>
      </w:r>
    </w:p>
    <w:p w:rsidR="00BB1D96" w:rsidRPr="00366283" w:rsidRDefault="00366283" w:rsidP="00366283">
      <w:pPr>
        <w:pStyle w:val="NormalHanging12a"/>
      </w:pPr>
      <w:r>
        <w:t>9.</w:t>
      </w:r>
      <w:r>
        <w:tab/>
        <w:t xml:space="preserve">atzinīgi vērtē Centra sadarbību ar citām aģentūrām un tā devumu TI aģentūru tīklā; atzinīgi vērtē Centra pastāvīgo sadarbību ar valstu narkotiku aģentūrām, trešām valstīm un starptautiskām organizācijām, piemēram, </w:t>
      </w:r>
      <w:r>
        <w:rPr>
          <w:i/>
        </w:rPr>
        <w:t>UNODC</w:t>
      </w:r>
      <w:r>
        <w:t xml:space="preserve"> un PVO.</w:t>
      </w:r>
    </w:p>
    <w:p w:rsidR="00BB1D96" w:rsidRPr="00366283" w:rsidRDefault="00BB1D96" w:rsidP="00BB1D96">
      <w:r>
        <w:br w:type="page"/>
      </w:r>
    </w:p>
    <w:p w:rsidR="00BB1D96" w:rsidRPr="00366283" w:rsidRDefault="00BB1D96" w:rsidP="00BB1D96">
      <w:pPr>
        <w:pStyle w:val="PageHeadingNotTOC"/>
      </w:pPr>
      <w:bookmarkStart w:id="2" w:name="ProcPageAD"/>
      <w:r>
        <w:lastRenderedPageBreak/>
        <w:t>INFORMĀCIJA PAR PIEŅEMŠANU</w:t>
      </w:r>
      <w:r>
        <w:br/>
        <w:t>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B1D96" w:rsidRPr="003662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b/>
                <w:bCs/>
                <w:color w:val="000000"/>
                <w:sz w:val="20"/>
              </w:rPr>
            </w:pPr>
            <w:r>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B1D96" w:rsidRPr="00366283" w:rsidRDefault="00BB1D96">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B1D96" w:rsidRPr="00366283" w:rsidRDefault="00BB1D9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B1D96" w:rsidRPr="00366283" w:rsidRDefault="00BB1D9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rFonts w:ascii="sans-serif" w:hAnsi="sans-serif" w:cs="sans-serif"/>
                <w:color w:val="000000"/>
                <w:szCs w:val="24"/>
              </w:rPr>
            </w:pPr>
          </w:p>
        </w:tc>
      </w:tr>
      <w:tr w:rsidR="00BB1D96" w:rsidRPr="003662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b/>
                <w:bCs/>
                <w:color w:val="000000"/>
                <w:sz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B1D96" w:rsidRPr="00366283" w:rsidRDefault="00BB1D96">
            <w:pPr>
              <w:autoSpaceDE w:val="0"/>
              <w:autoSpaceDN w:val="0"/>
              <w:adjustRightInd w:val="0"/>
              <w:rPr>
                <w:color w:val="000000"/>
                <w:sz w:val="20"/>
              </w:rPr>
            </w:pPr>
            <w:r>
              <w:rPr>
                <w:color w:val="000000"/>
                <w:sz w:val="20"/>
              </w:rPr>
              <w:t>+:</w:t>
            </w:r>
          </w:p>
          <w:p w:rsidR="00BB1D96" w:rsidRPr="00366283" w:rsidRDefault="00BB1D96">
            <w:pPr>
              <w:autoSpaceDE w:val="0"/>
              <w:autoSpaceDN w:val="0"/>
              <w:adjustRightInd w:val="0"/>
              <w:rPr>
                <w:color w:val="000000"/>
                <w:sz w:val="20"/>
              </w:rPr>
            </w:pPr>
            <w:r>
              <w:rPr>
                <w:color w:val="000000"/>
                <w:sz w:val="20"/>
              </w:rPr>
              <w:t>–:</w:t>
            </w:r>
          </w:p>
          <w:p w:rsidR="00BB1D96" w:rsidRPr="00366283" w:rsidRDefault="00BB1D9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color w:val="000000"/>
                <w:sz w:val="20"/>
              </w:rPr>
            </w:pPr>
            <w:r>
              <w:rPr>
                <w:color w:val="000000"/>
                <w:sz w:val="20"/>
              </w:rPr>
              <w:t>52</w:t>
            </w:r>
          </w:p>
          <w:p w:rsidR="00BB1D96" w:rsidRPr="00366283" w:rsidRDefault="00BB1D96">
            <w:pPr>
              <w:autoSpaceDE w:val="0"/>
              <w:autoSpaceDN w:val="0"/>
              <w:adjustRightInd w:val="0"/>
              <w:rPr>
                <w:color w:val="000000"/>
                <w:sz w:val="20"/>
              </w:rPr>
            </w:pPr>
            <w:r>
              <w:rPr>
                <w:color w:val="000000"/>
                <w:sz w:val="20"/>
              </w:rPr>
              <w:t>1</w:t>
            </w:r>
          </w:p>
          <w:p w:rsidR="00BB1D96" w:rsidRPr="00366283" w:rsidRDefault="00BB1D96">
            <w:pPr>
              <w:autoSpaceDE w:val="0"/>
              <w:autoSpaceDN w:val="0"/>
              <w:adjustRightInd w:val="0"/>
              <w:rPr>
                <w:color w:val="000000"/>
                <w:sz w:val="20"/>
              </w:rPr>
            </w:pPr>
            <w:r>
              <w:rPr>
                <w:color w:val="000000"/>
                <w:sz w:val="20"/>
              </w:rPr>
              <w:t>3</w:t>
            </w:r>
          </w:p>
        </w:tc>
      </w:tr>
      <w:tr w:rsidR="00BB1D96" w:rsidRPr="003662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b/>
                <w:bCs/>
                <w:color w:val="000000"/>
                <w:sz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BB1D96" w:rsidRPr="003662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b/>
                <w:bCs/>
                <w:color w:val="000000"/>
                <w:sz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BB1D96" w:rsidRPr="003662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b/>
                <w:bCs/>
                <w:color w:val="000000"/>
                <w:sz w:val="20"/>
              </w:rPr>
            </w:pPr>
            <w:r>
              <w:rPr>
                <w:b/>
                <w:color w:val="000000"/>
                <w:sz w:val="20"/>
              </w:rPr>
              <w:t>Aizstājēji (209. 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B1D96" w:rsidRPr="00366283" w:rsidRDefault="00BB1D96">
            <w:pPr>
              <w:autoSpaceDE w:val="0"/>
              <w:autoSpaceDN w:val="0"/>
              <w:adjustRightInd w:val="0"/>
              <w:rPr>
                <w:color w:val="000000"/>
                <w:sz w:val="20"/>
              </w:rPr>
            </w:pPr>
            <w:r>
              <w:rPr>
                <w:color w:val="000000"/>
                <w:sz w:val="20"/>
              </w:rPr>
              <w:t>Andrus Ansip, Hildegard Bentele, Maria da Graça Carvalho, Marisa Matias, Caroline Nagtegaal</w:t>
            </w:r>
          </w:p>
        </w:tc>
      </w:tr>
    </w:tbl>
    <w:p w:rsidR="00BB1D96" w:rsidRPr="00366283" w:rsidRDefault="00BB1D96"/>
    <w:bookmarkEnd w:id="2"/>
    <w:p w:rsidR="00366283" w:rsidRPr="00366283" w:rsidRDefault="00366283" w:rsidP="00366283"/>
    <w:p w:rsidR="00366283" w:rsidRPr="00366283" w:rsidRDefault="00366283" w:rsidP="00366283">
      <w:pPr>
        <w:sectPr w:rsidR="00366283" w:rsidRPr="00366283" w:rsidSect="002846C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366283" w:rsidRPr="00366283" w:rsidRDefault="00366283" w:rsidP="00366283">
      <w:pPr>
        <w:pStyle w:val="PageHeadingNotTOC"/>
        <w:rPr>
          <w:noProof/>
        </w:rPr>
      </w:pPr>
      <w:r>
        <w:lastRenderedPageBreak/>
        <w:t>PIELIKUMS. VIENĪBAS VAI PERSONAS,</w:t>
      </w:r>
      <w:r>
        <w:br/>
        <w:t>NO KURĀM ATZINUMA SAGATAVOTĀJS IR SAŅĒMIS PIENESUMU</w:t>
      </w:r>
    </w:p>
    <w:p w:rsidR="00366283" w:rsidRPr="002846C4" w:rsidRDefault="00366283" w:rsidP="002846C4">
      <w:r>
        <w:rPr>
          <w:rStyle w:val="HideTWBExt"/>
        </w:rPr>
        <w:t>&lt;FootprintIntro&gt;</w:t>
      </w:r>
      <w:r>
        <w:t>Atzinuma sagatavotājs, pilnībā uzņemoties visu atbildību, apliecina, ka viņš nav saņēmis nekādu pienesumu no vienībām vai personām, kas būtu jānorāda šajā pielikumā saskaņā ar Reglamenta I pielikuma 8. pantu.</w:t>
      </w:r>
      <w:r>
        <w:rPr>
          <w:rStyle w:val="HideTWBExt"/>
        </w:rPr>
        <w:t>&lt;/FootprintIntro&gt;</w:t>
      </w:r>
    </w:p>
    <w:p w:rsidR="002846C4" w:rsidRDefault="002846C4" w:rsidP="002846C4">
      <w:pPr>
        <w:sectPr w:rsidR="002846C4" w:rsidSect="002846C4">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846C4" w:rsidRPr="0099178F" w:rsidRDefault="002846C4" w:rsidP="00C36610">
      <w:pPr>
        <w:pStyle w:val="PageHeadingNotTOC"/>
      </w:pPr>
      <w:bookmarkStart w:id="3" w:name="RollCallPageAD"/>
      <w:r>
        <w:lastRenderedPageBreak/>
        <w:t>ATZINUMU SNIEDZOŠĀS KOMITEJAS</w:t>
      </w:r>
      <w:r>
        <w:br/>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846C4" w:rsidRPr="001B663A" w:rsidTr="00B372CE">
        <w:trPr>
          <w:cantSplit/>
        </w:trPr>
        <w:tc>
          <w:tcPr>
            <w:tcW w:w="1701" w:type="dxa"/>
            <w:shd w:val="pct10" w:color="000000" w:fill="FFFFFF"/>
            <w:vAlign w:val="center"/>
          </w:tcPr>
          <w:p w:rsidR="002846C4" w:rsidRPr="001B663A" w:rsidRDefault="002846C4" w:rsidP="00B372CE">
            <w:pPr>
              <w:pStyle w:val="RollCallVotes"/>
            </w:pPr>
            <w:r>
              <w:t>52</w:t>
            </w:r>
          </w:p>
        </w:tc>
        <w:tc>
          <w:tcPr>
            <w:tcW w:w="7371" w:type="dxa"/>
            <w:shd w:val="pct10" w:color="000000" w:fill="FFFFFF"/>
          </w:tcPr>
          <w:p w:rsidR="002846C4" w:rsidRPr="001B663A" w:rsidRDefault="002846C4" w:rsidP="00B372CE">
            <w:pPr>
              <w:pStyle w:val="RollCallSymbols14pt"/>
            </w:pPr>
            <w:r>
              <w:t>+</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ECR</w:t>
            </w:r>
          </w:p>
        </w:tc>
        <w:tc>
          <w:tcPr>
            <w:tcW w:w="7371" w:type="dxa"/>
            <w:shd w:val="clear" w:color="auto" w:fill="FFFFFF"/>
          </w:tcPr>
          <w:p w:rsidR="002846C4" w:rsidRPr="001B663A" w:rsidRDefault="002846C4" w:rsidP="00B372CE">
            <w:pPr>
              <w:pStyle w:val="RollCallTable"/>
            </w:pPr>
            <w:r>
              <w:t>Jorge Buxadé Villalba, Patryk Jaki, Assita Kanko, Beata Kempa, Vincenzo Sofo</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NI</w:t>
            </w:r>
          </w:p>
        </w:tc>
        <w:tc>
          <w:tcPr>
            <w:tcW w:w="7371" w:type="dxa"/>
            <w:shd w:val="clear" w:color="auto" w:fill="FFFFFF"/>
          </w:tcPr>
          <w:p w:rsidR="002846C4" w:rsidRPr="001B663A" w:rsidRDefault="002846C4" w:rsidP="00B372CE">
            <w:pPr>
              <w:pStyle w:val="RollCallTable"/>
            </w:pPr>
            <w:r>
              <w:t>Laura Ferrara</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PPE</w:t>
            </w:r>
          </w:p>
        </w:tc>
        <w:tc>
          <w:tcPr>
            <w:tcW w:w="7371" w:type="dxa"/>
            <w:shd w:val="clear" w:color="auto" w:fill="FFFFFF"/>
          </w:tcPr>
          <w:p w:rsidR="002846C4" w:rsidRPr="001B663A" w:rsidRDefault="002846C4" w:rsidP="00B372CE">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Renew</w:t>
            </w:r>
          </w:p>
        </w:tc>
        <w:tc>
          <w:tcPr>
            <w:tcW w:w="7371" w:type="dxa"/>
            <w:shd w:val="clear" w:color="auto" w:fill="FFFFFF"/>
          </w:tcPr>
          <w:p w:rsidR="002846C4" w:rsidRPr="001B663A" w:rsidRDefault="002846C4" w:rsidP="00B372CE">
            <w:pPr>
              <w:pStyle w:val="RollCallTable"/>
            </w:pPr>
            <w:r>
              <w:t>Abir Al-Sahlani, Andrus Ansip, Lucia Ďuriš Nicholsonová, Sophia in 't Veld, Moritz Körner, Caroline Nagtegaal, Maite Pagazaurtundúa, Bergur Løkke Rasmussen, Róża Thun und Hohenstein, Jana Toom</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S&amp;D</w:t>
            </w:r>
          </w:p>
        </w:tc>
        <w:tc>
          <w:tcPr>
            <w:tcW w:w="7371" w:type="dxa"/>
            <w:shd w:val="clear" w:color="auto" w:fill="FFFFFF"/>
          </w:tcPr>
          <w:p w:rsidR="002846C4" w:rsidRPr="001B663A" w:rsidRDefault="002846C4" w:rsidP="00B372CE">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The Left</w:t>
            </w:r>
          </w:p>
        </w:tc>
        <w:tc>
          <w:tcPr>
            <w:tcW w:w="7371" w:type="dxa"/>
            <w:shd w:val="clear" w:color="auto" w:fill="FFFFFF"/>
          </w:tcPr>
          <w:p w:rsidR="002846C4" w:rsidRPr="001B663A" w:rsidRDefault="002846C4" w:rsidP="00B372CE">
            <w:pPr>
              <w:pStyle w:val="RollCallTable"/>
            </w:pPr>
            <w:r>
              <w:t>Cornelia Ernst, José Gusmão, Marisa Matias, Anne-Sophie Pelletier</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Verts/ALE</w:t>
            </w:r>
          </w:p>
        </w:tc>
        <w:tc>
          <w:tcPr>
            <w:tcW w:w="7371" w:type="dxa"/>
            <w:shd w:val="clear" w:color="auto" w:fill="FFFFFF"/>
          </w:tcPr>
          <w:p w:rsidR="002846C4" w:rsidRPr="001B663A" w:rsidRDefault="002846C4" w:rsidP="00B372CE">
            <w:pPr>
              <w:pStyle w:val="RollCallTable"/>
            </w:pPr>
            <w:r>
              <w:t>Patrick Breyer, Saskia Bricmont, Damien Carême, Alice Kuhnke, Erik Marquardt, Diana Riba i Giner, Tineke Strik</w:t>
            </w:r>
          </w:p>
        </w:tc>
      </w:tr>
    </w:tbl>
    <w:p w:rsidR="002846C4" w:rsidRPr="001B663A" w:rsidRDefault="002846C4" w:rsidP="002846C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846C4" w:rsidRPr="001B663A" w:rsidTr="00B372CE">
        <w:trPr>
          <w:cantSplit/>
        </w:trPr>
        <w:tc>
          <w:tcPr>
            <w:tcW w:w="1701" w:type="dxa"/>
            <w:shd w:val="pct10" w:color="000000" w:fill="FFFFFF"/>
            <w:vAlign w:val="center"/>
          </w:tcPr>
          <w:p w:rsidR="002846C4" w:rsidRPr="001B663A" w:rsidRDefault="002846C4" w:rsidP="00B372CE">
            <w:pPr>
              <w:pStyle w:val="RollCallVotes"/>
            </w:pPr>
            <w:r>
              <w:t>1</w:t>
            </w:r>
          </w:p>
        </w:tc>
        <w:tc>
          <w:tcPr>
            <w:tcW w:w="7371" w:type="dxa"/>
            <w:shd w:val="pct10" w:color="000000" w:fill="FFFFFF"/>
          </w:tcPr>
          <w:p w:rsidR="002846C4" w:rsidRPr="001B663A" w:rsidRDefault="002846C4" w:rsidP="00B372CE">
            <w:pPr>
              <w:pStyle w:val="RollCallSymbols14pt"/>
            </w:pPr>
            <w:r>
              <w:t>-</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NI</w:t>
            </w:r>
          </w:p>
        </w:tc>
        <w:tc>
          <w:tcPr>
            <w:tcW w:w="7371" w:type="dxa"/>
            <w:shd w:val="clear" w:color="auto" w:fill="FFFFFF"/>
          </w:tcPr>
          <w:p w:rsidR="002846C4" w:rsidRPr="001B663A" w:rsidRDefault="002846C4" w:rsidP="00B372CE">
            <w:pPr>
              <w:pStyle w:val="RollCallTable"/>
            </w:pPr>
            <w:r>
              <w:t>Milan Uhrík</w:t>
            </w:r>
          </w:p>
        </w:tc>
      </w:tr>
    </w:tbl>
    <w:p w:rsidR="002846C4" w:rsidRPr="001B663A" w:rsidRDefault="002846C4" w:rsidP="002846C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846C4" w:rsidRPr="001B663A" w:rsidTr="00B372CE">
        <w:trPr>
          <w:cantSplit/>
        </w:trPr>
        <w:tc>
          <w:tcPr>
            <w:tcW w:w="1701" w:type="dxa"/>
            <w:shd w:val="pct10" w:color="000000" w:fill="FFFFFF"/>
            <w:vAlign w:val="center"/>
          </w:tcPr>
          <w:p w:rsidR="002846C4" w:rsidRPr="001B663A" w:rsidRDefault="002846C4" w:rsidP="00B372CE">
            <w:pPr>
              <w:pStyle w:val="RollCallVotes"/>
            </w:pPr>
            <w:r>
              <w:t>3</w:t>
            </w:r>
          </w:p>
        </w:tc>
        <w:tc>
          <w:tcPr>
            <w:tcW w:w="7371" w:type="dxa"/>
            <w:shd w:val="pct10" w:color="000000" w:fill="FFFFFF"/>
          </w:tcPr>
          <w:p w:rsidR="002846C4" w:rsidRPr="001B663A" w:rsidRDefault="002846C4" w:rsidP="00B372CE">
            <w:pPr>
              <w:pStyle w:val="RollCallSymbols14pt"/>
            </w:pPr>
            <w:r>
              <w:t>0</w:t>
            </w:r>
          </w:p>
        </w:tc>
      </w:tr>
      <w:tr w:rsidR="002846C4" w:rsidRPr="001B663A" w:rsidTr="00B372CE">
        <w:trPr>
          <w:cantSplit/>
        </w:trPr>
        <w:tc>
          <w:tcPr>
            <w:tcW w:w="1701" w:type="dxa"/>
            <w:shd w:val="clear" w:color="auto" w:fill="FFFFFF"/>
          </w:tcPr>
          <w:p w:rsidR="002846C4" w:rsidRPr="001B663A" w:rsidRDefault="002846C4" w:rsidP="00B372CE">
            <w:pPr>
              <w:pStyle w:val="RollCallTable"/>
            </w:pPr>
            <w:r>
              <w:t>ID</w:t>
            </w:r>
          </w:p>
        </w:tc>
        <w:tc>
          <w:tcPr>
            <w:tcW w:w="7371" w:type="dxa"/>
            <w:shd w:val="clear" w:color="auto" w:fill="FFFFFF"/>
          </w:tcPr>
          <w:p w:rsidR="002846C4" w:rsidRPr="001B663A" w:rsidRDefault="002846C4" w:rsidP="00B372CE">
            <w:pPr>
              <w:pStyle w:val="RollCallTable"/>
            </w:pPr>
            <w:r>
              <w:t>Patricia Chagnon, Nicolaus Fest, Tom Vandendriessche</w:t>
            </w:r>
          </w:p>
        </w:tc>
      </w:tr>
    </w:tbl>
    <w:p w:rsidR="002846C4" w:rsidRDefault="002846C4" w:rsidP="00147FBF">
      <w:pPr>
        <w:pStyle w:val="Normal12a"/>
      </w:pPr>
    </w:p>
    <w:p w:rsidR="002846C4" w:rsidRDefault="002846C4" w:rsidP="00B735E3">
      <w:r>
        <w:t>Izmantoto apzīmējumu skaidrojums:</w:t>
      </w:r>
    </w:p>
    <w:p w:rsidR="002846C4" w:rsidRDefault="002846C4" w:rsidP="003858C5">
      <w:pPr>
        <w:pStyle w:val="RollCallTabs"/>
      </w:pPr>
      <w:r>
        <w:t>+</w:t>
      </w:r>
      <w:r>
        <w:tab/>
        <w:t>:</w:t>
      </w:r>
      <w:r>
        <w:tab/>
        <w:t>par</w:t>
      </w:r>
    </w:p>
    <w:p w:rsidR="002846C4" w:rsidRDefault="002846C4" w:rsidP="003858C5">
      <w:pPr>
        <w:pStyle w:val="RollCallTabs"/>
      </w:pPr>
      <w:r>
        <w:t>-</w:t>
      </w:r>
      <w:r>
        <w:tab/>
        <w:t>:</w:t>
      </w:r>
      <w:r>
        <w:tab/>
        <w:t>pret</w:t>
      </w:r>
    </w:p>
    <w:p w:rsidR="002846C4" w:rsidRDefault="002846C4" w:rsidP="003858C5">
      <w:pPr>
        <w:pStyle w:val="RollCallTabs"/>
      </w:pPr>
      <w:r>
        <w:t>0</w:t>
      </w:r>
      <w:r>
        <w:tab/>
        <w:t>:</w:t>
      </w:r>
      <w:r>
        <w:tab/>
        <w:t>atturas</w:t>
      </w:r>
    </w:p>
    <w:p w:rsidR="002846C4" w:rsidRDefault="002846C4" w:rsidP="00207509"/>
    <w:bookmarkEnd w:id="3"/>
    <w:p w:rsidR="002E6F98" w:rsidRPr="002846C4" w:rsidRDefault="002E6F98" w:rsidP="002846C4"/>
    <w:sectPr w:rsidR="002E6F98" w:rsidRPr="002846C4" w:rsidSect="002846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C8C" w:rsidRPr="00366283" w:rsidRDefault="007B2C8C">
      <w:r w:rsidRPr="00366283">
        <w:separator/>
      </w:r>
    </w:p>
  </w:endnote>
  <w:endnote w:type="continuationSeparator" w:id="0">
    <w:p w:rsidR="007B2C8C" w:rsidRPr="00366283" w:rsidRDefault="007B2C8C">
      <w:r w:rsidRPr="003662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283" w:rsidRPr="00366283" w:rsidRDefault="00366283" w:rsidP="00366283">
    <w:pPr>
      <w:pStyle w:val="EPFooter"/>
    </w:pPr>
    <w:r w:rsidRPr="00366283">
      <w:t>PE</w:t>
    </w:r>
    <w:r w:rsidRPr="00366283">
      <w:rPr>
        <w:rStyle w:val="HideTWBExt"/>
      </w:rPr>
      <w:t>&lt;NoPE&gt;</w:t>
    </w:r>
    <w:r w:rsidRPr="00366283">
      <w:t>756.194</w:t>
    </w:r>
    <w:r w:rsidRPr="00366283">
      <w:rPr>
        <w:rStyle w:val="HideTWBExt"/>
      </w:rPr>
      <w:t>&lt;/NoPE&gt;&lt;Version&gt;</w:t>
    </w:r>
    <w:r w:rsidRPr="00366283">
      <w:t>v03-00</w:t>
    </w:r>
    <w:r w:rsidRPr="00366283">
      <w:rPr>
        <w:rStyle w:val="HideTWBExt"/>
      </w:rPr>
      <w:t>&lt;/Version&gt;</w:t>
    </w:r>
    <w:r w:rsidRPr="00366283">
      <w:tab/>
    </w:r>
    <w:r w:rsidRPr="00366283">
      <w:fldChar w:fldCharType="begin"/>
    </w:r>
    <w:r w:rsidRPr="00366283">
      <w:instrText xml:space="preserve"> PAGE  \* MERGEFORMAT </w:instrText>
    </w:r>
    <w:r w:rsidRPr="00366283">
      <w:fldChar w:fldCharType="separate"/>
    </w:r>
    <w:r w:rsidR="008543A2">
      <w:rPr>
        <w:noProof/>
      </w:rPr>
      <w:t>4</w:t>
    </w:r>
    <w:r w:rsidRPr="00366283">
      <w:fldChar w:fldCharType="end"/>
    </w:r>
    <w:r w:rsidRPr="00366283">
      <w:t>/</w:t>
    </w:r>
    <w:r w:rsidR="008543A2">
      <w:fldChar w:fldCharType="begin"/>
    </w:r>
    <w:r w:rsidR="008543A2">
      <w:instrText xml:space="preserve"> NUMPAGES  \* MERGEFORMAT </w:instrText>
    </w:r>
    <w:r w:rsidR="008543A2">
      <w:fldChar w:fldCharType="separate"/>
    </w:r>
    <w:r w:rsidR="008543A2">
      <w:rPr>
        <w:noProof/>
      </w:rPr>
      <w:t>7</w:t>
    </w:r>
    <w:r w:rsidR="008543A2">
      <w:rPr>
        <w:noProof/>
      </w:rPr>
      <w:fldChar w:fldCharType="end"/>
    </w:r>
    <w:r w:rsidRPr="00366283">
      <w:tab/>
    </w:r>
    <w:r w:rsidRPr="00366283">
      <w:rPr>
        <w:rStyle w:val="HideTWBExt"/>
      </w:rPr>
      <w:t>&lt;PathFdR&gt;</w:t>
    </w:r>
    <w:r w:rsidRPr="00366283">
      <w:t>AD\1295226LV.docx</w:t>
    </w:r>
    <w:r w:rsidRPr="00366283">
      <w:rPr>
        <w:rStyle w:val="HideTWBExt"/>
      </w:rPr>
      <w:t>&lt;/PathFdR&gt;</w:t>
    </w:r>
  </w:p>
  <w:p w:rsidR="00366283" w:rsidRPr="00366283" w:rsidRDefault="00366283" w:rsidP="00366283">
    <w:pPr>
      <w:pStyle w:val="EPFooter2"/>
    </w:pPr>
    <w:r w:rsidRPr="00366283">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283" w:rsidRPr="00366283" w:rsidRDefault="00366283" w:rsidP="00366283">
    <w:pPr>
      <w:pStyle w:val="EPFooter"/>
    </w:pPr>
    <w:r w:rsidRPr="00366283">
      <w:rPr>
        <w:rStyle w:val="HideTWBExt"/>
      </w:rPr>
      <w:t>&lt;PathFdR&gt;</w:t>
    </w:r>
    <w:r w:rsidRPr="00366283">
      <w:t>AD\1295226LV.docx</w:t>
    </w:r>
    <w:r w:rsidRPr="00366283">
      <w:rPr>
        <w:rStyle w:val="HideTWBExt"/>
      </w:rPr>
      <w:t>&lt;/PathFdR&gt;</w:t>
    </w:r>
    <w:r w:rsidRPr="00366283">
      <w:tab/>
    </w:r>
    <w:r w:rsidRPr="00366283">
      <w:fldChar w:fldCharType="begin"/>
    </w:r>
    <w:r w:rsidRPr="00366283">
      <w:instrText xml:space="preserve"> PAGE  \* MERGEFORMAT </w:instrText>
    </w:r>
    <w:r w:rsidRPr="00366283">
      <w:fldChar w:fldCharType="separate"/>
    </w:r>
    <w:r w:rsidR="008543A2">
      <w:rPr>
        <w:noProof/>
      </w:rPr>
      <w:t>3</w:t>
    </w:r>
    <w:r w:rsidRPr="00366283">
      <w:fldChar w:fldCharType="end"/>
    </w:r>
    <w:r w:rsidRPr="00366283">
      <w:t>/</w:t>
    </w:r>
    <w:r w:rsidR="008543A2">
      <w:fldChar w:fldCharType="begin"/>
    </w:r>
    <w:r w:rsidR="008543A2">
      <w:instrText xml:space="preserve"> NUMPAGES  \* MERGEFORMAT </w:instrText>
    </w:r>
    <w:r w:rsidR="008543A2">
      <w:fldChar w:fldCharType="separate"/>
    </w:r>
    <w:r w:rsidR="008543A2">
      <w:rPr>
        <w:noProof/>
      </w:rPr>
      <w:t>7</w:t>
    </w:r>
    <w:r w:rsidR="008543A2">
      <w:rPr>
        <w:noProof/>
      </w:rPr>
      <w:fldChar w:fldCharType="end"/>
    </w:r>
    <w:r w:rsidRPr="00366283">
      <w:tab/>
      <w:t>PE</w:t>
    </w:r>
    <w:r w:rsidRPr="00366283">
      <w:rPr>
        <w:rStyle w:val="HideTWBExt"/>
      </w:rPr>
      <w:t>&lt;NoPE&gt;</w:t>
    </w:r>
    <w:r w:rsidRPr="00366283">
      <w:t>756.194</w:t>
    </w:r>
    <w:r w:rsidRPr="00366283">
      <w:rPr>
        <w:rStyle w:val="HideTWBExt"/>
      </w:rPr>
      <w:t>&lt;/NoPE&gt;&lt;Version&gt;</w:t>
    </w:r>
    <w:r w:rsidRPr="00366283">
      <w:t>v03-00</w:t>
    </w:r>
    <w:r w:rsidRPr="00366283">
      <w:rPr>
        <w:rStyle w:val="HideTWBExt"/>
      </w:rPr>
      <w:t>&lt;/Version&gt;</w:t>
    </w:r>
  </w:p>
  <w:p w:rsidR="00366283" w:rsidRPr="00366283" w:rsidRDefault="00366283" w:rsidP="00366283">
    <w:pPr>
      <w:pStyle w:val="EPFooter2"/>
    </w:pPr>
    <w:r w:rsidRPr="00366283">
      <w:tab/>
    </w:r>
    <w:r w:rsidRPr="00366283">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283" w:rsidRPr="00366283" w:rsidRDefault="00366283" w:rsidP="00366283">
    <w:pPr>
      <w:pStyle w:val="EPFooter"/>
    </w:pPr>
    <w:r w:rsidRPr="00366283">
      <w:rPr>
        <w:rStyle w:val="HideTWBExt"/>
      </w:rPr>
      <w:t>&lt;PathFdR&gt;</w:t>
    </w:r>
    <w:r w:rsidRPr="00366283">
      <w:t>AD\1295226LV.docx</w:t>
    </w:r>
    <w:r w:rsidRPr="00366283">
      <w:rPr>
        <w:rStyle w:val="HideTWBExt"/>
      </w:rPr>
      <w:t>&lt;/PathFdR&gt;</w:t>
    </w:r>
    <w:r w:rsidRPr="00366283">
      <w:tab/>
    </w:r>
    <w:r w:rsidRPr="00366283">
      <w:tab/>
      <w:t>PE</w:t>
    </w:r>
    <w:r w:rsidRPr="00366283">
      <w:rPr>
        <w:rStyle w:val="HideTWBExt"/>
      </w:rPr>
      <w:t>&lt;NoPE&gt;</w:t>
    </w:r>
    <w:r w:rsidRPr="00366283">
      <w:t>756.194</w:t>
    </w:r>
    <w:r w:rsidRPr="00366283">
      <w:rPr>
        <w:rStyle w:val="HideTWBExt"/>
      </w:rPr>
      <w:t>&lt;/NoPE&gt;&lt;Version&gt;</w:t>
    </w:r>
    <w:r w:rsidRPr="00366283">
      <w:t>v03-00</w:t>
    </w:r>
    <w:r w:rsidRPr="00366283">
      <w:rPr>
        <w:rStyle w:val="HideTWBExt"/>
      </w:rPr>
      <w:t>&lt;/Version&gt;</w:t>
    </w:r>
  </w:p>
  <w:p w:rsidR="00366283" w:rsidRPr="00366283" w:rsidRDefault="00366283" w:rsidP="00366283">
    <w:pPr>
      <w:pStyle w:val="EPFooter2"/>
    </w:pPr>
    <w:r w:rsidRPr="00366283">
      <w:t>LV</w:t>
    </w:r>
    <w:r w:rsidRPr="00366283">
      <w:tab/>
    </w:r>
    <w:r w:rsidRPr="00366283">
      <w:rPr>
        <w:b w:val="0"/>
        <w:i/>
        <w:color w:val="C0C0C0"/>
        <w:sz w:val="22"/>
      </w:rPr>
      <w:t>Vienoti daudzveidībā</w:t>
    </w:r>
    <w:r w:rsidRPr="00366283">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D96" w:rsidRPr="00366283" w:rsidRDefault="00BB1D96" w:rsidP="00BB1D96">
    <w:pPr>
      <w:pStyle w:val="EPFooter"/>
    </w:pPr>
    <w:r w:rsidRPr="00366283">
      <w:rPr>
        <w:rStyle w:val="HideTWBExt"/>
      </w:rPr>
      <w:t>&lt;PathFdR&gt;</w:t>
    </w:r>
    <w:r w:rsidRPr="00366283">
      <w:t>AD\1295226LV.docx</w:t>
    </w:r>
    <w:r w:rsidRPr="00366283">
      <w:rPr>
        <w:rStyle w:val="HideTWBExt"/>
      </w:rPr>
      <w:t>&lt;/PathFdR&gt;</w:t>
    </w:r>
    <w:r w:rsidRPr="00366283">
      <w:tab/>
    </w:r>
    <w:r w:rsidRPr="00366283">
      <w:tab/>
      <w:t>PE</w:t>
    </w:r>
    <w:r w:rsidRPr="00366283">
      <w:rPr>
        <w:rStyle w:val="HideTWBExt"/>
      </w:rPr>
      <w:t>&lt;NoPE&gt;</w:t>
    </w:r>
    <w:r w:rsidRPr="00366283">
      <w:t>756.194</w:t>
    </w:r>
    <w:r w:rsidRPr="00366283">
      <w:rPr>
        <w:rStyle w:val="HideTWBExt"/>
      </w:rPr>
      <w:t>&lt;/NoPE&gt;&lt;Version&gt;</w:t>
    </w:r>
    <w:r w:rsidRPr="00366283">
      <w:t>v02-00</w:t>
    </w:r>
    <w:r w:rsidRPr="00366283">
      <w:rPr>
        <w:rStyle w:val="HideTWBExt"/>
      </w:rPr>
      <w:t>&lt;/Version&gt;</w:t>
    </w:r>
  </w:p>
  <w:p w:rsidR="002E2F2E" w:rsidRPr="00366283" w:rsidRDefault="00BB1D96" w:rsidP="00BB1D96">
    <w:pPr>
      <w:pStyle w:val="EPFooter2"/>
    </w:pPr>
    <w:r w:rsidRPr="00366283">
      <w:t>LV</w:t>
    </w:r>
    <w:r w:rsidRPr="00366283">
      <w:tab/>
    </w:r>
    <w:r w:rsidRPr="00366283">
      <w:rPr>
        <w:b w:val="0"/>
        <w:i/>
        <w:color w:val="C0C0C0"/>
        <w:sz w:val="22"/>
      </w:rPr>
      <w:t>Vienoti daudzveidībā</w:t>
    </w:r>
    <w:r w:rsidRPr="00366283">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C8C" w:rsidRPr="00366283" w:rsidRDefault="007B2C8C">
      <w:r w:rsidRPr="00366283">
        <w:separator/>
      </w:r>
    </w:p>
  </w:footnote>
  <w:footnote w:type="continuationSeparator" w:id="0">
    <w:p w:rsidR="007B2C8C" w:rsidRPr="00366283" w:rsidRDefault="007B2C8C">
      <w:r w:rsidRPr="003662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6C4" w:rsidRDefault="00284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6C4" w:rsidRDefault="002846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6C4" w:rsidRDefault="002846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97" w:rsidRDefault="00E258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97" w:rsidRDefault="00E258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97" w:rsidRDefault="00E25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CONT"/>
    <w:docVar w:name="COMKEY" w:val="LIBE"/>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291539 HideTWBInt;}{_x000d__x000a_\s18\ql \fi-567\li567\ri0\sa240\nowidctlpar\wrapdefault\aspalpha\aspnum\faauto\adjustright\rin0\lin567\itap0 \rtlch\fcs1 \af0\afs20\alang1025 \ltrch\fcs0 \fs24\lang2057\langfe2057\cgrid\langnp2057\langfenp2057 _x000d__x000a_\sbasedon0 \snext18 \spriority0 \styrsid4291539 NormalHanging12a;}}{\*\rsidtbl \rsid24658\rsid223860\rsid735077\rsid1718133\rsid2892074\rsid3565327\rsid4291539\rsid4666813\rsid6641733\rsid7823322\rsid9636012\rsid10377208\rsid11215221\rsid11549030_x000d__x000a_\rsid11735390\rsid12154954\rsid14382809\rsid14424199\rsid15204470\rsid15285974\rsid15950462\rsid16324206\rsid16662270}{\mmathPr\mmathFont34\mbrkBin0\mbrkBinSub0\msmallFrac0\mdispDef1\mlMargin0\mrMargin0\mdefJc1\mwrapIndent1440\mintLim0\mnaryLim1}{\info_x000d__x000a_{\author PURINS Maris}{\operator PURINS Maris}{\creatim\yr2024\mo1\dy31\hr11\min39}{\revtim\yr2024\mo1\dy31\hr11\min39}{\version1}{\edmins0}{\nofpages1}{\nofwords2}{\nofchars11}{\nofcharsws12}{\vern109}}{\*\xmlnstbl {\xmlns1 http://schemas.microsoft.com/o_x000d__x000a_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91539\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1735390 \chftnsep _x000d__x000a_\par }}{\*\ftnsepc \ltrpar \pard\plain \ltrpar\ql \li0\ri0\widctlpar\wrapdefault\aspalpha\aspnum\faauto\adjustright\rin0\lin0\itap0 \rtlch\fcs1 \af0\afs20\alang1025 \ltrch\fcs0 \fs24\lang2057\langfe2057\cgrid\langnp2057\langfenp2057 {\rtlch\fcs1 \af0 _x000d__x000a_\ltrch\fcs0 \insrsid11735390 \chftnsepc _x000d__x000a_\par }}{\*\aftnsep \ltrpar \pard\plain \ltrpar\ql \li0\ri0\widctlpar\wrapdefault\aspalpha\aspnum\faauto\adjustright\rin0\lin0\itap0 \rtlch\fcs1 \af0\afs20\alang1025 \ltrch\fcs0 \fs24\lang2057\langfe2057\cgrid\langnp2057\langfenp2057 {\rtlch\fcs1 \af0 _x000d__x000a_\ltrch\fcs0 \insrsid11735390 \chftnsep _x000d__x000a_\par }}{\*\aftnsepc \ltrpar \pard\plain \ltrpar\ql \li0\ri0\widctlpar\wrapdefault\aspalpha\aspnum\faauto\adjustright\rin0\lin0\itap0 \rtlch\fcs1 \af0\afs20\alang1025 \ltrch\fcs0 \fs24\lang2057\langfe2057\cgrid\langnp2057\langfenp2057 {\rtlch\fcs1 \af0 _x000d__x000a_\ltrch\fcs0 \insrsid11735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291539 \rtlch\fcs1 \af0\afs20\alang1025 \ltrch\fcs0 \fs24\lang2057\langfe2057\cgrid\langnp2057\langfenp2057 {\rtlch\fcs1 \af0 _x000d__x000a_\ltrch\fcs0 \insrsid4291539\charrsid13044652 {\*\bkmkstart restart}#}{\rtlch\fcs1 \af1 \ltrch\fcs0 \cs17\v\f1\fs20\cf15\insrsid4291539\charrsid13044652 NRMSG}{\rtlch\fcs1 \af0 \ltrch\fcs0 \insrsid4291539\charrsid13044652 #.\tab ##}{\rtlch\fcs1 \af0 _x000d__x000a_\ltrch\fcs0 \insrsid429153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b_x000d__x000a_d1d531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243609 NormalHanging12a;}}{\*\rsidtbl \rsid24658\rsid223860\rsid735077\rsid1718133\rsid2892074\rsid3565327\rsid4666813\rsid6243609\rsid6641733\rsid7823322_x000d__x000a_\rsid9636012\rsid10377208\rsid11215221\rsid11549030\rsid12154954\rsid12941650\rsid14382809\rsid14424199\rsid15204470\rsid15285974\rsid15950462\rsid16324206\rsid16662270}{\mmathPr\mmathFont34\mbrkBin0\mbrkBinSub0\msmallFrac0\mdispDef1\mlMargin0\mrMargin0_x000d__x000a_\mdefJc1\mwrapIndent1440\mintLim0\mnaryLim1}{\info{\author PURINS Maris}{\operator PURINS Maris}{\creatim\yr2024\mo1\dy31\hr11\min40}{\revtim\yr2024\mo1\dy31\hr11\min40}{\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3609\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2941650 \chftnsep _x000d__x000a_\par }}{\*\ftnsepc \ltrpar \pard\plain \ltrpar\ql \li0\ri0\widctlpar\wrapdefault\aspalpha\aspnum\faauto\adjustright\rin0\lin0\itap0 \rtlch\fcs1 \af0\afs20\alang1025 \ltrch\fcs0 \fs24\lang2057\langfe2057\cgrid\langnp2057\langfenp2057 {\rtlch\fcs1 \af0 _x000d__x000a_\ltrch\fcs0 \insrsid12941650 \chftnsepc _x000d__x000a_\par }}{\*\aftnsep \ltrpar \pard\plain \ltrpar\ql \li0\ri0\widctlpar\wrapdefault\aspalpha\aspnum\faauto\adjustright\rin0\lin0\itap0 \rtlch\fcs1 \af0\afs20\alang1025 \ltrch\fcs0 \fs24\lang2057\langfe2057\cgrid\langnp2057\langfenp2057 {\rtlch\fcs1 \af0 _x000d__x000a_\ltrch\fcs0 \insrsid12941650 \chftnsep _x000d__x000a_\par }}{\*\aftnsepc \ltrpar \pard\plain \ltrpar\ql \li0\ri0\widctlpar\wrapdefault\aspalpha\aspnum\faauto\adjustright\rin0\lin0\itap0 \rtlch\fcs1 \af0\afs20\alang1025 \ltrch\fcs0 \fs24\lang2057\langfe2057\cgrid\langnp2057\langfenp2057 {\rtlch\fcs1 \af0 _x000d__x000a_\ltrch\fcs0 \insrsid129416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243609 \rtlch\fcs1 \af0\afs20\alang1025 \ltrch\fcs0 \fs24\lang2057\langfe2057\cgrid\langnp2057\langfenp2057 {\rtlch\fcs1 \af0 _x000d__x000a_\ltrch\fcs0 \insrsid6243609\charrsid1525456 {\*\bkmkstart restart}[ZSUGGESTIONNR]\tab [ZSUGGESTIONTEXT]}{\rtlch\fcs1 \af0 \ltrch\fcs0 \insrsid624360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6_x000d__x000a_2bd731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LV"/>
    <w:docVar w:name="TXTLANGUEMIN" w:val="lv"/>
    <w:docVar w:name="TXTNRPE" w:val="756.194"/>
    <w:docVar w:name="TXTNRPROC" w:val="2023/2157"/>
    <w:docVar w:name="TXTPEorAP" w:val="PE"/>
    <w:docVar w:name="TXTROUTE" w:val="AD\1295226LV.docx"/>
    <w:docVar w:name="TXTTITLE" w:val="of the European Monitoring Centre for Drugs and Drug Addiction for the financial year 2022"/>
    <w:docVar w:name="TXTVERSION" w:val="03-00"/>
  </w:docVars>
  <w:rsids>
    <w:rsidRoot w:val="007B2C8C"/>
    <w:rsid w:val="0008134F"/>
    <w:rsid w:val="000E7EBF"/>
    <w:rsid w:val="00124F60"/>
    <w:rsid w:val="00135121"/>
    <w:rsid w:val="00140BE6"/>
    <w:rsid w:val="00147F4E"/>
    <w:rsid w:val="0016635E"/>
    <w:rsid w:val="001746D0"/>
    <w:rsid w:val="001B7393"/>
    <w:rsid w:val="001D2ED9"/>
    <w:rsid w:val="001D4AB6"/>
    <w:rsid w:val="001F21C1"/>
    <w:rsid w:val="00260DAE"/>
    <w:rsid w:val="002846C4"/>
    <w:rsid w:val="002D28A7"/>
    <w:rsid w:val="002E2F2E"/>
    <w:rsid w:val="002E6F98"/>
    <w:rsid w:val="00312ED8"/>
    <w:rsid w:val="00325BCB"/>
    <w:rsid w:val="00331944"/>
    <w:rsid w:val="00332AD9"/>
    <w:rsid w:val="00347D2C"/>
    <w:rsid w:val="00366283"/>
    <w:rsid w:val="0037356F"/>
    <w:rsid w:val="00390EB2"/>
    <w:rsid w:val="00396A0E"/>
    <w:rsid w:val="003E2402"/>
    <w:rsid w:val="004C28FB"/>
    <w:rsid w:val="004C44C0"/>
    <w:rsid w:val="0052544E"/>
    <w:rsid w:val="00555018"/>
    <w:rsid w:val="005940C3"/>
    <w:rsid w:val="00594C48"/>
    <w:rsid w:val="005B2F11"/>
    <w:rsid w:val="005C0BDF"/>
    <w:rsid w:val="005D60C6"/>
    <w:rsid w:val="006102E7"/>
    <w:rsid w:val="00640C1B"/>
    <w:rsid w:val="00657AFB"/>
    <w:rsid w:val="006D5BF7"/>
    <w:rsid w:val="007B2C8C"/>
    <w:rsid w:val="008313E7"/>
    <w:rsid w:val="008543A2"/>
    <w:rsid w:val="00854CAC"/>
    <w:rsid w:val="008A32C5"/>
    <w:rsid w:val="008C6203"/>
    <w:rsid w:val="008D61E7"/>
    <w:rsid w:val="008E3C1B"/>
    <w:rsid w:val="008F7002"/>
    <w:rsid w:val="0097040E"/>
    <w:rsid w:val="0099493F"/>
    <w:rsid w:val="00A16BEA"/>
    <w:rsid w:val="00A312B3"/>
    <w:rsid w:val="00A64113"/>
    <w:rsid w:val="00A72C35"/>
    <w:rsid w:val="00A82ACC"/>
    <w:rsid w:val="00AE180F"/>
    <w:rsid w:val="00B362F7"/>
    <w:rsid w:val="00B5456B"/>
    <w:rsid w:val="00B74B53"/>
    <w:rsid w:val="00BB1D96"/>
    <w:rsid w:val="00BC26E4"/>
    <w:rsid w:val="00BD1EAA"/>
    <w:rsid w:val="00C52739"/>
    <w:rsid w:val="00C827FF"/>
    <w:rsid w:val="00CD34AC"/>
    <w:rsid w:val="00DE19FF"/>
    <w:rsid w:val="00E25897"/>
    <w:rsid w:val="00E41029"/>
    <w:rsid w:val="00E81BA6"/>
    <w:rsid w:val="00E856D2"/>
    <w:rsid w:val="00E929A7"/>
    <w:rsid w:val="00EE57B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15:docId w15:val="{D436321D-570A-4C05-B34D-38A82ADB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8E3C1B"/>
    <w:rPr>
      <w:vertAlign w:val="superscript"/>
    </w:rPr>
  </w:style>
  <w:style w:type="paragraph" w:styleId="Footer">
    <w:name w:val="footer"/>
    <w:basedOn w:val="Normal"/>
    <w:link w:val="FooterChar"/>
    <w:semiHidden/>
    <w:rsid w:val="008E3C1B"/>
    <w:pPr>
      <w:tabs>
        <w:tab w:val="center" w:pos="4513"/>
        <w:tab w:val="right" w:pos="9026"/>
      </w:tabs>
    </w:pPr>
  </w:style>
  <w:style w:type="character" w:customStyle="1" w:styleId="FooterChar">
    <w:name w:val="Footer Char"/>
    <w:basedOn w:val="DefaultParagraphFont"/>
    <w:link w:val="Footer"/>
    <w:semiHidden/>
    <w:rsid w:val="008E3C1B"/>
    <w:rPr>
      <w:sz w:val="24"/>
    </w:rPr>
  </w:style>
  <w:style w:type="paragraph" w:styleId="EndnoteText">
    <w:name w:val="endnote text"/>
    <w:basedOn w:val="Normal"/>
    <w:link w:val="EndnoteTextChar"/>
    <w:rsid w:val="0008134F"/>
    <w:rPr>
      <w:snapToGrid w:val="0"/>
      <w:lang w:eastAsia="en-US"/>
    </w:rPr>
  </w:style>
  <w:style w:type="character" w:customStyle="1" w:styleId="EndnoteTextChar">
    <w:name w:val="Endnote Text Char"/>
    <w:basedOn w:val="DefaultParagraphFont"/>
    <w:link w:val="EndnoteText"/>
    <w:rsid w:val="0008134F"/>
    <w:rPr>
      <w:snapToGrid w:val="0"/>
      <w:sz w:val="24"/>
      <w:lang w:eastAsia="en-US"/>
    </w:rPr>
  </w:style>
  <w:style w:type="paragraph" w:styleId="BalloonText">
    <w:name w:val="Balloon Text"/>
    <w:basedOn w:val="Normal"/>
    <w:link w:val="BalloonTextChar"/>
    <w:semiHidden/>
    <w:unhideWhenUsed/>
    <w:rsid w:val="00366283"/>
    <w:rPr>
      <w:rFonts w:ascii="Segoe UI" w:hAnsi="Segoe UI" w:cs="Segoe UI"/>
      <w:sz w:val="18"/>
      <w:szCs w:val="18"/>
    </w:rPr>
  </w:style>
  <w:style w:type="character" w:customStyle="1" w:styleId="BalloonTextChar">
    <w:name w:val="Balloon Text Char"/>
    <w:basedOn w:val="DefaultParagraphFont"/>
    <w:link w:val="BalloonText"/>
    <w:semiHidden/>
    <w:rsid w:val="00366283"/>
    <w:rPr>
      <w:rFonts w:ascii="Segoe UI" w:hAnsi="Segoe UI" w:cs="Segoe UI"/>
      <w:sz w:val="18"/>
      <w:szCs w:val="18"/>
    </w:rPr>
  </w:style>
  <w:style w:type="paragraph" w:customStyle="1" w:styleId="Normal24a">
    <w:name w:val="Normal24a"/>
    <w:basedOn w:val="Normal"/>
    <w:rsid w:val="00366283"/>
    <w:pPr>
      <w:spacing w:after="480"/>
    </w:pPr>
  </w:style>
  <w:style w:type="paragraph" w:customStyle="1" w:styleId="RollCallSymbols14pt">
    <w:name w:val="RollCallSymbols14pt"/>
    <w:basedOn w:val="Normal"/>
    <w:rsid w:val="002846C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846C4"/>
    <w:pPr>
      <w:tabs>
        <w:tab w:val="center" w:pos="284"/>
        <w:tab w:val="left" w:pos="426"/>
      </w:tabs>
    </w:pPr>
    <w:rPr>
      <w:snapToGrid w:val="0"/>
      <w:lang w:eastAsia="en-US"/>
    </w:rPr>
  </w:style>
  <w:style w:type="paragraph" w:customStyle="1" w:styleId="RollCallVotes">
    <w:name w:val="RollCallVotes"/>
    <w:basedOn w:val="Normal"/>
    <w:rsid w:val="002846C4"/>
    <w:pPr>
      <w:spacing w:before="120" w:after="120"/>
      <w:jc w:val="center"/>
    </w:pPr>
    <w:rPr>
      <w:b/>
      <w:bCs/>
      <w:snapToGrid w:val="0"/>
      <w:sz w:val="16"/>
      <w:lang w:eastAsia="en-US"/>
    </w:rPr>
  </w:style>
  <w:style w:type="paragraph" w:customStyle="1" w:styleId="RollCallTable">
    <w:name w:val="RollCallTable"/>
    <w:basedOn w:val="Normal"/>
    <w:rsid w:val="002846C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953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1021</Words>
  <Characters>6869</Characters>
  <Application>Microsoft Office Word</Application>
  <DocSecurity>0</DocSecurity>
  <Lines>165</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2024-02-08T09:48:00Z</dcterms:created>
  <dcterms:modified xsi:type="dcterms:W3CDTF">2024-02-08T09:48:00Z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AD\1295226LV.docx</vt:lpwstr>
  </property>
  <property fmtid="{D5CDD505-2E9C-101B-9397-08002B2CF9AE}" pid="11" name="PE number">
    <vt:lpwstr>756.194</vt:lpwstr>
  </property>
  <property fmtid="{D5CDD505-2E9C-101B-9397-08002B2CF9AE}" pid="12" name="SendToEpades">
    <vt:lpwstr>OK - 2023/11/20 18:38</vt:lpwstr>
  </property>
  <property fmtid="{D5CDD505-2E9C-101B-9397-08002B2CF9AE}" pid="13" name="Bookout">
    <vt:lpwstr>OK - 2024/02/08 10:48</vt:lpwstr>
  </property>
  <property fmtid="{D5CDD505-2E9C-101B-9397-08002B2CF9AE}" pid="14" name="SDLStudio">
    <vt:lpwstr/>
  </property>
</Properties>
</file>