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A82504" w:rsidTr="00C85D0F">
        <w:trPr>
          <w:trHeight w:hRule="exact" w:val="1418"/>
        </w:trPr>
        <w:tc>
          <w:tcPr>
            <w:tcW w:w="6804" w:type="dxa"/>
            <w:shd w:val="clear" w:color="auto" w:fill="auto"/>
            <w:vAlign w:val="center"/>
          </w:tcPr>
          <w:p w:rsidR="00854CAC" w:rsidRPr="00A82504" w:rsidRDefault="007B2C8C" w:rsidP="00C85D0F">
            <w:pPr>
              <w:pStyle w:val="EPName"/>
            </w:pPr>
            <w:bookmarkStart w:id="0" w:name="_GoBack"/>
            <w:bookmarkEnd w:id="0"/>
            <w:r>
              <w:t>Parlament Europejski</w:t>
            </w:r>
          </w:p>
          <w:p w:rsidR="00854CAC" w:rsidRPr="00A82504" w:rsidRDefault="008E3C1B" w:rsidP="008E3C1B">
            <w:pPr>
              <w:pStyle w:val="EPTerm"/>
            </w:pPr>
            <w:r>
              <w:t>2019-2024</w:t>
            </w:r>
          </w:p>
        </w:tc>
        <w:tc>
          <w:tcPr>
            <w:tcW w:w="2268" w:type="dxa"/>
            <w:shd w:val="clear" w:color="auto" w:fill="auto"/>
          </w:tcPr>
          <w:p w:rsidR="00854CAC" w:rsidRPr="00A82504" w:rsidRDefault="00854CAC" w:rsidP="00C85D0F">
            <w:pPr>
              <w:pStyle w:val="EPLogo"/>
            </w:pPr>
            <w:r w:rsidRPr="00A82504">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A82504" w:rsidRDefault="001746D0" w:rsidP="001746D0">
      <w:pPr>
        <w:pStyle w:val="LineTop"/>
      </w:pPr>
    </w:p>
    <w:p w:rsidR="001746D0" w:rsidRPr="00A82504" w:rsidRDefault="001746D0" w:rsidP="001746D0">
      <w:pPr>
        <w:pStyle w:val="EPBody"/>
      </w:pPr>
      <w:r>
        <w:rPr>
          <w:rStyle w:val="HideTWBExt"/>
        </w:rPr>
        <w:t>&lt;</w:t>
      </w:r>
      <w:r>
        <w:rPr>
          <w:rStyle w:val="HideTWBExt"/>
          <w:i w:val="0"/>
        </w:rPr>
        <w:t>Commission</w:t>
      </w:r>
      <w:r>
        <w:rPr>
          <w:rStyle w:val="HideTWBExt"/>
        </w:rPr>
        <w:t>&gt;</w:t>
      </w:r>
      <w:r>
        <w:rPr>
          <w:rStyle w:val="HideTWBInt"/>
        </w:rPr>
        <w:t>{LIBE}</w:t>
      </w:r>
      <w:r>
        <w:t>Komisja Wolności Obywatelskich, Sprawiedliwości i Spraw Wewnętrznych</w:t>
      </w:r>
      <w:r>
        <w:rPr>
          <w:rStyle w:val="HideTWBExt"/>
        </w:rPr>
        <w:t>&lt;/</w:t>
      </w:r>
      <w:r>
        <w:rPr>
          <w:rStyle w:val="HideTWBExt"/>
          <w:i w:val="0"/>
        </w:rPr>
        <w:t>Commission</w:t>
      </w:r>
      <w:r>
        <w:rPr>
          <w:rStyle w:val="HideTWBExt"/>
        </w:rPr>
        <w:t>&gt;</w:t>
      </w:r>
    </w:p>
    <w:p w:rsidR="001746D0" w:rsidRPr="00A82504" w:rsidRDefault="001746D0" w:rsidP="001746D0">
      <w:pPr>
        <w:pStyle w:val="LineBottom"/>
      </w:pPr>
    </w:p>
    <w:p w:rsidR="002E2F2E" w:rsidRPr="00A82504" w:rsidRDefault="002E2F2E">
      <w:pPr>
        <w:pStyle w:val="CoverReference"/>
      </w:pPr>
      <w:r>
        <w:rPr>
          <w:rStyle w:val="HideTWBExt"/>
          <w:b w:val="0"/>
        </w:rPr>
        <w:t>&lt;RefProc&gt;</w:t>
      </w:r>
      <w:r>
        <w:t>2023/2157</w:t>
      </w:r>
      <w:r>
        <w:rPr>
          <w:rStyle w:val="HideTWBExt"/>
          <w:b w:val="0"/>
        </w:rPr>
        <w:t>&lt;/RefProc&gt;&lt;RefTypeProc&gt;</w:t>
      </w:r>
      <w:r>
        <w:t>(DEC)</w:t>
      </w:r>
      <w:r>
        <w:rPr>
          <w:rStyle w:val="HideTWBExt"/>
          <w:b w:val="0"/>
        </w:rPr>
        <w:t>&lt;/RefTypeProc&gt;</w:t>
      </w:r>
    </w:p>
    <w:p w:rsidR="002E2F2E" w:rsidRPr="00A82504" w:rsidRDefault="002E2F2E">
      <w:pPr>
        <w:pStyle w:val="CoverDate"/>
      </w:pPr>
      <w:r>
        <w:rPr>
          <w:rStyle w:val="HideTWBExt"/>
        </w:rPr>
        <w:t>&lt;Date&gt;</w:t>
      </w:r>
      <w:r>
        <w:rPr>
          <w:rStyle w:val="HideTWBInt"/>
        </w:rPr>
        <w:t>{24/01/2024}</w:t>
      </w:r>
      <w:r>
        <w:t>24.1.2024</w:t>
      </w:r>
      <w:r>
        <w:rPr>
          <w:rStyle w:val="HideTWBExt"/>
        </w:rPr>
        <w:t>&lt;/Date&gt;</w:t>
      </w:r>
    </w:p>
    <w:p w:rsidR="002E2F2E" w:rsidRPr="00A82504" w:rsidRDefault="002E2F2E">
      <w:pPr>
        <w:pStyle w:val="CoverDocType24a"/>
      </w:pPr>
      <w:r>
        <w:rPr>
          <w:rStyle w:val="HideTWBExt"/>
          <w:b w:val="0"/>
        </w:rPr>
        <w:t>&lt;TitreType&gt;</w:t>
      </w:r>
      <w:r>
        <w:t>OPINIA</w:t>
      </w:r>
      <w:r>
        <w:rPr>
          <w:rStyle w:val="HideTWBExt"/>
          <w:b w:val="0"/>
        </w:rPr>
        <w:t>&lt;/TitreType&gt;</w:t>
      </w:r>
    </w:p>
    <w:p w:rsidR="002E2F2E" w:rsidRPr="00A82504" w:rsidRDefault="002E2F2E">
      <w:pPr>
        <w:pStyle w:val="CoverNormal24a"/>
      </w:pPr>
      <w:r>
        <w:rPr>
          <w:rStyle w:val="HideTWBExt"/>
        </w:rPr>
        <w:t>&lt;CommissionResp&gt;</w:t>
      </w:r>
      <w:r>
        <w:t>Komisji Wolności Obywatelskich, Sprawiedliwości i Spraw Wewnętrznych</w:t>
      </w:r>
      <w:r>
        <w:rPr>
          <w:rStyle w:val="HideTWBExt"/>
        </w:rPr>
        <w:t>&lt;/CommissionResp&gt;</w:t>
      </w:r>
    </w:p>
    <w:p w:rsidR="002E2F2E" w:rsidRPr="00A82504" w:rsidRDefault="002E2F2E">
      <w:pPr>
        <w:pStyle w:val="CoverNormal24a"/>
      </w:pPr>
      <w:r>
        <w:rPr>
          <w:rStyle w:val="HideTWBExt"/>
        </w:rPr>
        <w:t>&lt;CommissionInt&gt;</w:t>
      </w:r>
      <w:r>
        <w:t>dla Komisji Kontroli Budżetowej</w:t>
      </w:r>
      <w:r>
        <w:rPr>
          <w:rStyle w:val="HideTWBExt"/>
        </w:rPr>
        <w:t>&lt;/CommissionInt&gt;</w:t>
      </w:r>
    </w:p>
    <w:p w:rsidR="00A82504" w:rsidRPr="00A82504" w:rsidRDefault="00A82504" w:rsidP="00A82504">
      <w:pPr>
        <w:pStyle w:val="CoverNormal"/>
      </w:pPr>
      <w:r>
        <w:rPr>
          <w:rStyle w:val="HideTWBExt"/>
        </w:rPr>
        <w:t>&lt;Titre&gt;</w:t>
      </w:r>
      <w:r>
        <w:t>w sprawie absolutorium z wykonania budżetu Europejskiego Centrum Monitorowania Narkotyków i Narkomanii za rok budżetowy 2022</w:t>
      </w:r>
      <w:r>
        <w:rPr>
          <w:rStyle w:val="HideTWBExt"/>
        </w:rPr>
        <w:t>&lt;/Titre&gt;</w:t>
      </w:r>
    </w:p>
    <w:p w:rsidR="00A82504" w:rsidRPr="00A82504" w:rsidRDefault="00A82504" w:rsidP="00A82504">
      <w:pPr>
        <w:pStyle w:val="CoverNormal24a"/>
      </w:pPr>
      <w:r>
        <w:rPr>
          <w:rStyle w:val="HideTWBExt"/>
        </w:rPr>
        <w:t>&lt;DocRef&gt;</w:t>
      </w:r>
      <w:r>
        <w:t>(2023/2157(DEC))</w:t>
      </w:r>
      <w:r>
        <w:rPr>
          <w:rStyle w:val="HideTWBExt"/>
        </w:rPr>
        <w:t>&lt;/DocRef&gt;</w:t>
      </w:r>
    </w:p>
    <w:p w:rsidR="002E2F2E" w:rsidRPr="00A82504" w:rsidRDefault="007B2C8C">
      <w:pPr>
        <w:pStyle w:val="CoverNormal24a"/>
      </w:pPr>
      <w:r>
        <w:t xml:space="preserve">Sprawozdawca komisji opiniodawczej: </w:t>
      </w:r>
      <w:r>
        <w:rPr>
          <w:rStyle w:val="HideTWBExt"/>
        </w:rPr>
        <w:t>&lt;Depute&gt;</w:t>
      </w:r>
      <w:r>
        <w:t>Tomáš Zdechovský</w:t>
      </w:r>
      <w:r>
        <w:rPr>
          <w:rStyle w:val="HideTWBExt"/>
        </w:rPr>
        <w:t>&lt;/Depute&gt;</w:t>
      </w:r>
    </w:p>
    <w:p w:rsidR="00A72C35" w:rsidRPr="00A82504" w:rsidRDefault="00A72C35" w:rsidP="00A72C35">
      <w:pPr>
        <w:pStyle w:val="CoverNormal"/>
      </w:pPr>
    </w:p>
    <w:p w:rsidR="002E2F2E" w:rsidRPr="00A82504" w:rsidRDefault="002E2F2E" w:rsidP="00E856D2">
      <w:pPr>
        <w:widowControl/>
        <w:tabs>
          <w:tab w:val="center" w:pos="4677"/>
        </w:tabs>
      </w:pPr>
      <w:r>
        <w:br w:type="page"/>
      </w:r>
      <w:r>
        <w:lastRenderedPageBreak/>
        <w:t>PA_NonLeg</w:t>
      </w:r>
    </w:p>
    <w:p w:rsidR="002E2F2E" w:rsidRPr="00A82504" w:rsidRDefault="002E2F2E">
      <w:pPr>
        <w:pStyle w:val="PageHeadingNotTOC"/>
      </w:pPr>
      <w:r>
        <w:br w:type="page"/>
      </w:r>
      <w:r>
        <w:lastRenderedPageBreak/>
        <w:t>WSKAZÓWKI</w:t>
      </w:r>
    </w:p>
    <w:p w:rsidR="00A82504" w:rsidRPr="00A82504" w:rsidRDefault="007B2C8C" w:rsidP="00A82504">
      <w:pPr>
        <w:pStyle w:val="Normal12a"/>
      </w:pPr>
      <w:r>
        <w:t>Komisja Wolności Obywatelskich, Sprawiedliwości i Spraw Wewnętrznych zwraca się do Komisji Kontroli Budżetowej, jako komisji przedmiotowo właściwej, o uwzględnienie w końcowym tekście projektu rezolucji następujących wskazówek:</w:t>
      </w:r>
      <w:bookmarkStart w:id="1" w:name="ProcPageAD"/>
    </w:p>
    <w:p w:rsidR="00A82504" w:rsidRPr="00A82504" w:rsidRDefault="00A82504" w:rsidP="00A82504">
      <w:pPr>
        <w:pStyle w:val="NormalHanging12a"/>
      </w:pPr>
      <w:bookmarkStart w:id="2" w:name="restart"/>
      <w:r>
        <w:t>1.</w:t>
      </w:r>
      <w:r>
        <w:tab/>
        <w:t>przyjmuje z zadowoleniem fakt, że Trybunał Obrachunkowy („Trybunał”) uznał, iż transakcje leżące u podstaw rocznego sprawozdania finansowego Europejskiego Centrum Monitorowania Narkotyków i Narkomanii („Centrum”) za rok budżetowy 2022 są legalne i prawidłowe we wszystkich istotnych aspektach; zauważa, że zgodnie ze sprawozdaniem rocznym Trybunału dotyczącym agencji UE za 2022 r. budżet Centrum w 2022 r. wyniósł 26 mln EUR, co stanowi wzrost o 4 % w porównaniu z 2021 r. (25 mln EUR), podczas gdy zgodnie z decyzją odpowiedniej władzy budżetowej liczba pracowników pozostała niezmieniona;</w:t>
      </w:r>
    </w:p>
    <w:bookmarkEnd w:id="2"/>
    <w:p w:rsidR="00A82504" w:rsidRPr="00A82504" w:rsidRDefault="00A82504" w:rsidP="00A82504">
      <w:pPr>
        <w:pStyle w:val="NormalHanging12a"/>
        <w:rPr>
          <w:szCs w:val="24"/>
        </w:rPr>
      </w:pPr>
      <w:r>
        <w:t>2.</w:t>
      </w:r>
      <w:r>
        <w:tab/>
        <w:t>z zadowoleniem przyjmuje podjęcie odpowiednich działań naprawczych w celu uwzględnienia uwag Trybunału z poprzednich lat; z zadowoleniem przyjmuje coroczną sztandarową publikację „Europejski raport narkotykowy z 2022 r.”, biuletyn statystyczny z 2022 r. oraz wartość dodaną prowadzonego przez Centrum unijnego systemu wczesnego ostrzegania o nowych substancjach psychoaktywnych, który w 2022 r. świętował 25 lat działalności; z zadowoleniem przyjmuje opublikowanie 69 publikacji, w tym siedmiu miniprzewodników i trzech punktów w sztandarowym sprawozdaniu przewodnim Centrum pt. „Zdrowie i społeczne odpowiedzi na problemy związane z narkotykami – europejski przewodnik”; z zadowoleniem przyjmuje czwartą europejską konferencję poświęconą zachowaniom uzależniającym i uzależnieniom, zorganizowaną wspólnie przez Centrum i jego partnerów; zachęca Centrum do kontynuowania działań związanych z dzieleniem się wiedzą;</w:t>
      </w:r>
    </w:p>
    <w:p w:rsidR="00A82504" w:rsidRPr="00A82504" w:rsidRDefault="00A82504" w:rsidP="00A82504">
      <w:pPr>
        <w:pStyle w:val="NormalHanging12a"/>
        <w:rPr>
          <w:szCs w:val="24"/>
        </w:rPr>
      </w:pPr>
      <w:r>
        <w:t>3.</w:t>
      </w:r>
      <w:r>
        <w:tab/>
        <w:t>z zadowoleniem przyjmuje działania szkoleniowe dotyczące narkotyków z udziałem 609 pracowników organów ścigania z UE oraz partnerów projektu współpracy technicznej, które Centrum zrealizowało we współpracy z Agencją Unii Europejskiej ds. Szkolenia w Dziedzinie Ścigania (CEPOL); z zadowoleniem przyjmuje fakt, że w 2022 r. prawie 950 specjalistów pracujących w dziedzinie narkotyków, w tym funkcjonariusze organów ścigania i decydenci polityczni, przeszło szkolenie organizowane przez Centrum, a około 1200 specjalistów pracujących w dziedzinie narkotyków wzięło udział w siedmiu seminariach internetowych organizowanych przez Centrum; podkreśla ważną rolę Centrum w dostarczaniu decydentom politycznym i praktykom analiz opartych na zdrowiu publicznym oraz informacji dotyczących narkotyków i narkomanii;</w:t>
      </w:r>
    </w:p>
    <w:p w:rsidR="00A82504" w:rsidRPr="00A82504" w:rsidRDefault="00A82504" w:rsidP="00A82504">
      <w:pPr>
        <w:pStyle w:val="NormalHanging12a"/>
        <w:rPr>
          <w:szCs w:val="24"/>
        </w:rPr>
      </w:pPr>
      <w:r>
        <w:t>4.</w:t>
      </w:r>
      <w:r>
        <w:tab/>
        <w:t>z zadowoleniem przyjmuje nieustające wysiłki Centrum na rzecz uwypuklenia społecznych aspektów narkotyków i ich wpływu na społeczeństwo, propagowania polityki reintegracji społecznej osób używających środków odurzających oraz podchodzenia do kwestii narkotyków z perspektywy multidyscyplinarnej; uważa, że należy dalej podnosić świadomość na temat tego, jak ważne są profilaktyka i innowacyjne podejście do polityki antynarkotykowej na pierwszym miejscu stawiające zdrowie psychiczne;</w:t>
      </w:r>
    </w:p>
    <w:p w:rsidR="00A82504" w:rsidRPr="00A82504" w:rsidRDefault="00A82504" w:rsidP="00A82504">
      <w:pPr>
        <w:pStyle w:val="NormalHanging12a"/>
        <w:rPr>
          <w:szCs w:val="24"/>
        </w:rPr>
      </w:pPr>
      <w:r>
        <w:lastRenderedPageBreak/>
        <w:t>5.</w:t>
      </w:r>
      <w:r>
        <w:tab/>
        <w:t>przypomina, że działalność Centrum opiera się na strategicznej, opartej na dowodach zdolności oceny zagrożeń zdrowia i bezpieczeństwa, która ma na celu określenie na wczesnym etapie zmian w zakresie rozwoju zjawiska narkotyków mogących mieć negatywny wpływ na zdrowie, wymiar społeczny lub bezpieczeństwo w Unii; przypomina, że w pracach Centrum należy w równym stopniu uwzględniać ocenę zagrożeń zdrowia;</w:t>
      </w:r>
    </w:p>
    <w:p w:rsidR="00A82504" w:rsidRPr="00A82504" w:rsidRDefault="00A82504" w:rsidP="00A82504">
      <w:pPr>
        <w:pStyle w:val="NormalHanging12a"/>
      </w:pPr>
      <w:r>
        <w:t>6.</w:t>
      </w:r>
      <w:r>
        <w:tab/>
        <w:t>z zadowoleniem przyjmuje postępy poczynione przez Centrum, jeśli chodzi o opracowanie „Wspólne unijne rynki narkotykowe – dogłębna analiza” przygotowane we współpracy z Europolem, które zawiera moduły dotyczące konkretnych narkotyków, publikowane w ciągu 2022 r., a którego kolejne edycje mają pojawić się w 2023 r.; z zadowoleniem przyjmuje prace nad poprawą jakości i dostępności podstawowych danych dotyczących dostaw, prowadzone w 2022 r. we współpracy z krajowymi punktami kontaktowymi Reitox i Europolem; wyraża zadowolenie, że Centrum zrealizowało wszystkie zadania w ramach multidyscyplinarnej platformy przeciwko zagrożeniom przestępstwami, jeśli chodzi o konopie indyjskie, kokainę i heroinę;</w:t>
      </w:r>
      <w:r>
        <w:rPr>
          <w:rStyle w:val="FootnoteReference"/>
        </w:rPr>
        <w:t xml:space="preserve"> </w:t>
      </w:r>
      <w:r>
        <w:t>przypomina, że handel narkotykami uznano za główne źródło zysków i kanał rekrutacji przestępczości zorganizowanej i terroryzmu, oraz podkreśla, że Centrum pomaga zapewnić bezpieczeństwo w Europie;</w:t>
      </w:r>
    </w:p>
    <w:p w:rsidR="00A82504" w:rsidRPr="00A82504" w:rsidRDefault="00A82504" w:rsidP="00A82504">
      <w:pPr>
        <w:pStyle w:val="NormalHanging12a"/>
        <w:rPr>
          <w:szCs w:val="24"/>
        </w:rPr>
      </w:pPr>
      <w:r>
        <w:t>7.</w:t>
      </w:r>
      <w:r>
        <w:tab/>
        <w:t xml:space="preserve">z zadowoleniem przyjmuje stronę internetową EMCDDA 4 Ukraine, stworzoną dla europejskich specjalistów w dziedzinie narkotyków, która wspiera osoby przesiedlone z Ukrainy; </w:t>
      </w:r>
    </w:p>
    <w:p w:rsidR="00A82504" w:rsidRPr="00A82504" w:rsidRDefault="00A82504" w:rsidP="00A82504">
      <w:pPr>
        <w:pStyle w:val="NormalHanging12a"/>
      </w:pPr>
      <w:r>
        <w:t>8.</w:t>
      </w:r>
      <w:r>
        <w:tab/>
        <w:t>z zadowoleniem przyjmuje bieżącą współpracę Centrum z krajami partnerskimi objętymi europejską polityką sąsiedztwa na szczeblu regionalnym w ramach projektu pomocy technicznej EU4MD, a także trwającą realizację dwustronnego projektu pomocy dla Gruzji EMCDDA4GE; z zadowoleniem przyjmuje ustanowienie oficjalnego partnerstwa w programie współpracy między Ameryką Łacińską, Karaibami i Unią Europejską w zakresie polityki antynarkotykowej;</w:t>
      </w:r>
    </w:p>
    <w:p w:rsidR="00A82504" w:rsidRPr="00A82504" w:rsidRDefault="00A82504" w:rsidP="00A82504">
      <w:pPr>
        <w:ind w:left="560" w:hanging="560"/>
      </w:pPr>
      <w:r>
        <w:t>9.</w:t>
      </w:r>
      <w:r>
        <w:tab/>
        <w:t xml:space="preserve">z zadowoleniem przyjmuje współpracę Centrum z innymi agencjami oraz jego wkład w sieć agencji WSiSW; z zadowoleniem przyjmuje stałą współpracę Centrum z krajowymi agencjami antynarkotykowymi, państwami trzecimi i organizacjami międzynarodowymi, takimi jak UNODC i WHO; </w:t>
      </w:r>
    </w:p>
    <w:p w:rsidR="00A82504" w:rsidRPr="00A82504" w:rsidRDefault="00A82504" w:rsidP="00A82504">
      <w:r>
        <w:br w:type="page"/>
      </w:r>
    </w:p>
    <w:p w:rsidR="002D0124" w:rsidRPr="00A82504" w:rsidRDefault="002D0124" w:rsidP="00A82504">
      <w:pPr>
        <w:pStyle w:val="PageHeadingNotTOC"/>
        <w:rPr>
          <w:noProof/>
        </w:rPr>
      </w:pPr>
      <w:r>
        <w:t>INFORMACJE O PRZYJĘCIU PRZEZ KOMISJĘ OPINIODAWCZĄ</w:t>
      </w:r>
    </w:p>
    <w:tbl>
      <w:tblPr>
        <w:tblW w:w="9637" w:type="dxa"/>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D0124" w:rsidRPr="00A82504" w:rsidTr="00A8250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D0124" w:rsidRPr="00A82504" w:rsidRDefault="002D0124">
            <w:pPr>
              <w:autoSpaceDE w:val="0"/>
              <w:autoSpaceDN w:val="0"/>
              <w:adjustRightInd w:val="0"/>
              <w:rPr>
                <w:b/>
                <w:bCs/>
                <w:color w:val="000000"/>
                <w:sz w:val="20"/>
              </w:rPr>
            </w:pPr>
            <w:r>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D0124" w:rsidRPr="00A82504" w:rsidRDefault="002D0124">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D0124" w:rsidRPr="00A82504" w:rsidRDefault="002D012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D0124" w:rsidRPr="00A82504" w:rsidRDefault="002D012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D0124" w:rsidRPr="00A82504" w:rsidRDefault="002D0124">
            <w:pPr>
              <w:autoSpaceDE w:val="0"/>
              <w:autoSpaceDN w:val="0"/>
              <w:adjustRightInd w:val="0"/>
              <w:rPr>
                <w:rFonts w:ascii="sans-serif" w:hAnsi="sans-serif" w:cs="sans-serif"/>
                <w:color w:val="000000"/>
                <w:szCs w:val="24"/>
              </w:rPr>
            </w:pPr>
          </w:p>
        </w:tc>
      </w:tr>
      <w:tr w:rsidR="002D0124" w:rsidRPr="00A82504" w:rsidTr="00A8250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D0124" w:rsidRPr="00A82504" w:rsidRDefault="002D0124">
            <w:pPr>
              <w:autoSpaceDE w:val="0"/>
              <w:autoSpaceDN w:val="0"/>
              <w:adjustRightInd w:val="0"/>
              <w:rPr>
                <w:b/>
                <w:bCs/>
                <w:color w:val="000000"/>
                <w:sz w:val="20"/>
              </w:rPr>
            </w:pPr>
            <w:r>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D0124" w:rsidRPr="00A82504" w:rsidRDefault="002D0124">
            <w:pPr>
              <w:autoSpaceDE w:val="0"/>
              <w:autoSpaceDN w:val="0"/>
              <w:adjustRightInd w:val="0"/>
              <w:rPr>
                <w:color w:val="000000"/>
                <w:sz w:val="20"/>
              </w:rPr>
            </w:pPr>
            <w:r>
              <w:rPr>
                <w:color w:val="000000"/>
                <w:sz w:val="20"/>
              </w:rPr>
              <w:t>+:</w:t>
            </w:r>
          </w:p>
          <w:p w:rsidR="002D0124" w:rsidRPr="00A82504" w:rsidRDefault="002D0124">
            <w:pPr>
              <w:autoSpaceDE w:val="0"/>
              <w:autoSpaceDN w:val="0"/>
              <w:adjustRightInd w:val="0"/>
              <w:rPr>
                <w:color w:val="000000"/>
                <w:sz w:val="20"/>
              </w:rPr>
            </w:pPr>
            <w:r>
              <w:rPr>
                <w:color w:val="000000"/>
                <w:sz w:val="20"/>
              </w:rPr>
              <w:t>–:</w:t>
            </w:r>
          </w:p>
          <w:p w:rsidR="002D0124" w:rsidRPr="00A82504" w:rsidRDefault="002D012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D0124" w:rsidRPr="00A82504" w:rsidRDefault="002D0124">
            <w:pPr>
              <w:autoSpaceDE w:val="0"/>
              <w:autoSpaceDN w:val="0"/>
              <w:adjustRightInd w:val="0"/>
              <w:rPr>
                <w:color w:val="000000"/>
                <w:sz w:val="20"/>
              </w:rPr>
            </w:pPr>
            <w:r>
              <w:rPr>
                <w:color w:val="000000"/>
                <w:sz w:val="20"/>
              </w:rPr>
              <w:t>52</w:t>
            </w:r>
          </w:p>
          <w:p w:rsidR="002D0124" w:rsidRPr="00A82504" w:rsidRDefault="002D0124">
            <w:pPr>
              <w:autoSpaceDE w:val="0"/>
              <w:autoSpaceDN w:val="0"/>
              <w:adjustRightInd w:val="0"/>
              <w:rPr>
                <w:color w:val="000000"/>
                <w:sz w:val="20"/>
              </w:rPr>
            </w:pPr>
            <w:r>
              <w:rPr>
                <w:color w:val="000000"/>
                <w:sz w:val="20"/>
              </w:rPr>
              <w:t>1</w:t>
            </w:r>
          </w:p>
          <w:p w:rsidR="002D0124" w:rsidRPr="00A82504" w:rsidRDefault="002D0124">
            <w:pPr>
              <w:autoSpaceDE w:val="0"/>
              <w:autoSpaceDN w:val="0"/>
              <w:adjustRightInd w:val="0"/>
              <w:rPr>
                <w:color w:val="000000"/>
                <w:sz w:val="20"/>
              </w:rPr>
            </w:pPr>
            <w:r>
              <w:rPr>
                <w:color w:val="000000"/>
                <w:sz w:val="20"/>
              </w:rPr>
              <w:t>3</w:t>
            </w:r>
          </w:p>
        </w:tc>
      </w:tr>
      <w:tr w:rsidR="002D0124" w:rsidRPr="00A82504" w:rsidTr="00A8250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D0124" w:rsidRPr="00A82504" w:rsidRDefault="002D0124">
            <w:pPr>
              <w:autoSpaceDE w:val="0"/>
              <w:autoSpaceDN w:val="0"/>
              <w:adjustRightInd w:val="0"/>
              <w:rPr>
                <w:b/>
                <w:bCs/>
                <w:color w:val="000000"/>
                <w:sz w:val="20"/>
              </w:rPr>
            </w:pPr>
            <w:r>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D0124" w:rsidRPr="00A82504" w:rsidRDefault="002D0124">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2D0124" w:rsidRPr="00A82504" w:rsidTr="00A8250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D0124" w:rsidRPr="00A82504" w:rsidRDefault="002D0124">
            <w:pPr>
              <w:autoSpaceDE w:val="0"/>
              <w:autoSpaceDN w:val="0"/>
              <w:adjustRightInd w:val="0"/>
              <w:rPr>
                <w:b/>
                <w:bCs/>
                <w:color w:val="000000"/>
                <w:sz w:val="20"/>
              </w:rPr>
            </w:pPr>
            <w:r>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D0124" w:rsidRPr="00A82504" w:rsidRDefault="002D0124">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2D0124" w:rsidRPr="005F10D8" w:rsidTr="00A8250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D0124" w:rsidRPr="00A82504" w:rsidRDefault="002D0124">
            <w:pPr>
              <w:autoSpaceDE w:val="0"/>
              <w:autoSpaceDN w:val="0"/>
              <w:adjustRightInd w:val="0"/>
              <w:rPr>
                <w:b/>
                <w:bCs/>
                <w:color w:val="000000"/>
                <w:sz w:val="20"/>
              </w:rPr>
            </w:pPr>
            <w:r>
              <w:rPr>
                <w:b/>
                <w:color w:val="000000"/>
                <w:sz w:val="20"/>
              </w:rPr>
              <w:t>Zastępcy (art. 209 ust. 7)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D0124" w:rsidRPr="005F10D8" w:rsidRDefault="002D0124">
            <w:pPr>
              <w:autoSpaceDE w:val="0"/>
              <w:autoSpaceDN w:val="0"/>
              <w:adjustRightInd w:val="0"/>
              <w:rPr>
                <w:color w:val="000000"/>
                <w:sz w:val="20"/>
                <w:lang w:val="pt-PT"/>
              </w:rPr>
            </w:pPr>
            <w:r w:rsidRPr="005F10D8">
              <w:rPr>
                <w:color w:val="000000"/>
                <w:sz w:val="20"/>
                <w:lang w:val="pt-PT"/>
              </w:rPr>
              <w:t>Andrus Ansip, Hildegard Bentele, Maria da Graça Carvalho, Marisa Matias, Caroline Nagtegaal</w:t>
            </w:r>
          </w:p>
        </w:tc>
      </w:tr>
      <w:bookmarkEnd w:id="1"/>
    </w:tbl>
    <w:p w:rsidR="00A82504" w:rsidRPr="005F10D8" w:rsidRDefault="00A82504" w:rsidP="00A82504">
      <w:pPr>
        <w:rPr>
          <w:lang w:val="pt-PT"/>
        </w:rPr>
      </w:pPr>
    </w:p>
    <w:p w:rsidR="00A82504" w:rsidRPr="005F10D8" w:rsidRDefault="00A82504" w:rsidP="00A82504">
      <w:pPr>
        <w:rPr>
          <w:lang w:val="pt-PT"/>
        </w:rPr>
        <w:sectPr w:rsidR="00A82504" w:rsidRPr="005F10D8" w:rsidSect="00A8250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82504" w:rsidRPr="00A82504" w:rsidRDefault="00A82504" w:rsidP="00A82504">
      <w:pPr>
        <w:pStyle w:val="PageHeadingNotTOC"/>
        <w:rPr>
          <w:noProof/>
        </w:rPr>
      </w:pPr>
      <w:bookmarkStart w:id="3" w:name="FootprintPageAD"/>
      <w:r>
        <w:t>ZAŁĄCZNIK: PODMIOTY LUB OSOBY,</w:t>
      </w:r>
      <w:r>
        <w:br/>
        <w:t>OD KTÓRYCH SPRAWOZDAWCA KOMISJI OPINIODAWCZEJ OTRZYMAŁ INFORMACJE</w:t>
      </w:r>
    </w:p>
    <w:p w:rsidR="00A82504" w:rsidRPr="00A82504" w:rsidRDefault="00A82504" w:rsidP="00A82504">
      <w:pPr>
        <w:pStyle w:val="Normal24a"/>
      </w:pPr>
      <w:r>
        <w:rPr>
          <w:rStyle w:val="HideTWBExt"/>
        </w:rPr>
        <w:t>&lt;FootprintIntro&gt;</w:t>
      </w:r>
      <w:r>
        <w:t>Sprawozdawca oświadcza w ramach swojej wyłącznej odpowiedzialności, że nie otrzymał żadnych informacji od podmiotu ani osoby, które należałoby wskazać w tym załączniku zgodnie z art. 8 załącznika I do Regulaminu.</w:t>
      </w:r>
      <w:r>
        <w:rPr>
          <w:rStyle w:val="HideTWBExt"/>
        </w:rPr>
        <w:t>&lt;/FootprintIntro&gt;</w:t>
      </w:r>
    </w:p>
    <w:p w:rsidR="00A82504" w:rsidRPr="00A82504" w:rsidRDefault="00A82504" w:rsidP="00A82504"/>
    <w:p w:rsidR="00A82504" w:rsidRPr="00A82504" w:rsidRDefault="00A82504" w:rsidP="00A82504"/>
    <w:bookmarkEnd w:id="3"/>
    <w:p w:rsidR="00A82504" w:rsidRPr="00A82504" w:rsidRDefault="00A82504" w:rsidP="00A82504">
      <w:pPr>
        <w:sectPr w:rsidR="00A82504" w:rsidRPr="00A82504" w:rsidSect="001B663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82504" w:rsidRPr="00A82504" w:rsidRDefault="00A82504" w:rsidP="00A82504">
      <w:pPr>
        <w:pStyle w:val="PageHeadingNotTOC"/>
      </w:pPr>
      <w:bookmarkStart w:id="4" w:name="RollCallPageAD"/>
      <w:r>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2504" w:rsidRPr="00A82504" w:rsidTr="000840BE">
        <w:trPr>
          <w:cantSplit/>
        </w:trPr>
        <w:tc>
          <w:tcPr>
            <w:tcW w:w="1701" w:type="dxa"/>
            <w:shd w:val="pct10" w:color="000000" w:fill="FFFFFF"/>
            <w:vAlign w:val="center"/>
          </w:tcPr>
          <w:p w:rsidR="00A82504" w:rsidRPr="00A82504" w:rsidRDefault="00A82504" w:rsidP="000840BE">
            <w:pPr>
              <w:pStyle w:val="RollCallVotes"/>
            </w:pPr>
            <w:r>
              <w:t>52</w:t>
            </w:r>
          </w:p>
        </w:tc>
        <w:tc>
          <w:tcPr>
            <w:tcW w:w="7371" w:type="dxa"/>
            <w:shd w:val="pct10" w:color="000000" w:fill="FFFFFF"/>
          </w:tcPr>
          <w:p w:rsidR="00A82504" w:rsidRPr="00A82504" w:rsidRDefault="00A82504" w:rsidP="000840BE">
            <w:pPr>
              <w:pStyle w:val="RollCallSymbols14pt"/>
            </w:pPr>
            <w:r>
              <w:t>+</w:t>
            </w:r>
          </w:p>
        </w:tc>
      </w:tr>
      <w:tr w:rsidR="00A82504" w:rsidRPr="00A82504" w:rsidTr="000840BE">
        <w:trPr>
          <w:cantSplit/>
        </w:trPr>
        <w:tc>
          <w:tcPr>
            <w:tcW w:w="1701" w:type="dxa"/>
            <w:shd w:val="clear" w:color="auto" w:fill="FFFFFF"/>
          </w:tcPr>
          <w:p w:rsidR="00A82504" w:rsidRPr="00A82504" w:rsidRDefault="00A82504" w:rsidP="000840BE">
            <w:pPr>
              <w:pStyle w:val="RollCallTable"/>
            </w:pPr>
            <w:r>
              <w:t>ECR</w:t>
            </w:r>
          </w:p>
        </w:tc>
        <w:tc>
          <w:tcPr>
            <w:tcW w:w="7371" w:type="dxa"/>
            <w:shd w:val="clear" w:color="auto" w:fill="FFFFFF"/>
          </w:tcPr>
          <w:p w:rsidR="00A82504" w:rsidRPr="00A82504" w:rsidRDefault="00A82504" w:rsidP="000840BE">
            <w:pPr>
              <w:pStyle w:val="RollCallTable"/>
            </w:pPr>
            <w:r>
              <w:t>Jorge Buxadé Villalba, Patryk Jaki, Assita Kanko, Beata Kempa, Vincenzo Sofo</w:t>
            </w:r>
          </w:p>
        </w:tc>
      </w:tr>
      <w:tr w:rsidR="00A82504" w:rsidRPr="00A82504" w:rsidTr="000840BE">
        <w:trPr>
          <w:cantSplit/>
        </w:trPr>
        <w:tc>
          <w:tcPr>
            <w:tcW w:w="1701" w:type="dxa"/>
            <w:shd w:val="clear" w:color="auto" w:fill="FFFFFF"/>
          </w:tcPr>
          <w:p w:rsidR="00A82504" w:rsidRPr="00A82504" w:rsidRDefault="00A82504" w:rsidP="000840BE">
            <w:pPr>
              <w:pStyle w:val="RollCallTable"/>
            </w:pPr>
            <w:r>
              <w:t>NI</w:t>
            </w:r>
          </w:p>
        </w:tc>
        <w:tc>
          <w:tcPr>
            <w:tcW w:w="7371" w:type="dxa"/>
            <w:shd w:val="clear" w:color="auto" w:fill="FFFFFF"/>
          </w:tcPr>
          <w:p w:rsidR="00A82504" w:rsidRPr="00A82504" w:rsidRDefault="00A82504" w:rsidP="000840BE">
            <w:pPr>
              <w:pStyle w:val="RollCallTable"/>
            </w:pPr>
            <w:r>
              <w:t>Laura Ferrara</w:t>
            </w:r>
          </w:p>
        </w:tc>
      </w:tr>
      <w:tr w:rsidR="00A82504" w:rsidRPr="00A82504" w:rsidTr="000840BE">
        <w:trPr>
          <w:cantSplit/>
        </w:trPr>
        <w:tc>
          <w:tcPr>
            <w:tcW w:w="1701" w:type="dxa"/>
            <w:shd w:val="clear" w:color="auto" w:fill="FFFFFF"/>
          </w:tcPr>
          <w:p w:rsidR="00A82504" w:rsidRPr="00A82504" w:rsidRDefault="00A82504" w:rsidP="000840BE">
            <w:pPr>
              <w:pStyle w:val="RollCallTable"/>
            </w:pPr>
            <w:r>
              <w:t>PPE</w:t>
            </w:r>
          </w:p>
        </w:tc>
        <w:tc>
          <w:tcPr>
            <w:tcW w:w="7371" w:type="dxa"/>
            <w:shd w:val="clear" w:color="auto" w:fill="FFFFFF"/>
          </w:tcPr>
          <w:p w:rsidR="00A82504" w:rsidRPr="00A82504" w:rsidRDefault="00A82504" w:rsidP="000840BE">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A82504" w:rsidRPr="00A82504" w:rsidTr="000840BE">
        <w:trPr>
          <w:cantSplit/>
        </w:trPr>
        <w:tc>
          <w:tcPr>
            <w:tcW w:w="1701" w:type="dxa"/>
            <w:shd w:val="clear" w:color="auto" w:fill="FFFFFF"/>
          </w:tcPr>
          <w:p w:rsidR="00A82504" w:rsidRPr="00A82504" w:rsidRDefault="00A82504" w:rsidP="000840BE">
            <w:pPr>
              <w:pStyle w:val="RollCallTable"/>
            </w:pPr>
            <w:r>
              <w:t>Renew</w:t>
            </w:r>
          </w:p>
        </w:tc>
        <w:tc>
          <w:tcPr>
            <w:tcW w:w="7371" w:type="dxa"/>
            <w:shd w:val="clear" w:color="auto" w:fill="FFFFFF"/>
          </w:tcPr>
          <w:p w:rsidR="00A82504" w:rsidRPr="00A82504" w:rsidRDefault="00A82504" w:rsidP="000840BE">
            <w:pPr>
              <w:pStyle w:val="RollCallTable"/>
            </w:pPr>
            <w:r>
              <w:t>Abir Al-Sahlani, Andrus Ansip, Lucia Ďuriš Nicholsonová, Sophia in 't Veld, Moritz Körner, Caroline Nagtegaal, Maite Pagazaurtundúa, Bergur Løkke Rasmussen, Róża Thun und Hohenstein, Jana Toom</w:t>
            </w:r>
          </w:p>
        </w:tc>
      </w:tr>
      <w:tr w:rsidR="00A82504" w:rsidRPr="00A82504" w:rsidTr="000840BE">
        <w:trPr>
          <w:cantSplit/>
        </w:trPr>
        <w:tc>
          <w:tcPr>
            <w:tcW w:w="1701" w:type="dxa"/>
            <w:shd w:val="clear" w:color="auto" w:fill="FFFFFF"/>
          </w:tcPr>
          <w:p w:rsidR="00A82504" w:rsidRPr="00A82504" w:rsidRDefault="00A82504" w:rsidP="000840BE">
            <w:pPr>
              <w:pStyle w:val="RollCallTable"/>
            </w:pPr>
            <w:r>
              <w:t>S&amp;D</w:t>
            </w:r>
          </w:p>
        </w:tc>
        <w:tc>
          <w:tcPr>
            <w:tcW w:w="7371" w:type="dxa"/>
            <w:shd w:val="clear" w:color="auto" w:fill="FFFFFF"/>
          </w:tcPr>
          <w:p w:rsidR="00A82504" w:rsidRPr="00A82504" w:rsidRDefault="00A82504" w:rsidP="000840BE">
            <w:pPr>
              <w:pStyle w:val="RollCallTable"/>
            </w:pPr>
            <w:r>
              <w:t>Katarina Barley, Pietro Bartolo, Theresa Bielowski, Cyrus Engerer, Maria Grapini, Sylvie Guillaume, Evin Incir, Marina Kaljurand, Łukasz Kohut, Juan Fernando López Aguilar, Javier Moreno Sánchez, Isabel Santos, Birgit Sippel</w:t>
            </w:r>
          </w:p>
        </w:tc>
      </w:tr>
      <w:tr w:rsidR="00A82504" w:rsidRPr="00A82504" w:rsidTr="000840BE">
        <w:trPr>
          <w:cantSplit/>
        </w:trPr>
        <w:tc>
          <w:tcPr>
            <w:tcW w:w="1701" w:type="dxa"/>
            <w:shd w:val="clear" w:color="auto" w:fill="FFFFFF"/>
          </w:tcPr>
          <w:p w:rsidR="00A82504" w:rsidRPr="00A82504" w:rsidRDefault="00A82504" w:rsidP="000840BE">
            <w:pPr>
              <w:pStyle w:val="RollCallTable"/>
            </w:pPr>
            <w:r>
              <w:t>The Left</w:t>
            </w:r>
          </w:p>
        </w:tc>
        <w:tc>
          <w:tcPr>
            <w:tcW w:w="7371" w:type="dxa"/>
            <w:shd w:val="clear" w:color="auto" w:fill="FFFFFF"/>
          </w:tcPr>
          <w:p w:rsidR="00A82504" w:rsidRPr="00A82504" w:rsidRDefault="00A82504" w:rsidP="000840BE">
            <w:pPr>
              <w:pStyle w:val="RollCallTable"/>
            </w:pPr>
            <w:r>
              <w:t>Cornelia Ernst, José Gusmão, Marisa Matias, Anne-Sophie Pelletier</w:t>
            </w:r>
          </w:p>
        </w:tc>
      </w:tr>
      <w:tr w:rsidR="00A82504" w:rsidRPr="00A82504" w:rsidTr="000840BE">
        <w:trPr>
          <w:cantSplit/>
        </w:trPr>
        <w:tc>
          <w:tcPr>
            <w:tcW w:w="1701" w:type="dxa"/>
            <w:shd w:val="clear" w:color="auto" w:fill="FFFFFF"/>
          </w:tcPr>
          <w:p w:rsidR="00A82504" w:rsidRPr="00A82504" w:rsidRDefault="00A82504" w:rsidP="000840BE">
            <w:pPr>
              <w:pStyle w:val="RollCallTable"/>
            </w:pPr>
            <w:r>
              <w:t>Verts/ALE</w:t>
            </w:r>
          </w:p>
        </w:tc>
        <w:tc>
          <w:tcPr>
            <w:tcW w:w="7371" w:type="dxa"/>
            <w:shd w:val="clear" w:color="auto" w:fill="FFFFFF"/>
          </w:tcPr>
          <w:p w:rsidR="00A82504" w:rsidRPr="00A82504" w:rsidRDefault="00A82504" w:rsidP="000840BE">
            <w:pPr>
              <w:pStyle w:val="RollCallTable"/>
            </w:pPr>
            <w:r>
              <w:t>Patrick Breyer, Saskia Bricmont, Damien Carême, Alice Kuhnke, Erik Marquardt, Diana Riba i Giner, Tineke Strik</w:t>
            </w:r>
          </w:p>
        </w:tc>
      </w:tr>
    </w:tbl>
    <w:p w:rsidR="00A82504" w:rsidRPr="00A82504" w:rsidRDefault="00A82504" w:rsidP="00A8250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2504" w:rsidRPr="00A82504" w:rsidTr="000840BE">
        <w:trPr>
          <w:cantSplit/>
        </w:trPr>
        <w:tc>
          <w:tcPr>
            <w:tcW w:w="1701" w:type="dxa"/>
            <w:shd w:val="pct10" w:color="000000" w:fill="FFFFFF"/>
            <w:vAlign w:val="center"/>
          </w:tcPr>
          <w:p w:rsidR="00A82504" w:rsidRPr="00A82504" w:rsidRDefault="00A82504" w:rsidP="000840BE">
            <w:pPr>
              <w:pStyle w:val="RollCallVotes"/>
            </w:pPr>
            <w:r>
              <w:t>1</w:t>
            </w:r>
          </w:p>
        </w:tc>
        <w:tc>
          <w:tcPr>
            <w:tcW w:w="7371" w:type="dxa"/>
            <w:shd w:val="pct10" w:color="000000" w:fill="FFFFFF"/>
          </w:tcPr>
          <w:p w:rsidR="00A82504" w:rsidRPr="00A82504" w:rsidRDefault="00A82504" w:rsidP="000840BE">
            <w:pPr>
              <w:pStyle w:val="RollCallSymbols14pt"/>
            </w:pPr>
            <w:r>
              <w:t>-</w:t>
            </w:r>
          </w:p>
        </w:tc>
      </w:tr>
      <w:tr w:rsidR="00A82504" w:rsidRPr="00A82504" w:rsidTr="000840BE">
        <w:trPr>
          <w:cantSplit/>
        </w:trPr>
        <w:tc>
          <w:tcPr>
            <w:tcW w:w="1701" w:type="dxa"/>
            <w:shd w:val="clear" w:color="auto" w:fill="FFFFFF"/>
          </w:tcPr>
          <w:p w:rsidR="00A82504" w:rsidRPr="00A82504" w:rsidRDefault="00A82504" w:rsidP="000840BE">
            <w:pPr>
              <w:pStyle w:val="RollCallTable"/>
            </w:pPr>
            <w:r>
              <w:t>NI</w:t>
            </w:r>
          </w:p>
        </w:tc>
        <w:tc>
          <w:tcPr>
            <w:tcW w:w="7371" w:type="dxa"/>
            <w:shd w:val="clear" w:color="auto" w:fill="FFFFFF"/>
          </w:tcPr>
          <w:p w:rsidR="00A82504" w:rsidRPr="00A82504" w:rsidRDefault="00A82504" w:rsidP="000840BE">
            <w:pPr>
              <w:pStyle w:val="RollCallTable"/>
            </w:pPr>
            <w:r>
              <w:t>Milan Uhrík</w:t>
            </w:r>
          </w:p>
        </w:tc>
      </w:tr>
    </w:tbl>
    <w:p w:rsidR="00A82504" w:rsidRPr="00A82504" w:rsidRDefault="00A82504" w:rsidP="00A8250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2504" w:rsidRPr="00A82504" w:rsidTr="000840BE">
        <w:trPr>
          <w:cantSplit/>
        </w:trPr>
        <w:tc>
          <w:tcPr>
            <w:tcW w:w="1701" w:type="dxa"/>
            <w:shd w:val="pct10" w:color="000000" w:fill="FFFFFF"/>
            <w:vAlign w:val="center"/>
          </w:tcPr>
          <w:p w:rsidR="00A82504" w:rsidRPr="00A82504" w:rsidRDefault="00A82504" w:rsidP="000840BE">
            <w:pPr>
              <w:pStyle w:val="RollCallVotes"/>
            </w:pPr>
            <w:r>
              <w:t>3</w:t>
            </w:r>
          </w:p>
        </w:tc>
        <w:tc>
          <w:tcPr>
            <w:tcW w:w="7371" w:type="dxa"/>
            <w:shd w:val="pct10" w:color="000000" w:fill="FFFFFF"/>
          </w:tcPr>
          <w:p w:rsidR="00A82504" w:rsidRPr="00A82504" w:rsidRDefault="00A82504" w:rsidP="000840BE">
            <w:pPr>
              <w:pStyle w:val="RollCallSymbols14pt"/>
            </w:pPr>
            <w:r>
              <w:t>0</w:t>
            </w:r>
          </w:p>
        </w:tc>
      </w:tr>
      <w:tr w:rsidR="00A82504" w:rsidRPr="00A82504" w:rsidTr="000840BE">
        <w:trPr>
          <w:cantSplit/>
        </w:trPr>
        <w:tc>
          <w:tcPr>
            <w:tcW w:w="1701" w:type="dxa"/>
            <w:shd w:val="clear" w:color="auto" w:fill="FFFFFF"/>
          </w:tcPr>
          <w:p w:rsidR="00A82504" w:rsidRPr="00A82504" w:rsidRDefault="00A82504" w:rsidP="000840BE">
            <w:pPr>
              <w:pStyle w:val="RollCallTable"/>
            </w:pPr>
            <w:r>
              <w:t>ID</w:t>
            </w:r>
          </w:p>
        </w:tc>
        <w:tc>
          <w:tcPr>
            <w:tcW w:w="7371" w:type="dxa"/>
            <w:shd w:val="clear" w:color="auto" w:fill="FFFFFF"/>
          </w:tcPr>
          <w:p w:rsidR="00A82504" w:rsidRPr="00A82504" w:rsidRDefault="00A82504" w:rsidP="000840BE">
            <w:pPr>
              <w:pStyle w:val="RollCallTable"/>
            </w:pPr>
            <w:r>
              <w:t>Patricia Chagnon, Nicolaus Fest, Tom Vandendriessche</w:t>
            </w:r>
          </w:p>
        </w:tc>
      </w:tr>
    </w:tbl>
    <w:p w:rsidR="00A82504" w:rsidRPr="00A82504" w:rsidRDefault="00A82504" w:rsidP="00A82504">
      <w:pPr>
        <w:pStyle w:val="Normal12a"/>
      </w:pPr>
    </w:p>
    <w:p w:rsidR="00A82504" w:rsidRPr="00A82504" w:rsidRDefault="00A82504" w:rsidP="00A82504">
      <w:r>
        <w:t>Objaśnienie używanych znaków:</w:t>
      </w:r>
    </w:p>
    <w:p w:rsidR="00A82504" w:rsidRPr="00A82504" w:rsidRDefault="00A82504" w:rsidP="00A82504">
      <w:pPr>
        <w:pStyle w:val="RollCallTabs"/>
      </w:pPr>
      <w:r>
        <w:t>+</w:t>
      </w:r>
      <w:r>
        <w:tab/>
        <w:t>:</w:t>
      </w:r>
      <w:r>
        <w:tab/>
        <w:t>za</w:t>
      </w:r>
    </w:p>
    <w:p w:rsidR="00A82504" w:rsidRPr="00A82504" w:rsidRDefault="00A82504" w:rsidP="00A82504">
      <w:pPr>
        <w:pStyle w:val="RollCallTabs"/>
      </w:pPr>
      <w:r>
        <w:t>-</w:t>
      </w:r>
      <w:r>
        <w:tab/>
        <w:t>:</w:t>
      </w:r>
      <w:r>
        <w:tab/>
        <w:t>przeciw</w:t>
      </w:r>
    </w:p>
    <w:p w:rsidR="00A82504" w:rsidRPr="00A82504" w:rsidRDefault="00A82504" w:rsidP="00A82504">
      <w:pPr>
        <w:pStyle w:val="RollCallTabs"/>
      </w:pPr>
      <w:r>
        <w:t>0</w:t>
      </w:r>
      <w:r>
        <w:tab/>
        <w:t>:</w:t>
      </w:r>
      <w:r>
        <w:tab/>
        <w:t>wstrzymało się</w:t>
      </w:r>
    </w:p>
    <w:p w:rsidR="00A82504" w:rsidRPr="00A82504" w:rsidRDefault="00A82504" w:rsidP="00A82504"/>
    <w:bookmarkEnd w:id="4"/>
    <w:p w:rsidR="00A82504" w:rsidRPr="00A82504" w:rsidRDefault="00A82504" w:rsidP="00A82504"/>
    <w:p w:rsidR="002E6F98" w:rsidRPr="00A82504" w:rsidRDefault="002E6F98" w:rsidP="00A82504"/>
    <w:sectPr w:rsidR="002E6F98" w:rsidRPr="00A82504" w:rsidSect="00A82504">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C8C" w:rsidRPr="00A82504" w:rsidRDefault="007B2C8C">
      <w:r w:rsidRPr="00A82504">
        <w:separator/>
      </w:r>
    </w:p>
  </w:endnote>
  <w:endnote w:type="continuationSeparator" w:id="0">
    <w:p w:rsidR="007B2C8C" w:rsidRPr="00A82504" w:rsidRDefault="007B2C8C">
      <w:r w:rsidRPr="00A825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504" w:rsidRPr="00A82504" w:rsidRDefault="00A82504" w:rsidP="00A82504">
    <w:pPr>
      <w:pStyle w:val="EPFooter"/>
    </w:pPr>
    <w:r w:rsidRPr="00A82504">
      <w:t>PE</w:t>
    </w:r>
    <w:r w:rsidRPr="00A82504">
      <w:rPr>
        <w:rStyle w:val="HideTWBExt"/>
      </w:rPr>
      <w:t>&lt;NoPE&gt;</w:t>
    </w:r>
    <w:r w:rsidRPr="00A82504">
      <w:t>756.194</w:t>
    </w:r>
    <w:r w:rsidRPr="00A82504">
      <w:rPr>
        <w:rStyle w:val="HideTWBExt"/>
      </w:rPr>
      <w:t>&lt;/NoPE&gt;&lt;Version&gt;</w:t>
    </w:r>
    <w:r w:rsidRPr="00A82504">
      <w:t>v03-00</w:t>
    </w:r>
    <w:r w:rsidRPr="00A82504">
      <w:rPr>
        <w:rStyle w:val="HideTWBExt"/>
      </w:rPr>
      <w:t>&lt;/Version&gt;</w:t>
    </w:r>
    <w:r w:rsidRPr="00A82504">
      <w:tab/>
    </w:r>
    <w:r w:rsidRPr="00A82504">
      <w:fldChar w:fldCharType="begin"/>
    </w:r>
    <w:r w:rsidRPr="00A82504">
      <w:instrText xml:space="preserve"> PAGE  \* MERGEFORMAT </w:instrText>
    </w:r>
    <w:r w:rsidRPr="00A82504">
      <w:fldChar w:fldCharType="separate"/>
    </w:r>
    <w:r w:rsidR="005F10D8">
      <w:rPr>
        <w:noProof/>
      </w:rPr>
      <w:t>4</w:t>
    </w:r>
    <w:r w:rsidRPr="00A82504">
      <w:fldChar w:fldCharType="end"/>
    </w:r>
    <w:r w:rsidRPr="00A82504">
      <w:t>/</w:t>
    </w:r>
    <w:r w:rsidR="005F10D8">
      <w:fldChar w:fldCharType="begin"/>
    </w:r>
    <w:r w:rsidR="005F10D8">
      <w:instrText xml:space="preserve"> NUMPAGES  \* MERGEF</w:instrText>
    </w:r>
    <w:r w:rsidR="005F10D8">
      <w:instrText xml:space="preserve">ORMAT </w:instrText>
    </w:r>
    <w:r w:rsidR="005F10D8">
      <w:fldChar w:fldCharType="separate"/>
    </w:r>
    <w:r w:rsidR="005F10D8">
      <w:rPr>
        <w:noProof/>
      </w:rPr>
      <w:t>7</w:t>
    </w:r>
    <w:r w:rsidR="005F10D8">
      <w:rPr>
        <w:noProof/>
      </w:rPr>
      <w:fldChar w:fldCharType="end"/>
    </w:r>
    <w:r w:rsidRPr="00A82504">
      <w:tab/>
    </w:r>
    <w:r w:rsidRPr="00A82504">
      <w:rPr>
        <w:rStyle w:val="HideTWBExt"/>
      </w:rPr>
      <w:t>&lt;PathFdR&gt;</w:t>
    </w:r>
    <w:r w:rsidRPr="00A82504">
      <w:t>AD\1295226PL.docx</w:t>
    </w:r>
    <w:r w:rsidRPr="00A82504">
      <w:rPr>
        <w:rStyle w:val="HideTWBExt"/>
      </w:rPr>
      <w:t>&lt;/PathFdR&gt;</w:t>
    </w:r>
  </w:p>
  <w:p w:rsidR="00A82504" w:rsidRPr="00A82504" w:rsidRDefault="00A82504" w:rsidP="00A82504">
    <w:pPr>
      <w:pStyle w:val="EPFooter2"/>
    </w:pPr>
    <w:r w:rsidRPr="00A82504">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504" w:rsidRPr="00A82504" w:rsidRDefault="00A82504" w:rsidP="00A82504">
    <w:pPr>
      <w:pStyle w:val="EPFooter"/>
    </w:pPr>
    <w:r w:rsidRPr="00A82504">
      <w:rPr>
        <w:rStyle w:val="HideTWBExt"/>
      </w:rPr>
      <w:t>&lt;PathFdR&gt;</w:t>
    </w:r>
    <w:r w:rsidRPr="00A82504">
      <w:t>AD\1295226PL.docx</w:t>
    </w:r>
    <w:r w:rsidRPr="00A82504">
      <w:rPr>
        <w:rStyle w:val="HideTWBExt"/>
      </w:rPr>
      <w:t>&lt;/PathFdR&gt;</w:t>
    </w:r>
    <w:r w:rsidRPr="00A82504">
      <w:tab/>
    </w:r>
    <w:r w:rsidRPr="00A82504">
      <w:fldChar w:fldCharType="begin"/>
    </w:r>
    <w:r w:rsidRPr="00A82504">
      <w:instrText xml:space="preserve"> PAGE  \* MERGEFORMAT </w:instrText>
    </w:r>
    <w:r w:rsidRPr="00A82504">
      <w:fldChar w:fldCharType="separate"/>
    </w:r>
    <w:r w:rsidR="005F10D8">
      <w:rPr>
        <w:noProof/>
      </w:rPr>
      <w:t>3</w:t>
    </w:r>
    <w:r w:rsidRPr="00A82504">
      <w:fldChar w:fldCharType="end"/>
    </w:r>
    <w:r w:rsidRPr="00A82504">
      <w:t>/</w:t>
    </w:r>
    <w:r w:rsidR="005F10D8">
      <w:fldChar w:fldCharType="begin"/>
    </w:r>
    <w:r w:rsidR="005F10D8">
      <w:instrText xml:space="preserve"> NUMPAGES  \* MERGEFORMAT </w:instrText>
    </w:r>
    <w:r w:rsidR="005F10D8">
      <w:fldChar w:fldCharType="separate"/>
    </w:r>
    <w:r w:rsidR="005F10D8">
      <w:rPr>
        <w:noProof/>
      </w:rPr>
      <w:t>7</w:t>
    </w:r>
    <w:r w:rsidR="005F10D8">
      <w:rPr>
        <w:noProof/>
      </w:rPr>
      <w:fldChar w:fldCharType="end"/>
    </w:r>
    <w:r w:rsidRPr="00A82504">
      <w:tab/>
      <w:t>PE</w:t>
    </w:r>
    <w:r w:rsidRPr="00A82504">
      <w:rPr>
        <w:rStyle w:val="HideTWBExt"/>
      </w:rPr>
      <w:t>&lt;NoPE&gt;</w:t>
    </w:r>
    <w:r w:rsidRPr="00A82504">
      <w:t>756.194</w:t>
    </w:r>
    <w:r w:rsidRPr="00A82504">
      <w:rPr>
        <w:rStyle w:val="HideTWBExt"/>
      </w:rPr>
      <w:t>&lt;/NoPE&gt;&lt;Version&gt;</w:t>
    </w:r>
    <w:r w:rsidRPr="00A82504">
      <w:t>v03-00</w:t>
    </w:r>
    <w:r w:rsidRPr="00A82504">
      <w:rPr>
        <w:rStyle w:val="HideTWBExt"/>
      </w:rPr>
      <w:t>&lt;/Version&gt;</w:t>
    </w:r>
  </w:p>
  <w:p w:rsidR="00A82504" w:rsidRPr="00A82504" w:rsidRDefault="00A82504" w:rsidP="00A82504">
    <w:pPr>
      <w:pStyle w:val="EPFooter2"/>
    </w:pPr>
    <w:r w:rsidRPr="00A82504">
      <w:tab/>
    </w:r>
    <w:r w:rsidRPr="00A82504">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504" w:rsidRPr="00A82504" w:rsidRDefault="00A82504" w:rsidP="00A82504">
    <w:pPr>
      <w:pStyle w:val="EPFooter"/>
    </w:pPr>
    <w:r w:rsidRPr="00A82504">
      <w:rPr>
        <w:rStyle w:val="HideTWBExt"/>
      </w:rPr>
      <w:t>&lt;PathFdR&gt;</w:t>
    </w:r>
    <w:r w:rsidRPr="00A82504">
      <w:t>AD\1295226PL.docx</w:t>
    </w:r>
    <w:r w:rsidRPr="00A82504">
      <w:rPr>
        <w:rStyle w:val="HideTWBExt"/>
      </w:rPr>
      <w:t>&lt;/PathFdR&gt;</w:t>
    </w:r>
    <w:r w:rsidRPr="00A82504">
      <w:tab/>
    </w:r>
    <w:r w:rsidRPr="00A82504">
      <w:tab/>
      <w:t>PE</w:t>
    </w:r>
    <w:r w:rsidRPr="00A82504">
      <w:rPr>
        <w:rStyle w:val="HideTWBExt"/>
      </w:rPr>
      <w:t>&lt;NoPE&gt;</w:t>
    </w:r>
    <w:r w:rsidRPr="00A82504">
      <w:t>756.194</w:t>
    </w:r>
    <w:r w:rsidRPr="00A82504">
      <w:rPr>
        <w:rStyle w:val="HideTWBExt"/>
      </w:rPr>
      <w:t>&lt;/NoPE&gt;&lt;Version&gt;</w:t>
    </w:r>
    <w:r w:rsidRPr="00A82504">
      <w:t>v03-00</w:t>
    </w:r>
    <w:r w:rsidRPr="00A82504">
      <w:rPr>
        <w:rStyle w:val="HideTWBExt"/>
      </w:rPr>
      <w:t>&lt;/Version&gt;</w:t>
    </w:r>
  </w:p>
  <w:p w:rsidR="00A82504" w:rsidRPr="00A82504" w:rsidRDefault="00A82504" w:rsidP="00A82504">
    <w:pPr>
      <w:pStyle w:val="EPFooter2"/>
    </w:pPr>
    <w:r w:rsidRPr="00A82504">
      <w:t>PL</w:t>
    </w:r>
    <w:r w:rsidRPr="00A82504">
      <w:tab/>
    </w:r>
    <w:r w:rsidRPr="00A82504">
      <w:rPr>
        <w:b w:val="0"/>
        <w:i/>
        <w:color w:val="C0C0C0"/>
        <w:sz w:val="22"/>
      </w:rPr>
      <w:t>Zjednoczona w różnorodności</w:t>
    </w:r>
    <w:r w:rsidRPr="00A82504">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124" w:rsidRPr="00A82504" w:rsidRDefault="002D0124" w:rsidP="002D0124">
    <w:pPr>
      <w:pStyle w:val="EPFooter"/>
    </w:pPr>
    <w:r w:rsidRPr="00A82504">
      <w:rPr>
        <w:rStyle w:val="HideTWBExt"/>
      </w:rPr>
      <w:t>&lt;PathFdR&gt;</w:t>
    </w:r>
    <w:r w:rsidRPr="00A82504">
      <w:t>AD\1295226PL.docx</w:t>
    </w:r>
    <w:r w:rsidRPr="00A82504">
      <w:rPr>
        <w:rStyle w:val="HideTWBExt"/>
      </w:rPr>
      <w:t>&lt;/PathFdR&gt;</w:t>
    </w:r>
    <w:r w:rsidRPr="00A82504">
      <w:tab/>
    </w:r>
    <w:r w:rsidRPr="00A82504">
      <w:tab/>
      <w:t>PE</w:t>
    </w:r>
    <w:r w:rsidRPr="00A82504">
      <w:rPr>
        <w:rStyle w:val="HideTWBExt"/>
      </w:rPr>
      <w:t>&lt;NoPE&gt;</w:t>
    </w:r>
    <w:r w:rsidRPr="00A82504">
      <w:t>756.194</w:t>
    </w:r>
    <w:r w:rsidRPr="00A82504">
      <w:rPr>
        <w:rStyle w:val="HideTWBExt"/>
      </w:rPr>
      <w:t>&lt;/NoPE&gt;&lt;Version&gt;</w:t>
    </w:r>
    <w:r w:rsidRPr="00A82504">
      <w:t>v02-00</w:t>
    </w:r>
    <w:r w:rsidRPr="00A82504">
      <w:rPr>
        <w:rStyle w:val="HideTWBExt"/>
      </w:rPr>
      <w:t>&lt;/Version&gt;</w:t>
    </w:r>
  </w:p>
  <w:p w:rsidR="002E2F2E" w:rsidRPr="00A82504" w:rsidRDefault="002D0124" w:rsidP="002D0124">
    <w:pPr>
      <w:pStyle w:val="EPFooter2"/>
    </w:pPr>
    <w:r w:rsidRPr="00A82504">
      <w:t>PL</w:t>
    </w:r>
    <w:r w:rsidRPr="00A82504">
      <w:tab/>
    </w:r>
    <w:r w:rsidRPr="00A82504">
      <w:rPr>
        <w:b w:val="0"/>
        <w:i/>
        <w:color w:val="C0C0C0"/>
        <w:sz w:val="22"/>
      </w:rPr>
      <w:t>Zjednoczona w różnorodności</w:t>
    </w:r>
    <w:r w:rsidRPr="00A82504">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C8C" w:rsidRPr="00A82504" w:rsidRDefault="007B2C8C">
      <w:r w:rsidRPr="00A82504">
        <w:separator/>
      </w:r>
    </w:p>
  </w:footnote>
  <w:footnote w:type="continuationSeparator" w:id="0">
    <w:p w:rsidR="007B2C8C" w:rsidRPr="00A82504" w:rsidRDefault="007B2C8C">
      <w:r w:rsidRPr="00A825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8D7" w:rsidRDefault="00FC78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8D7" w:rsidRDefault="00FC78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8D7" w:rsidRDefault="00FC78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D38" w:rsidRDefault="00C82D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D38" w:rsidRDefault="00C82D3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D38" w:rsidRDefault="00C82D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CJMNU" w:val="1"/>
    <w:docVar w:name="CODEMNU" w:val=" 7"/>
    <w:docVar w:name="COM2KEY" w:val="CONT"/>
    <w:docVar w:name="COMKEY" w:val="LIBE"/>
    <w:docVar w:name="LastEditedSection" w:val=" 1"/>
    <w:docVar w:name="RepeatBlock-AmendEN" w:val="{\rtf1\adeflang1025\ansi\ansicpg1250\uc1\adeff0\deff0\stshfdbch0\stshfloch0\stshfhich0\stshfbi0\deflang1045\deflangfe1045\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44405 HideTWBInt;}{_x000d__x000a_\s18\ql \fi-567\li567\ri0\sa240\nowidctlpar\wrapdefault\aspalpha\aspnum\faauto\adjustright\rin0\lin567\itap0 \rtlch\fcs1 \af0\afs20\alang1025 \ltrch\fcs0 \fs24\lang2057\langfe2057\cgrid\langnp2057\langfenp2057 _x000d__x000a_\sbasedon0 \snext18 \spriority0 \styrsid944405 NormalHanging12a;}}{\*\rsidtbl \rsid24658\rsid223860\rsid735077\rsid944405\rsid1718133\rsid2892074\rsid3565327\rsid4666813\rsid6641733\rsid7823322\rsid9636012\rsid10377208\rsid10951191\rsid11215221_x000d__x000a_\rsid11549030\rsid12154954\rsid14382809\rsid14424199\rsid15204470\rsid15285974\rsid15950462\rsid16324206\rsid16662270}{\mmathPr\mmathFont34\mbrkBin0\mbrkBinSub0\msmallFrac0\mdispDef1\mlMargin0\mrMargin0\mdefJc1\mwrapIndent1440\mintLim0\mnaryLim1}{\info_x000d__x000a_{\author WOJCIECHOWSKA Joanna}{\operator WOJCIECHOWSKA Joanna}{\creatim\yr2024\mo1\dy31\hr14\min48}{\revtim\yr2024\mo1\dy31\hr14\min48}{\version1}{\edmins0}{\nofpages1}{\nofwords1}{\nofchars12}{\nofcharsws12}{\vern109}}{\*\xmlnstbl {\xmlns1 http://schemas_x000d__x000a_.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44405\newtblstyruls\nogrowautofit\usenormstyforlist\noindnmbrts\felnbrelev\nocxsptable\indrlsweleven\noafcnsttbl\afelev\utinl\hwelev\spltpgpar\notcvasp\notbrkcnstfrctbl\notvatxbx\krnprsnet\cachedcolbal \nouicompat \fet0_x000d__x000a_{\*\wgrffmtfilter 013f}\nofeaturethrottle1\ilfomacatclnup0{\*\template C:\\Users\\JWOJCI~1\\AppData\\Local\\Temp\\Blank1.dotx}{\*\ftnsep \ltrpar \pard\plain \ltrpar\ql \li0\ri0\widctlpar\wrapdefault\aspalpha\aspnum\faauto\adjustright\rin0\lin0\itap0 _x000d__x000a_\rtlch\fcs1 \af0\afs20\alang1025 \ltrch\fcs0 \fs24\lang2057\langfe2057\cgrid\langnp2057\langfenp2057 {\rtlch\fcs1 \af0 \ltrch\fcs0 \insrsid10951191 \chftnsep _x000d__x000a_\par }}{\*\ftnsepc \ltrpar \pard\plain \ltrpar\ql \li0\ri0\widctlpar\wrapdefault\aspalpha\aspnum\faauto\adjustright\rin0\lin0\itap0 \rtlch\fcs1 \af0\afs20\alang1025 \ltrch\fcs0 \fs24\lang2057\langfe2057\cgrid\langnp2057\langfenp2057 {\rtlch\fcs1 \af0 _x000d__x000a_\ltrch\fcs0 \insrsid10951191 \chftnsepc _x000d__x000a_\par }}{\*\aftnsep \ltrpar \pard\plain \ltrpar\ql \li0\ri0\widctlpar\wrapdefault\aspalpha\aspnum\faauto\adjustright\rin0\lin0\itap0 \rtlch\fcs1 \af0\afs20\alang1025 \ltrch\fcs0 \fs24\lang2057\langfe2057\cgrid\langnp2057\langfenp2057 {\rtlch\fcs1 \af0 _x000d__x000a_\ltrch\fcs0 \insrsid10951191 \chftnsep _x000d__x000a_\par }}{\*\aftnsepc \ltrpar \pard\plain \ltrpar\ql \li0\ri0\widctlpar\wrapdefault\aspalpha\aspnum\faauto\adjustright\rin0\lin0\itap0 \rtlch\fcs1 \af0\afs20\alang1025 \ltrch\fcs0 \fs24\lang2057\langfe2057\cgrid\langnp2057\langfenp2057 {\rtlch\fcs1 \af0 _x000d__x000a_\ltrch\fcs0 \insrsid109511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944405 \rtlch\fcs1 \af0\afs20\alang1025 \ltrch\fcs0 \fs24\lang2057\langfe2057\cgrid\langnp2057\langfenp2057 {\rtlch\fcs1 \af0 \ltrch\fcs0 _x000d__x000a_\insrsid944405\charrsid13044652 {\*\bkmkstart restart}#}{\rtlch\fcs1 \af1 \ltrch\fcs0 \cs17\v\f1\fs20\cf15\insrsid944405\charrsid13044652 NRMSG}{\rtlch\fcs1 \af0 \ltrch\fcs0 \insrsid944405\charrsid13044652 #.\tab ##}{\rtlch\fcs1 \af0 \ltrch\fcs0 _x000d__x000a_\insrsid94440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2_x000d__x000a_603c4c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0\uc1\adeff0\deff0\stshfdbch0\stshfloch0\stshfhich0\stshfbi0\deflang1045\deflangfe1045\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6470793 NormalHanging12a;}}{\*\rsidtbl \rsid24658\rsid223860\rsid735077\rsid1718133\rsid2892074\rsid3565327\rsid4666813\rsid6641733\rsid7823322\rsid9636012_x000d__x000a_\rsid10377208\rsid11215221\rsid11471012\rsid11549030\rsid12154954\rsid14382809\rsid14424199\rsid15204470\rsid15285974\rsid15950462\rsid16324206\rsid16470793\rsid16662270}{\mmathPr\mmathFont34\mbrkBin0\mbrkBinSub0\msmallFrac0\mdispDef1\mlMargin0\mrMargin0_x000d__x000a_\mdefJc1\mwrapIndent1440\mintLim0\mnaryLim1}{\info{\author WOJCIECHOWSKA Joanna}{\operator WOJCIECHOWSKA Joanna}{\creatim\yr2024\mo1\dy31\hr14\min49}{\revtim\yr2024\mo1\dy31\hr14\min49}{\version1}{\edmins0}{\nofpages1}{\nofwords5}{\nofchars30}_x000d__x000a_{\nofcharsws34}{\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70793\newtblstyruls\nogrowautofit\usenormstyforlist\noindnmbrts\felnbrelev\nocxsptable\indrlsweleven\noafcnsttbl\afelev\utinl\hwelev\spltpgpar\notcvasp\notbrkcnstfrctbl\notvatxbx\krnprsnet\cachedcolbal _x000d__x000a_\nouicompat \fet0{\*\wgrffmtfilter 013f}\nofeaturethrottle1\ilfomacatclnup0{\*\template C:\\Users\\JWOJCI~1\\AppData\\Local\\Temp\\Blank1.dotx}{\*\ftnsep \ltrpar \pard\plain \ltrpar_x000d__x000a_\ql \li0\ri0\widctlpar\wrapdefault\aspalpha\aspnum\faauto\adjustright\rin0\lin0\itap0 \rtlch\fcs1 \af0\afs20\alang1025 \ltrch\fcs0 \fs24\lang2057\langfe2057\cgrid\langnp2057\langfenp2057 {\rtlch\fcs1 \af0 \ltrch\fcs0 \insrsid11471012 \chftnsep _x000d__x000a_\par }}{\*\ftnsepc \ltrpar \pard\plain \ltrpar\ql \li0\ri0\widctlpar\wrapdefault\aspalpha\aspnum\faauto\adjustright\rin0\lin0\itap0 \rtlch\fcs1 \af0\afs20\alang1025 \ltrch\fcs0 \fs24\lang2057\langfe2057\cgrid\langnp2057\langfenp2057 {\rtlch\fcs1 \af0 _x000d__x000a_\ltrch\fcs0 \insrsid11471012 \chftnsepc _x000d__x000a_\par }}{\*\aftnsep \ltrpar \pard\plain \ltrpar\ql \li0\ri0\widctlpar\wrapdefault\aspalpha\aspnum\faauto\adjustright\rin0\lin0\itap0 \rtlch\fcs1 \af0\afs20\alang1025 \ltrch\fcs0 \fs24\lang2057\langfe2057\cgrid\langnp2057\langfenp2057 {\rtlch\fcs1 \af0 _x000d__x000a_\ltrch\fcs0 \insrsid11471012 \chftnsep _x000d__x000a_\par }}{\*\aftnsepc \ltrpar \pard\plain \ltrpar\ql \li0\ri0\widctlpar\wrapdefault\aspalpha\aspnum\faauto\adjustright\rin0\lin0\itap0 \rtlch\fcs1 \af0\afs20\alang1025 \ltrch\fcs0 \fs24\lang2057\langfe2057\cgrid\langnp2057\langfenp2057 {\rtlch\fcs1 \af0 _x000d__x000a_\ltrch\fcs0 \insrsid114710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6470793 \rtlch\fcs1 \af0\afs20\alang1025 \ltrch\fcs0 \fs24\lang2057\langfe2057\cgrid\langnp2057\langfenp2057 {\rtlch\fcs1 \af0 _x000d__x000a_\ltrch\fcs0 \insrsid16470793\charrsid1525456 {\*\bkmkstart restart}[ZSUGGESTIONNR]\tab [ZSUGGESTIONTEXT]}{\rtlch\fcs1 \af0 \ltrch\fcs0 \insrsid1647079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44_x000d__x000a_653f4c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PL"/>
    <w:docVar w:name="TXTLANGUEMIN" w:val="pl"/>
    <w:docVar w:name="TXTNRPE" w:val="756.194"/>
    <w:docVar w:name="TXTNRPROC" w:val="2023/2157"/>
    <w:docVar w:name="TXTPEorAP" w:val="PE"/>
    <w:docVar w:name="TXTROUTE" w:val="AD\1295226PL.docx"/>
    <w:docVar w:name="TXTTITLE" w:val="of the European Monitoring Centre for Drugs and Drug Addiction for the financial year 2022"/>
    <w:docVar w:name="TXTVERSION" w:val="03-00"/>
  </w:docVars>
  <w:rsids>
    <w:rsidRoot w:val="007B2C8C"/>
    <w:rsid w:val="000E7EBF"/>
    <w:rsid w:val="00124F60"/>
    <w:rsid w:val="00135121"/>
    <w:rsid w:val="00140BE6"/>
    <w:rsid w:val="00147F4E"/>
    <w:rsid w:val="0016635E"/>
    <w:rsid w:val="001746D0"/>
    <w:rsid w:val="001B7393"/>
    <w:rsid w:val="001D2ED9"/>
    <w:rsid w:val="001D4AB6"/>
    <w:rsid w:val="001F21C1"/>
    <w:rsid w:val="002D0124"/>
    <w:rsid w:val="002D28A7"/>
    <w:rsid w:val="002E2F2E"/>
    <w:rsid w:val="002E6F98"/>
    <w:rsid w:val="00325BCB"/>
    <w:rsid w:val="00331944"/>
    <w:rsid w:val="00332AD9"/>
    <w:rsid w:val="00347D2C"/>
    <w:rsid w:val="0037356F"/>
    <w:rsid w:val="00390EB2"/>
    <w:rsid w:val="00396A0E"/>
    <w:rsid w:val="003E2402"/>
    <w:rsid w:val="004C28FB"/>
    <w:rsid w:val="004C44C0"/>
    <w:rsid w:val="0052544E"/>
    <w:rsid w:val="00555018"/>
    <w:rsid w:val="005940C3"/>
    <w:rsid w:val="00594C48"/>
    <w:rsid w:val="005B2F11"/>
    <w:rsid w:val="005C0BDF"/>
    <w:rsid w:val="005D60C6"/>
    <w:rsid w:val="005F10D8"/>
    <w:rsid w:val="006102E7"/>
    <w:rsid w:val="00640C1B"/>
    <w:rsid w:val="00657AFB"/>
    <w:rsid w:val="006D5BF7"/>
    <w:rsid w:val="0075090E"/>
    <w:rsid w:val="007B2C8C"/>
    <w:rsid w:val="008313E7"/>
    <w:rsid w:val="00854CAC"/>
    <w:rsid w:val="008A32C5"/>
    <w:rsid w:val="008C6203"/>
    <w:rsid w:val="008D61E7"/>
    <w:rsid w:val="008E3C1B"/>
    <w:rsid w:val="008F7002"/>
    <w:rsid w:val="0099493F"/>
    <w:rsid w:val="009A599A"/>
    <w:rsid w:val="00A16BEA"/>
    <w:rsid w:val="00A312B3"/>
    <w:rsid w:val="00A72C35"/>
    <w:rsid w:val="00A82504"/>
    <w:rsid w:val="00A82ACC"/>
    <w:rsid w:val="00AE180F"/>
    <w:rsid w:val="00B362F7"/>
    <w:rsid w:val="00B5456B"/>
    <w:rsid w:val="00B74B53"/>
    <w:rsid w:val="00BC26E4"/>
    <w:rsid w:val="00BD1EAA"/>
    <w:rsid w:val="00C52739"/>
    <w:rsid w:val="00C827FF"/>
    <w:rsid w:val="00C82D38"/>
    <w:rsid w:val="00CD34AC"/>
    <w:rsid w:val="00DE19FF"/>
    <w:rsid w:val="00E81BA6"/>
    <w:rsid w:val="00E856D2"/>
    <w:rsid w:val="00E929A7"/>
    <w:rsid w:val="00FC6460"/>
    <w:rsid w:val="00FC78D7"/>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chartTrackingRefBased/>
  <w15:docId w15:val="{D436321D-570A-4C05-B34D-38A82ADB1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8E3C1B"/>
    <w:rPr>
      <w:vertAlign w:val="superscript"/>
    </w:rPr>
  </w:style>
  <w:style w:type="paragraph" w:styleId="Footer">
    <w:name w:val="footer"/>
    <w:basedOn w:val="Normal"/>
    <w:link w:val="FooterChar"/>
    <w:semiHidden/>
    <w:rsid w:val="008E3C1B"/>
    <w:pPr>
      <w:tabs>
        <w:tab w:val="center" w:pos="4513"/>
        <w:tab w:val="right" w:pos="9026"/>
      </w:tabs>
    </w:pPr>
  </w:style>
  <w:style w:type="character" w:customStyle="1" w:styleId="FooterChar">
    <w:name w:val="Footer Char"/>
    <w:basedOn w:val="DefaultParagraphFont"/>
    <w:link w:val="Footer"/>
    <w:semiHidden/>
    <w:rsid w:val="008E3C1B"/>
    <w:rPr>
      <w:sz w:val="24"/>
    </w:rPr>
  </w:style>
  <w:style w:type="paragraph" w:customStyle="1" w:styleId="RollCallSymbols14pt">
    <w:name w:val="RollCallSymbols14pt"/>
    <w:basedOn w:val="Normal"/>
    <w:rsid w:val="00A8250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82504"/>
    <w:pPr>
      <w:tabs>
        <w:tab w:val="center" w:pos="284"/>
        <w:tab w:val="left" w:pos="426"/>
      </w:tabs>
    </w:pPr>
    <w:rPr>
      <w:snapToGrid w:val="0"/>
      <w:lang w:eastAsia="en-US"/>
    </w:rPr>
  </w:style>
  <w:style w:type="paragraph" w:customStyle="1" w:styleId="RollCallVotes">
    <w:name w:val="RollCallVotes"/>
    <w:basedOn w:val="Normal"/>
    <w:rsid w:val="00A82504"/>
    <w:pPr>
      <w:spacing w:before="120" w:after="120"/>
      <w:jc w:val="center"/>
    </w:pPr>
    <w:rPr>
      <w:b/>
      <w:bCs/>
      <w:snapToGrid w:val="0"/>
      <w:sz w:val="16"/>
      <w:lang w:eastAsia="en-US"/>
    </w:rPr>
  </w:style>
  <w:style w:type="paragraph" w:customStyle="1" w:styleId="RollCallTable">
    <w:name w:val="RollCallTable"/>
    <w:basedOn w:val="Normal"/>
    <w:rsid w:val="00A82504"/>
    <w:pPr>
      <w:spacing w:before="120" w:after="120"/>
    </w:pPr>
    <w:rPr>
      <w:snapToGrid w:val="0"/>
      <w:sz w:val="16"/>
      <w:lang w:eastAsia="en-US"/>
    </w:rPr>
  </w:style>
  <w:style w:type="paragraph" w:customStyle="1" w:styleId="Normal24a">
    <w:name w:val="Normal24a"/>
    <w:basedOn w:val="Normal"/>
    <w:rsid w:val="00A82504"/>
    <w:pPr>
      <w:spacing w:after="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9953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1088</Words>
  <Characters>7654</Characters>
  <Application>Microsoft Office Word</Application>
  <DocSecurity>0</DocSecurity>
  <Lines>206</Lines>
  <Paragraphs>106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2024-02-08T13:51:00Z</dcterms:created>
  <dcterms:modified xsi:type="dcterms:W3CDTF">2024-02-08T13:51:00Z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9.16.1 Build [20230920]</vt:lpwstr>
  </property>
  <property fmtid="{D5CDD505-2E9C-101B-9397-08002B2CF9AE}" pid="4" name="LastEdited with">
    <vt:lpwstr>9.17.1 Build [20240111]</vt:lpwstr>
  </property>
  <property fmtid="{D5CDD505-2E9C-101B-9397-08002B2CF9AE}" pid="5" name="&lt;FdR&gt;">
    <vt:lpwstr>1295226</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AD\1295226PL.docx</vt:lpwstr>
  </property>
  <property fmtid="{D5CDD505-2E9C-101B-9397-08002B2CF9AE}" pid="11" name="PE number">
    <vt:lpwstr>756.194</vt:lpwstr>
  </property>
  <property fmtid="{D5CDD505-2E9C-101B-9397-08002B2CF9AE}" pid="12" name="SendToEpades">
    <vt:lpwstr>OK - 2023/11/20 18:38</vt:lpwstr>
  </property>
  <property fmtid="{D5CDD505-2E9C-101B-9397-08002B2CF9AE}" pid="13" name="SDLStudio">
    <vt:lpwstr/>
  </property>
  <property fmtid="{D5CDD505-2E9C-101B-9397-08002B2CF9AE}" pid="14" name="Bookout">
    <vt:lpwstr>OK - 2024/01/31 14:52</vt:lpwstr>
  </property>
</Properties>
</file>