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79556C" w:rsidTr="00C85D0F">
        <w:trPr>
          <w:trHeight w:hRule="exact" w:val="1418"/>
        </w:trPr>
        <w:tc>
          <w:tcPr>
            <w:tcW w:w="6804" w:type="dxa"/>
            <w:shd w:val="clear" w:color="auto" w:fill="auto"/>
            <w:vAlign w:val="center"/>
          </w:tcPr>
          <w:p w:rsidR="00854CAC" w:rsidRPr="0079556C" w:rsidRDefault="007B2C8C" w:rsidP="00C85D0F">
            <w:pPr>
              <w:pStyle w:val="EPName"/>
            </w:pPr>
            <w:r w:rsidRPr="0079556C">
              <w:t>Parlamento Europeu</w:t>
            </w:r>
          </w:p>
          <w:p w:rsidR="00854CAC" w:rsidRPr="0079556C" w:rsidRDefault="008E3C1B" w:rsidP="008E3C1B">
            <w:pPr>
              <w:pStyle w:val="EPTerm"/>
            </w:pPr>
            <w:r w:rsidRPr="0079556C">
              <w:t>2019-2024</w:t>
            </w:r>
          </w:p>
        </w:tc>
        <w:tc>
          <w:tcPr>
            <w:tcW w:w="2268" w:type="dxa"/>
            <w:shd w:val="clear" w:color="auto" w:fill="auto"/>
          </w:tcPr>
          <w:p w:rsidR="00854CAC" w:rsidRPr="0079556C" w:rsidRDefault="00854CAC" w:rsidP="00C85D0F">
            <w:pPr>
              <w:pStyle w:val="EPLogo"/>
            </w:pPr>
            <w:r w:rsidRPr="0079556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79556C" w:rsidRDefault="001746D0" w:rsidP="001746D0">
      <w:pPr>
        <w:pStyle w:val="LineTop"/>
      </w:pPr>
    </w:p>
    <w:p w:rsidR="001746D0" w:rsidRPr="0079556C" w:rsidRDefault="001746D0" w:rsidP="001746D0">
      <w:pPr>
        <w:pStyle w:val="EPBody"/>
      </w:pPr>
      <w:r w:rsidRPr="0079556C">
        <w:rPr>
          <w:rStyle w:val="HideTWBExt"/>
        </w:rPr>
        <w:t>&lt;</w:t>
      </w:r>
      <w:r w:rsidRPr="0079556C">
        <w:rPr>
          <w:rStyle w:val="HideTWBExt"/>
          <w:i w:val="0"/>
        </w:rPr>
        <w:t>Commission</w:t>
      </w:r>
      <w:r w:rsidRPr="0079556C">
        <w:rPr>
          <w:rStyle w:val="HideTWBExt"/>
        </w:rPr>
        <w:t>&gt;</w:t>
      </w:r>
      <w:r w:rsidRPr="0079556C">
        <w:rPr>
          <w:rStyle w:val="HideTWBInt"/>
        </w:rPr>
        <w:t>{LIBE}</w:t>
      </w:r>
      <w:r w:rsidRPr="0079556C">
        <w:t>Comissão das Liberdades Cívicas, da Justiça e dos Assuntos Internos</w:t>
      </w:r>
      <w:r w:rsidRPr="0079556C">
        <w:rPr>
          <w:rStyle w:val="HideTWBExt"/>
        </w:rPr>
        <w:t>&lt;/</w:t>
      </w:r>
      <w:r w:rsidRPr="0079556C">
        <w:rPr>
          <w:rStyle w:val="HideTWBExt"/>
          <w:i w:val="0"/>
        </w:rPr>
        <w:t>Commission</w:t>
      </w:r>
      <w:r w:rsidRPr="0079556C">
        <w:rPr>
          <w:rStyle w:val="HideTWBExt"/>
        </w:rPr>
        <w:t>&gt;</w:t>
      </w:r>
    </w:p>
    <w:p w:rsidR="001746D0" w:rsidRPr="0079556C" w:rsidRDefault="001746D0" w:rsidP="001746D0">
      <w:pPr>
        <w:pStyle w:val="LineBottom"/>
      </w:pPr>
    </w:p>
    <w:p w:rsidR="002E2F2E" w:rsidRPr="0079556C" w:rsidRDefault="002E2F2E">
      <w:pPr>
        <w:pStyle w:val="CoverReference"/>
      </w:pPr>
      <w:r w:rsidRPr="0079556C">
        <w:rPr>
          <w:rStyle w:val="HideTWBExt"/>
          <w:b w:val="0"/>
        </w:rPr>
        <w:t>&lt;RefProc&gt;</w:t>
      </w:r>
      <w:r w:rsidRPr="0079556C">
        <w:t>2023/2157</w:t>
      </w:r>
      <w:r w:rsidRPr="0079556C">
        <w:rPr>
          <w:rStyle w:val="HideTWBExt"/>
          <w:b w:val="0"/>
        </w:rPr>
        <w:t>&lt;/RefProc&gt;&lt;RefTypeProc&gt;</w:t>
      </w:r>
      <w:r w:rsidRPr="0079556C">
        <w:t>(DEC)</w:t>
      </w:r>
      <w:r w:rsidRPr="0079556C">
        <w:rPr>
          <w:rStyle w:val="HideTWBExt"/>
          <w:b w:val="0"/>
        </w:rPr>
        <w:t>&lt;/RefTypeProc&gt;</w:t>
      </w:r>
    </w:p>
    <w:p w:rsidR="002E2F2E" w:rsidRPr="0079556C" w:rsidRDefault="002E2F2E">
      <w:pPr>
        <w:pStyle w:val="CoverDate"/>
      </w:pPr>
      <w:r w:rsidRPr="0079556C">
        <w:rPr>
          <w:rStyle w:val="HideTWBExt"/>
        </w:rPr>
        <w:t>&lt;Date&gt;</w:t>
      </w:r>
      <w:r w:rsidRPr="0079556C">
        <w:rPr>
          <w:rStyle w:val="HideTWBInt"/>
        </w:rPr>
        <w:t>{24/01/2024}</w:t>
      </w:r>
      <w:r w:rsidRPr="0079556C">
        <w:t>24.01.2024</w:t>
      </w:r>
      <w:r w:rsidRPr="0079556C">
        <w:rPr>
          <w:rStyle w:val="HideTWBExt"/>
        </w:rPr>
        <w:t>&lt;/Date&gt;</w:t>
      </w:r>
    </w:p>
    <w:p w:rsidR="002E2F2E" w:rsidRPr="0079556C" w:rsidRDefault="002E2F2E">
      <w:pPr>
        <w:pStyle w:val="CoverDocType24a"/>
      </w:pPr>
      <w:r w:rsidRPr="0079556C">
        <w:rPr>
          <w:rStyle w:val="HideTWBExt"/>
          <w:b w:val="0"/>
        </w:rPr>
        <w:t>&lt;TitreType&gt;</w:t>
      </w:r>
      <w:r w:rsidRPr="0079556C">
        <w:t>PARECER</w:t>
      </w:r>
      <w:r w:rsidRPr="0079556C">
        <w:rPr>
          <w:rStyle w:val="HideTWBExt"/>
          <w:b w:val="0"/>
        </w:rPr>
        <w:t>&lt;/TitreType&gt;</w:t>
      </w:r>
    </w:p>
    <w:p w:rsidR="002E2F2E" w:rsidRPr="0079556C" w:rsidRDefault="002E2F2E">
      <w:pPr>
        <w:pStyle w:val="CoverNormal24a"/>
      </w:pPr>
      <w:r w:rsidRPr="0079556C">
        <w:rPr>
          <w:rStyle w:val="HideTWBExt"/>
        </w:rPr>
        <w:t>&lt;CommissionResp&gt;</w:t>
      </w:r>
      <w:r w:rsidRPr="0079556C">
        <w:t>da Comissão das Liberdades Cívicas, da Justiça e dos Assuntos Internos</w:t>
      </w:r>
      <w:r w:rsidRPr="0079556C">
        <w:rPr>
          <w:rStyle w:val="HideTWBExt"/>
        </w:rPr>
        <w:t>&lt;/CommissionResp&gt;</w:t>
      </w:r>
    </w:p>
    <w:p w:rsidR="002E2F2E" w:rsidRPr="0079556C" w:rsidRDefault="002E2F2E">
      <w:pPr>
        <w:pStyle w:val="CoverNormal24a"/>
      </w:pPr>
      <w:r w:rsidRPr="0079556C">
        <w:rPr>
          <w:rStyle w:val="HideTWBExt"/>
        </w:rPr>
        <w:t>&lt;CommissionInt&gt;</w:t>
      </w:r>
      <w:r w:rsidRPr="0079556C">
        <w:t>dirigido à Comissão do Controlo Orçamental</w:t>
      </w:r>
      <w:r w:rsidRPr="0079556C">
        <w:rPr>
          <w:rStyle w:val="HideTWBExt"/>
        </w:rPr>
        <w:t>&lt;/CommissionInt&gt;</w:t>
      </w:r>
    </w:p>
    <w:p w:rsidR="002E2F2E" w:rsidRPr="0079556C" w:rsidRDefault="002E2F2E">
      <w:pPr>
        <w:pStyle w:val="CoverNormal"/>
      </w:pPr>
      <w:r w:rsidRPr="0079556C">
        <w:rPr>
          <w:rStyle w:val="HideTWBExt"/>
        </w:rPr>
        <w:t>&lt;Titre&gt;</w:t>
      </w:r>
      <w:r w:rsidRPr="0079556C">
        <w:t>sobre a quitação pela execução do orçamento do Observatório Europeu da Droga e da Toxicodependência para o exercício de 2022</w:t>
      </w:r>
      <w:r w:rsidRPr="0079556C">
        <w:rPr>
          <w:rStyle w:val="HideTWBExt"/>
        </w:rPr>
        <w:t>&lt;/Titre&gt;</w:t>
      </w:r>
    </w:p>
    <w:p w:rsidR="002E2F2E" w:rsidRPr="0079556C" w:rsidRDefault="002E2F2E">
      <w:pPr>
        <w:pStyle w:val="CoverNormal24a"/>
      </w:pPr>
      <w:r w:rsidRPr="0079556C">
        <w:rPr>
          <w:rStyle w:val="HideTWBExt"/>
        </w:rPr>
        <w:t>&lt;DocRef&gt;</w:t>
      </w:r>
      <w:r w:rsidRPr="0079556C">
        <w:t>(2023/2157(DEC))</w:t>
      </w:r>
      <w:r w:rsidRPr="0079556C">
        <w:rPr>
          <w:rStyle w:val="HideTWBExt"/>
        </w:rPr>
        <w:t>&lt;/DocRef&gt;</w:t>
      </w:r>
    </w:p>
    <w:p w:rsidR="002E2F2E" w:rsidRPr="0079556C" w:rsidRDefault="007B2C8C">
      <w:pPr>
        <w:pStyle w:val="CoverNormal24a"/>
      </w:pPr>
      <w:r w:rsidRPr="0079556C">
        <w:t xml:space="preserve">Relator de parecer: </w:t>
      </w:r>
      <w:r w:rsidRPr="0079556C">
        <w:rPr>
          <w:rStyle w:val="HideTWBExt"/>
        </w:rPr>
        <w:t>&lt;Depute&gt;</w:t>
      </w:r>
      <w:r w:rsidRPr="0079556C">
        <w:t>Tomáš Zdechovský</w:t>
      </w:r>
      <w:r w:rsidRPr="0079556C">
        <w:rPr>
          <w:rStyle w:val="HideTWBExt"/>
        </w:rPr>
        <w:t>&lt;/Depute&gt;</w:t>
      </w:r>
    </w:p>
    <w:p w:rsidR="00A72C35" w:rsidRPr="0079556C" w:rsidRDefault="00A72C35" w:rsidP="00A72C35">
      <w:pPr>
        <w:pStyle w:val="CoverNormal"/>
      </w:pPr>
    </w:p>
    <w:p w:rsidR="002E2F2E" w:rsidRPr="0079556C" w:rsidRDefault="002E2F2E" w:rsidP="00E856D2">
      <w:pPr>
        <w:widowControl/>
        <w:tabs>
          <w:tab w:val="center" w:pos="4677"/>
        </w:tabs>
      </w:pPr>
      <w:r w:rsidRPr="0079556C">
        <w:br w:type="page"/>
      </w:r>
      <w:r w:rsidRPr="0079556C">
        <w:lastRenderedPageBreak/>
        <w:t>PA_NonLeg</w:t>
      </w:r>
    </w:p>
    <w:p w:rsidR="002E2F2E" w:rsidRPr="0079556C" w:rsidRDefault="002E2F2E">
      <w:pPr>
        <w:pStyle w:val="PageHeadingNotTOC"/>
      </w:pPr>
      <w:r w:rsidRPr="0079556C">
        <w:br w:type="page"/>
      </w:r>
      <w:r w:rsidRPr="0079556C">
        <w:lastRenderedPageBreak/>
        <w:t>SUGESTÕES</w:t>
      </w:r>
    </w:p>
    <w:p w:rsidR="002E2F2E" w:rsidRPr="0079556C" w:rsidRDefault="007B2C8C" w:rsidP="008313E7">
      <w:pPr>
        <w:pStyle w:val="Normal12a"/>
      </w:pPr>
      <w:r w:rsidRPr="0079556C">
        <w:t>A Comissão das Liberdades Cívicas, da Justiça e dos Assuntos Internos insta a Comissão do Controlo Orçamental, competente quanto à matéria de fundo, a incorporar as seguintes sugestões na proposta de resolução que aprovar:</w:t>
      </w:r>
    </w:p>
    <w:p w:rsidR="002E2F2E" w:rsidRPr="0079556C" w:rsidRDefault="008E3C1B" w:rsidP="008313E7">
      <w:pPr>
        <w:pStyle w:val="NormalHanging12a"/>
      </w:pPr>
      <w:bookmarkStart w:id="0" w:name="restart"/>
      <w:r w:rsidRPr="0079556C">
        <w:t>1.</w:t>
      </w:r>
      <w:r w:rsidRPr="0079556C">
        <w:tab/>
        <w:t>Congratula-se com o facto de o Tribunal de Contas («Tribunal») ter declarado que as operações subjacentes às contas anuais do Observatório Europeu da Droga e da Toxicodependência («Observatório») relativas ao exercício de 2022 são, em todos os aspetos materialmente relevantes, legais e regulares; observa que, de acordo com o Relatório Anual do Tribunal sobre as agências da UE relativo ao exercício de 2022, o seu orçamento em 2022 ascendeu a 26 milhões de EUR, o que representa um aumento de 4 % em relação a 2021 (25 milhões de EUR), enquanto o seu número de efetivos permaneceu inalterado ao abrigo da decisão da autoridade orçamental competente;</w:t>
      </w:r>
    </w:p>
    <w:bookmarkEnd w:id="0"/>
    <w:p w:rsidR="008E3C1B" w:rsidRPr="0079556C" w:rsidRDefault="008E3C1B" w:rsidP="008E3C1B">
      <w:pPr>
        <w:pStyle w:val="NormalHanging12a"/>
        <w:rPr>
          <w:szCs w:val="24"/>
        </w:rPr>
      </w:pPr>
      <w:r w:rsidRPr="0079556C">
        <w:t>2.</w:t>
      </w:r>
      <w:r w:rsidRPr="0079556C">
        <w:tab/>
        <w:t>Congratula-se com o facto de terem sido tomadas medidas corretivas adequadas para dar resposta às observações do Tribunal em anos anteriores; acolhe com agrado a publicação emblemática anual, o Relatório Europeu sobre Drogas de 2022, o Boletim Estatístico de 2022 e o valor acrescentado proporcionado pelo Sistema de Alerta Rápido da UE sobre novas substâncias psicoativas gerido pelo Observatório durante 25 anos, completados em 2022; congratula-se com o lançamento de 69 publicações, entre as quais sete miniguias e três destaques no âmbito do relatório de referência do Observatório «Health and Social Responses to Drug Problems: A European Guide» [Respostas sanitárias e sociais aos problemas relacionados com as drogas: um guia europeu]; congratula-se com a organização da 4.ª Conferência Europeia sobre Comportamentos Aditivos e Dependências, organizada conjuntamente pelo Observatório e pelos seus parceiros; incentiva o Observatório a prosseguir as suas atividades de partilha de conhecimentos;</w:t>
      </w:r>
    </w:p>
    <w:p w:rsidR="00543436" w:rsidRPr="0079556C" w:rsidRDefault="008E3C1B" w:rsidP="008E3C1B">
      <w:pPr>
        <w:pStyle w:val="NormalHanging12a"/>
        <w:rPr>
          <w:szCs w:val="24"/>
        </w:rPr>
      </w:pPr>
      <w:r w:rsidRPr="0079556C">
        <w:t>3.</w:t>
      </w:r>
      <w:r w:rsidRPr="0079556C">
        <w:tab/>
        <w:t>Saúda as atividades de formação em matéria de droga, com a participação de 609 profissionais da UE no domínio da aplicação da lei e de parceiros de projetos de cooperação técnica, realizadas pelo Observatório em cooperação com a Agência da União Europeia para a Formação Policial (CEPOL); congratula-se com o facto de quase 950 profissionais que trabalham no domínio da droga, incluindo agentes responsáveis pela aplicação da lei e decisores políticos, terem recebido formação do Observatório em 2022, enquanto cerca de 1 200 profissionais que trabalham no domínio da droga participaram nos sete seminários em linha organizados pelo Observatório; destaca o importante papel do Observatório na disponibilização, aos decisores políticos e profissionais habilitados, de análises e informações sobre drogas e toxicodependência numa perspetiva de saúde pública;</w:t>
      </w:r>
    </w:p>
    <w:p w:rsidR="008E3C1B" w:rsidRPr="0079556C" w:rsidRDefault="00543436" w:rsidP="008E3C1B">
      <w:pPr>
        <w:pStyle w:val="NormalHanging12a"/>
        <w:rPr>
          <w:szCs w:val="24"/>
        </w:rPr>
      </w:pPr>
      <w:r w:rsidRPr="0079556C">
        <w:t>4.</w:t>
      </w:r>
      <w:r w:rsidRPr="0079556C">
        <w:tab/>
        <w:t>Congratula-se com os esforços incessantes do Observatório para realçar os aspetos sociais e o impacto social da droga, promover políticas de reinserção social direcionadas para consumidores de drogas e abordar o tema da droga através de uma perspetiva multidisciplinar; considera essencial continuar a sensibilizar para a importância, no que concerne às políticas de luta contra a droga, da prevenção e da adoção de uma abordagem inovadora baseada na saúde mental;</w:t>
      </w:r>
    </w:p>
    <w:p w:rsidR="00543436" w:rsidRPr="0079556C" w:rsidRDefault="00543436" w:rsidP="008E3C1B">
      <w:pPr>
        <w:pStyle w:val="NormalHanging12a"/>
        <w:rPr>
          <w:szCs w:val="24"/>
        </w:rPr>
      </w:pPr>
      <w:r w:rsidRPr="0079556C">
        <w:lastRenderedPageBreak/>
        <w:t>5.</w:t>
      </w:r>
      <w:r w:rsidRPr="0079556C">
        <w:tab/>
        <w:t>Recorda que o trabalho do Observatório assenta na capacidade estratégica de avaliação das ameaças à saúde e à segurança com base em dados concretos para identificar, numa fase precoce, novos desenvolvimentos do fenómeno da droga que possam ter repercussões negativas na saúde, nas questões sociais e na segurança na União; relembra que a avaliação das ameaças à saúde deve refletir-se igualmente no trabalho do Observatório;</w:t>
      </w:r>
    </w:p>
    <w:p w:rsidR="008E3C1B" w:rsidRPr="0079556C" w:rsidRDefault="00543436" w:rsidP="008E3C1B">
      <w:pPr>
        <w:pStyle w:val="NormalHanging12a"/>
      </w:pPr>
      <w:r w:rsidRPr="0079556C">
        <w:t>6.</w:t>
      </w:r>
      <w:r w:rsidRPr="0079556C">
        <w:tab/>
        <w:t>Congratula-se com os progressos realizados pelo Observatório quanto ao relatório conjunto «EU Drug Markets: In-depth analysis» [Mercados de droga na UE: análise aprofundada], em colaboração com a Europol, que incluiu módulos sobre drogas específicas publicados ao longo de 2022 e com publicações previstas para 2023; acolhe com agrado o trabalho realizado em 2022 para melhorar a qualidade e a disponibilidade dos dados de base, em colaboração com os pontos focais nacionais da Reitox e a Europol; saúda a execução de todas as tarefas do Observatório no âmbito dos planos de ação operacionais da Plataforma Multidisciplinar contra as Ameaças Criminosas incidentes sobre a canábis, a cocaína e a heroína;</w:t>
      </w:r>
      <w:r w:rsidRPr="0079556C">
        <w:rPr>
          <w:rStyle w:val="FootnoteReference"/>
        </w:rPr>
        <w:t xml:space="preserve"> </w:t>
      </w:r>
      <w:r w:rsidRPr="0079556C">
        <w:t>recorda que o tráfico de droga foi considerado uma das principais fontes de lucro e um canal de recrutamento para a criminalidade organizada e o terrorismo e assinala que o Observatório contribui para uma Europa mais segura;</w:t>
      </w:r>
    </w:p>
    <w:p w:rsidR="008E3C1B" w:rsidRPr="0079556C" w:rsidRDefault="00543436" w:rsidP="008E3C1B">
      <w:pPr>
        <w:pStyle w:val="NormalHanging12a"/>
        <w:rPr>
          <w:szCs w:val="24"/>
        </w:rPr>
      </w:pPr>
      <w:r w:rsidRPr="0079556C">
        <w:t>7.</w:t>
      </w:r>
      <w:r w:rsidRPr="0079556C">
        <w:tab/>
        <w:t xml:space="preserve">Congratula-se com a página de recursos EMCDDA 4 Ukraine, criada para profissionais que trabalham no domínio da droga na Europa e apoiam as pessoas deslocadas da Ucrânia; </w:t>
      </w:r>
    </w:p>
    <w:p w:rsidR="008E3C1B" w:rsidRPr="0079556C" w:rsidRDefault="00543436" w:rsidP="008E3C1B">
      <w:pPr>
        <w:pStyle w:val="NormalHanging12a"/>
      </w:pPr>
      <w:r w:rsidRPr="0079556C">
        <w:t>8.</w:t>
      </w:r>
      <w:r w:rsidRPr="0079556C">
        <w:tab/>
        <w:t>Congratula-se com a cooperação em curso a nível regional entre o Observatório e os países parceiros da política europeia de vizinhança, no quadro do projeto de assistência técnica EU4MD, bem como com a execução em curso do projeto bilateral EMCDDA4GE com a Geórgia; acolhe favoravelmente a criação de uma parceria oficial no âmbito do programa de cooperação entre a América Latina, as Caraíbas e a União Europeia sobre as políticas de luta contra a droga;</w:t>
      </w:r>
    </w:p>
    <w:p w:rsidR="005B6971" w:rsidRPr="0079556C" w:rsidRDefault="00543436" w:rsidP="00647C6C">
      <w:pPr>
        <w:ind w:left="560" w:hanging="560"/>
      </w:pPr>
      <w:r w:rsidRPr="0079556C">
        <w:t>9.</w:t>
      </w:r>
      <w:r w:rsidRPr="0079556C">
        <w:tab/>
        <w:t>Congratula-se com a cooperação do Observatório com outras agências e com o seu contributo para a rede de agências JAI; saúda a cooperação contínua do Observatório com as agências nacionais de luta contra a droga, os países terceiros e as organizações internacionais, como o UNODC e a OMS.</w:t>
      </w:r>
    </w:p>
    <w:p w:rsidR="00647C6C" w:rsidRPr="0079556C" w:rsidRDefault="00647C6C" w:rsidP="00647C6C">
      <w:r w:rsidRPr="0079556C">
        <w:br w:type="page"/>
      </w:r>
    </w:p>
    <w:p w:rsidR="00647C6C" w:rsidRPr="0079556C" w:rsidRDefault="00647C6C" w:rsidP="00647C6C">
      <w:pPr>
        <w:pStyle w:val="PageHeadingNotTOC"/>
      </w:pPr>
      <w:bookmarkStart w:id="1" w:name="ProcPageAD"/>
      <w:r w:rsidRPr="0079556C">
        <w:lastRenderedPageBreak/>
        <w:t>INFORMAÇÕES SOBRE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47C6C" w:rsidRPr="00795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b/>
                <w:bCs/>
                <w:color w:val="000000"/>
                <w:sz w:val="20"/>
              </w:rPr>
            </w:pPr>
            <w:r w:rsidRPr="0079556C">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79556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79556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rFonts w:ascii="sans-serif" w:hAnsi="sans-serif" w:cs="sans-serif"/>
                <w:color w:val="000000"/>
                <w:szCs w:val="24"/>
              </w:rPr>
            </w:pPr>
          </w:p>
        </w:tc>
      </w:tr>
      <w:tr w:rsidR="00647C6C" w:rsidRPr="00795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b/>
                <w:bCs/>
                <w:color w:val="000000"/>
                <w:sz w:val="20"/>
              </w:rPr>
            </w:pPr>
            <w:r w:rsidRPr="0079556C">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w:t>
            </w:r>
          </w:p>
          <w:p w:rsidR="00647C6C" w:rsidRPr="0079556C" w:rsidRDefault="00647C6C">
            <w:pPr>
              <w:autoSpaceDE w:val="0"/>
              <w:autoSpaceDN w:val="0"/>
              <w:adjustRightInd w:val="0"/>
              <w:rPr>
                <w:color w:val="000000"/>
                <w:sz w:val="20"/>
              </w:rPr>
            </w:pPr>
            <w:r w:rsidRPr="0079556C">
              <w:rPr>
                <w:color w:val="000000"/>
                <w:sz w:val="20"/>
              </w:rPr>
              <w:t>–:</w:t>
            </w:r>
          </w:p>
          <w:p w:rsidR="00647C6C" w:rsidRPr="0079556C" w:rsidRDefault="00647C6C">
            <w:pPr>
              <w:autoSpaceDE w:val="0"/>
              <w:autoSpaceDN w:val="0"/>
              <w:adjustRightInd w:val="0"/>
              <w:rPr>
                <w:color w:val="000000"/>
                <w:sz w:val="20"/>
              </w:rPr>
            </w:pPr>
            <w:r w:rsidRPr="0079556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52</w:t>
            </w:r>
          </w:p>
          <w:p w:rsidR="00647C6C" w:rsidRPr="0079556C" w:rsidRDefault="00647C6C">
            <w:pPr>
              <w:autoSpaceDE w:val="0"/>
              <w:autoSpaceDN w:val="0"/>
              <w:adjustRightInd w:val="0"/>
              <w:rPr>
                <w:color w:val="000000"/>
                <w:sz w:val="20"/>
              </w:rPr>
            </w:pPr>
            <w:r w:rsidRPr="0079556C">
              <w:rPr>
                <w:color w:val="000000"/>
                <w:sz w:val="20"/>
              </w:rPr>
              <w:t>1</w:t>
            </w:r>
          </w:p>
          <w:p w:rsidR="00647C6C" w:rsidRPr="0079556C" w:rsidRDefault="00647C6C">
            <w:pPr>
              <w:autoSpaceDE w:val="0"/>
              <w:autoSpaceDN w:val="0"/>
              <w:adjustRightInd w:val="0"/>
              <w:rPr>
                <w:color w:val="000000"/>
                <w:sz w:val="20"/>
              </w:rPr>
            </w:pPr>
            <w:r w:rsidRPr="0079556C">
              <w:rPr>
                <w:color w:val="000000"/>
                <w:sz w:val="20"/>
              </w:rPr>
              <w:t>3</w:t>
            </w:r>
          </w:p>
        </w:tc>
      </w:tr>
      <w:tr w:rsidR="00647C6C" w:rsidRPr="007955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b/>
                <w:bCs/>
                <w:color w:val="000000"/>
                <w:sz w:val="20"/>
              </w:rPr>
            </w:pPr>
            <w:r w:rsidRPr="0079556C">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647C6C" w:rsidRPr="00795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b/>
                <w:bCs/>
                <w:color w:val="000000"/>
                <w:sz w:val="20"/>
              </w:rPr>
            </w:pPr>
            <w:r w:rsidRPr="0079556C">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Cyrus Engerer, José Gusmão, Beata Kempa, Leopoldo López Gil, Janina Ochojska, Anne-Sophie Pelletier, Bergur Løkke Rasmussen, Róża Thun und Hohenstein, Maria Walsh, Tomáš Zdechovský</w:t>
            </w:r>
          </w:p>
        </w:tc>
      </w:tr>
      <w:tr w:rsidR="00647C6C" w:rsidRPr="007955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b/>
                <w:bCs/>
                <w:color w:val="000000"/>
                <w:sz w:val="20"/>
              </w:rPr>
            </w:pPr>
            <w:r w:rsidRPr="0079556C">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79556C" w:rsidRDefault="00647C6C">
            <w:pPr>
              <w:autoSpaceDE w:val="0"/>
              <w:autoSpaceDN w:val="0"/>
              <w:adjustRightInd w:val="0"/>
              <w:rPr>
                <w:color w:val="000000"/>
                <w:sz w:val="20"/>
              </w:rPr>
            </w:pPr>
            <w:r w:rsidRPr="0079556C">
              <w:rPr>
                <w:color w:val="000000"/>
                <w:sz w:val="20"/>
              </w:rPr>
              <w:t>Andrus Ansip, Hildegard Bentele, Maria da Graça Carvalho, Marisa Matias, Caroline Nagtegaal</w:t>
            </w:r>
          </w:p>
        </w:tc>
      </w:tr>
    </w:tbl>
    <w:p w:rsidR="00647C6C" w:rsidRPr="0079556C" w:rsidRDefault="00647C6C"/>
    <w:p w:rsidR="001B663A" w:rsidRPr="0079556C" w:rsidRDefault="001B663A" w:rsidP="00647C6C">
      <w:pPr>
        <w:sectPr w:rsidR="001B663A" w:rsidRPr="0079556C" w:rsidSect="007955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bookmarkStart w:id="2" w:name="_GoBack"/>
      <w:bookmarkEnd w:id="1"/>
      <w:bookmarkEnd w:id="2"/>
    </w:p>
    <w:p w:rsidR="001B663A" w:rsidRPr="0079556C" w:rsidRDefault="001B663A" w:rsidP="002B2C72">
      <w:pPr>
        <w:pStyle w:val="PageHeadingNotTOC"/>
        <w:rPr>
          <w:noProof/>
        </w:rPr>
      </w:pPr>
      <w:bookmarkStart w:id="3" w:name="FootprintPageAD"/>
      <w:r w:rsidRPr="0079556C">
        <w:lastRenderedPageBreak/>
        <w:t>ANNEX: ENTITIES OR PERSONS</w:t>
      </w:r>
      <w:r w:rsidRPr="0079556C">
        <w:br/>
        <w:t>FROM WHOM THE RAPPORTEUR HAS RECEIVED INPUT</w:t>
      </w:r>
    </w:p>
    <w:p w:rsidR="001B663A" w:rsidRPr="0079556C" w:rsidRDefault="001B663A" w:rsidP="00037518">
      <w:pPr>
        <w:pStyle w:val="Normal24a"/>
      </w:pPr>
      <w:r w:rsidRPr="0079556C">
        <w:rPr>
          <w:rStyle w:val="HideTWBExt"/>
        </w:rPr>
        <w:t>&lt;FootprintIntro&gt;</w:t>
      </w:r>
      <w:r w:rsidRPr="0079556C">
        <w:t>The rapporteur declares under his exclusive responsibility that he did not receive input from any entity or person to be mentioned in this Annex pursuant to Article 8 of Annex I to the Rules of Procedure.</w:t>
      </w:r>
      <w:r w:rsidRPr="0079556C">
        <w:rPr>
          <w:rStyle w:val="HideTWBExt"/>
        </w:rPr>
        <w:t>&lt;/FootprintIntro&gt;</w:t>
      </w:r>
    </w:p>
    <w:p w:rsidR="001B663A" w:rsidRPr="0079556C" w:rsidRDefault="001B663A" w:rsidP="00AD5932"/>
    <w:p w:rsidR="001B663A" w:rsidRPr="0079556C" w:rsidRDefault="001B663A" w:rsidP="001B663A"/>
    <w:bookmarkEnd w:id="3"/>
    <w:p w:rsidR="001B663A" w:rsidRPr="0079556C" w:rsidRDefault="001B663A" w:rsidP="00647C6C">
      <w:pPr>
        <w:sectPr w:rsidR="001B663A" w:rsidRPr="0079556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7C6C" w:rsidRPr="0079556C" w:rsidRDefault="00647C6C" w:rsidP="00647C6C">
      <w:pPr>
        <w:pStyle w:val="PageHeadingNotTOC"/>
      </w:pPr>
      <w:bookmarkStart w:id="4" w:name="RollCallPageAD"/>
      <w:r w:rsidRPr="0079556C">
        <w:lastRenderedPageBreak/>
        <w:t>VOTAÇÃO 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79556C" w:rsidTr="008920AC">
        <w:trPr>
          <w:cantSplit/>
        </w:trPr>
        <w:tc>
          <w:tcPr>
            <w:tcW w:w="1701" w:type="dxa"/>
            <w:shd w:val="pct10" w:color="000000" w:fill="FFFFFF"/>
            <w:vAlign w:val="center"/>
          </w:tcPr>
          <w:p w:rsidR="00647C6C" w:rsidRPr="0079556C" w:rsidRDefault="00647C6C" w:rsidP="003858C5">
            <w:pPr>
              <w:pStyle w:val="RollCallVotes"/>
            </w:pPr>
            <w:r w:rsidRPr="0079556C">
              <w:t>52</w:t>
            </w:r>
          </w:p>
        </w:tc>
        <w:tc>
          <w:tcPr>
            <w:tcW w:w="7371" w:type="dxa"/>
            <w:shd w:val="pct10" w:color="000000" w:fill="FFFFFF"/>
          </w:tcPr>
          <w:p w:rsidR="00647C6C" w:rsidRPr="0079556C" w:rsidRDefault="00647C6C" w:rsidP="003858C5">
            <w:pPr>
              <w:pStyle w:val="RollCallSymbols14pt"/>
            </w:pPr>
            <w:r w:rsidRPr="0079556C">
              <w:t>+</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ECR</w:t>
            </w:r>
          </w:p>
        </w:tc>
        <w:tc>
          <w:tcPr>
            <w:tcW w:w="7371" w:type="dxa"/>
            <w:shd w:val="clear" w:color="auto" w:fill="FFFFFF"/>
          </w:tcPr>
          <w:p w:rsidR="00647C6C" w:rsidRPr="0079556C" w:rsidRDefault="00647C6C" w:rsidP="003858C5">
            <w:pPr>
              <w:pStyle w:val="RollCallTable"/>
            </w:pPr>
            <w:r w:rsidRPr="0079556C">
              <w:t>Jorge Buxadé Villalba, Patryk Jaki, Assita Kanko, Beata Kempa, Vincenzo Sofo</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NI</w:t>
            </w:r>
          </w:p>
        </w:tc>
        <w:tc>
          <w:tcPr>
            <w:tcW w:w="7371" w:type="dxa"/>
            <w:shd w:val="clear" w:color="auto" w:fill="FFFFFF"/>
          </w:tcPr>
          <w:p w:rsidR="00647C6C" w:rsidRPr="0079556C" w:rsidRDefault="00647C6C" w:rsidP="003858C5">
            <w:pPr>
              <w:pStyle w:val="RollCallTable"/>
            </w:pPr>
            <w:r w:rsidRPr="0079556C">
              <w:t>Laura Ferrara</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PPE</w:t>
            </w:r>
          </w:p>
        </w:tc>
        <w:tc>
          <w:tcPr>
            <w:tcW w:w="7371" w:type="dxa"/>
            <w:shd w:val="clear" w:color="auto" w:fill="FFFFFF"/>
          </w:tcPr>
          <w:p w:rsidR="00647C6C" w:rsidRPr="0079556C" w:rsidRDefault="00647C6C" w:rsidP="003858C5">
            <w:pPr>
              <w:pStyle w:val="RollCallTable"/>
            </w:pPr>
            <w:r w:rsidRPr="0079556C">
              <w:t>Magdalena Adamowicz, Hildegard Bentele, Maria da Graça Carvalho, Lena Düpont, Andrzej Halicki, Jeroen Lenaers, Leopoldo López Gil, Janina Ochojska, Elissavet Vozemberg-Vrionidi, Maria Walsh, Javier Zarzalejos, Tomáš Zdechovský</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Renew</w:t>
            </w:r>
          </w:p>
        </w:tc>
        <w:tc>
          <w:tcPr>
            <w:tcW w:w="7371" w:type="dxa"/>
            <w:shd w:val="clear" w:color="auto" w:fill="FFFFFF"/>
          </w:tcPr>
          <w:p w:rsidR="00647C6C" w:rsidRPr="0079556C" w:rsidRDefault="00647C6C" w:rsidP="003858C5">
            <w:pPr>
              <w:pStyle w:val="RollCallTable"/>
            </w:pPr>
            <w:r w:rsidRPr="0079556C">
              <w:t>Abir Al-Sahlani, Andrus Ansip, Lucia Ďuriš Nicholsonová, Sophia in 't Veld, Moritz Körner, Caroline Nagtegaal, Maite Pagazaurtundúa, Bergur Løkke Rasmussen, Róża Thun und Hohenstein, Jana Toom</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S&amp;D</w:t>
            </w:r>
          </w:p>
        </w:tc>
        <w:tc>
          <w:tcPr>
            <w:tcW w:w="7371" w:type="dxa"/>
            <w:shd w:val="clear" w:color="auto" w:fill="FFFFFF"/>
          </w:tcPr>
          <w:p w:rsidR="00647C6C" w:rsidRPr="0079556C" w:rsidRDefault="00647C6C" w:rsidP="003858C5">
            <w:pPr>
              <w:pStyle w:val="RollCallTable"/>
            </w:pPr>
            <w:r w:rsidRPr="0079556C">
              <w:t>Katarina Barley, Pietro Bartolo, Theresa Bielowski, Cyrus Engerer, Maria Grapini, Sylvie Guillaume, Evin Incir, Marina Kaljurand, Łukasz Kohut, Juan Fernando López Aguilar, Javier Moreno Sánchez, Isabel Santos, Birgit Sippel</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The Left</w:t>
            </w:r>
          </w:p>
        </w:tc>
        <w:tc>
          <w:tcPr>
            <w:tcW w:w="7371" w:type="dxa"/>
            <w:shd w:val="clear" w:color="auto" w:fill="FFFFFF"/>
          </w:tcPr>
          <w:p w:rsidR="00647C6C" w:rsidRPr="0079556C" w:rsidRDefault="00647C6C" w:rsidP="003858C5">
            <w:pPr>
              <w:pStyle w:val="RollCallTable"/>
            </w:pPr>
            <w:r w:rsidRPr="0079556C">
              <w:t>Cornelia Ernst, José Gusmão, Marisa Matias, Anne-Sophie Pelletier</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Verts/ALE</w:t>
            </w:r>
          </w:p>
        </w:tc>
        <w:tc>
          <w:tcPr>
            <w:tcW w:w="7371" w:type="dxa"/>
            <w:shd w:val="clear" w:color="auto" w:fill="FFFFFF"/>
          </w:tcPr>
          <w:p w:rsidR="00647C6C" w:rsidRPr="0079556C" w:rsidRDefault="00647C6C" w:rsidP="003858C5">
            <w:pPr>
              <w:pStyle w:val="RollCallTable"/>
            </w:pPr>
            <w:r w:rsidRPr="0079556C">
              <w:t>Patrick Breyer, Saskia Bricmont, Damien Carême, Alice Kuhnke, Erik Marquardt, Diana Riba i Giner, Tineke Strik</w:t>
            </w:r>
          </w:p>
        </w:tc>
      </w:tr>
    </w:tbl>
    <w:p w:rsidR="00647C6C" w:rsidRPr="0079556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79556C" w:rsidTr="008920AC">
        <w:trPr>
          <w:cantSplit/>
        </w:trPr>
        <w:tc>
          <w:tcPr>
            <w:tcW w:w="1701" w:type="dxa"/>
            <w:shd w:val="pct10" w:color="000000" w:fill="FFFFFF"/>
            <w:vAlign w:val="center"/>
          </w:tcPr>
          <w:p w:rsidR="00647C6C" w:rsidRPr="0079556C" w:rsidRDefault="00647C6C" w:rsidP="003858C5">
            <w:pPr>
              <w:pStyle w:val="RollCallVotes"/>
            </w:pPr>
            <w:r w:rsidRPr="0079556C">
              <w:t>1</w:t>
            </w:r>
          </w:p>
        </w:tc>
        <w:tc>
          <w:tcPr>
            <w:tcW w:w="7371" w:type="dxa"/>
            <w:shd w:val="pct10" w:color="000000" w:fill="FFFFFF"/>
          </w:tcPr>
          <w:p w:rsidR="00647C6C" w:rsidRPr="0079556C" w:rsidRDefault="00647C6C" w:rsidP="003858C5">
            <w:pPr>
              <w:pStyle w:val="RollCallSymbols14pt"/>
            </w:pPr>
            <w:r w:rsidRPr="0079556C">
              <w:t>-</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NI</w:t>
            </w:r>
          </w:p>
        </w:tc>
        <w:tc>
          <w:tcPr>
            <w:tcW w:w="7371" w:type="dxa"/>
            <w:shd w:val="clear" w:color="auto" w:fill="FFFFFF"/>
          </w:tcPr>
          <w:p w:rsidR="00647C6C" w:rsidRPr="0079556C" w:rsidRDefault="00647C6C" w:rsidP="003858C5">
            <w:pPr>
              <w:pStyle w:val="RollCallTable"/>
            </w:pPr>
            <w:r w:rsidRPr="0079556C">
              <w:t>Milan Uhrík</w:t>
            </w:r>
          </w:p>
        </w:tc>
      </w:tr>
    </w:tbl>
    <w:p w:rsidR="00647C6C" w:rsidRPr="0079556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79556C" w:rsidTr="008920AC">
        <w:trPr>
          <w:cantSplit/>
        </w:trPr>
        <w:tc>
          <w:tcPr>
            <w:tcW w:w="1701" w:type="dxa"/>
            <w:shd w:val="pct10" w:color="000000" w:fill="FFFFFF"/>
            <w:vAlign w:val="center"/>
          </w:tcPr>
          <w:p w:rsidR="00647C6C" w:rsidRPr="0079556C" w:rsidRDefault="00647C6C" w:rsidP="003858C5">
            <w:pPr>
              <w:pStyle w:val="RollCallVotes"/>
            </w:pPr>
            <w:r w:rsidRPr="0079556C">
              <w:t>3</w:t>
            </w:r>
          </w:p>
        </w:tc>
        <w:tc>
          <w:tcPr>
            <w:tcW w:w="7371" w:type="dxa"/>
            <w:shd w:val="pct10" w:color="000000" w:fill="FFFFFF"/>
          </w:tcPr>
          <w:p w:rsidR="00647C6C" w:rsidRPr="0079556C" w:rsidRDefault="00647C6C" w:rsidP="003858C5">
            <w:pPr>
              <w:pStyle w:val="RollCallSymbols14pt"/>
            </w:pPr>
            <w:r w:rsidRPr="0079556C">
              <w:t>0</w:t>
            </w:r>
          </w:p>
        </w:tc>
      </w:tr>
      <w:tr w:rsidR="00647C6C" w:rsidRPr="0079556C" w:rsidTr="008920AC">
        <w:trPr>
          <w:cantSplit/>
        </w:trPr>
        <w:tc>
          <w:tcPr>
            <w:tcW w:w="1701" w:type="dxa"/>
            <w:shd w:val="clear" w:color="auto" w:fill="FFFFFF"/>
          </w:tcPr>
          <w:p w:rsidR="00647C6C" w:rsidRPr="0079556C" w:rsidRDefault="00647C6C" w:rsidP="003858C5">
            <w:pPr>
              <w:pStyle w:val="RollCallTable"/>
            </w:pPr>
            <w:r w:rsidRPr="0079556C">
              <w:t>ID</w:t>
            </w:r>
          </w:p>
        </w:tc>
        <w:tc>
          <w:tcPr>
            <w:tcW w:w="7371" w:type="dxa"/>
            <w:shd w:val="clear" w:color="auto" w:fill="FFFFFF"/>
          </w:tcPr>
          <w:p w:rsidR="00647C6C" w:rsidRPr="0079556C" w:rsidRDefault="00647C6C" w:rsidP="003858C5">
            <w:pPr>
              <w:pStyle w:val="RollCallTable"/>
            </w:pPr>
            <w:r w:rsidRPr="0079556C">
              <w:t>Patricia Chagnon, Nicolaus Fest, Tom Vandendriessche</w:t>
            </w:r>
          </w:p>
        </w:tc>
      </w:tr>
    </w:tbl>
    <w:p w:rsidR="00647C6C" w:rsidRPr="0079556C" w:rsidRDefault="00647C6C" w:rsidP="00147FBF">
      <w:pPr>
        <w:pStyle w:val="Normal12a"/>
      </w:pPr>
    </w:p>
    <w:p w:rsidR="00647C6C" w:rsidRPr="0079556C" w:rsidRDefault="00647C6C" w:rsidP="00B735E3">
      <w:r w:rsidRPr="0079556C">
        <w:t>Legenda dos símbolos utilizados:</w:t>
      </w:r>
    </w:p>
    <w:p w:rsidR="00647C6C" w:rsidRPr="0079556C" w:rsidRDefault="00647C6C" w:rsidP="003858C5">
      <w:pPr>
        <w:pStyle w:val="RollCallTabs"/>
      </w:pPr>
      <w:r w:rsidRPr="0079556C">
        <w:t>+</w:t>
      </w:r>
      <w:r w:rsidRPr="0079556C">
        <w:tab/>
        <w:t>:</w:t>
      </w:r>
      <w:r w:rsidRPr="0079556C">
        <w:tab/>
        <w:t>votos a favor</w:t>
      </w:r>
    </w:p>
    <w:p w:rsidR="00647C6C" w:rsidRPr="0079556C" w:rsidRDefault="00647C6C" w:rsidP="003858C5">
      <w:pPr>
        <w:pStyle w:val="RollCallTabs"/>
      </w:pPr>
      <w:r w:rsidRPr="0079556C">
        <w:t>-</w:t>
      </w:r>
      <w:r w:rsidRPr="0079556C">
        <w:tab/>
        <w:t>:</w:t>
      </w:r>
      <w:r w:rsidRPr="0079556C">
        <w:tab/>
        <w:t>votos contra</w:t>
      </w:r>
    </w:p>
    <w:p w:rsidR="00647C6C" w:rsidRPr="0079556C" w:rsidRDefault="00647C6C" w:rsidP="003858C5">
      <w:pPr>
        <w:pStyle w:val="RollCallTabs"/>
      </w:pPr>
      <w:r w:rsidRPr="0079556C">
        <w:t>0</w:t>
      </w:r>
      <w:r w:rsidRPr="0079556C">
        <w:tab/>
        <w:t>:</w:t>
      </w:r>
      <w:r w:rsidRPr="0079556C">
        <w:tab/>
        <w:t>abstenções</w:t>
      </w:r>
    </w:p>
    <w:p w:rsidR="00647C6C" w:rsidRPr="0079556C" w:rsidRDefault="00647C6C" w:rsidP="00207509"/>
    <w:bookmarkEnd w:id="4"/>
    <w:p w:rsidR="002E6F98" w:rsidRPr="0079556C" w:rsidRDefault="002E6F98" w:rsidP="00647C6C"/>
    <w:sectPr w:rsidR="002E6F98" w:rsidRPr="0079556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C8C" w:rsidRPr="0079556C" w:rsidRDefault="007B2C8C">
      <w:r w:rsidRPr="0079556C">
        <w:separator/>
      </w:r>
    </w:p>
  </w:endnote>
  <w:endnote w:type="continuationSeparator" w:id="0">
    <w:p w:rsidR="007B2C8C" w:rsidRPr="0079556C" w:rsidRDefault="007B2C8C">
      <w:r w:rsidRPr="007955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56C" w:rsidRPr="0079556C" w:rsidRDefault="0079556C" w:rsidP="0079556C">
    <w:pPr>
      <w:pStyle w:val="EPFooter"/>
    </w:pPr>
    <w:r w:rsidRPr="0079556C">
      <w:t>PE</w:t>
    </w:r>
    <w:r w:rsidRPr="0079556C">
      <w:rPr>
        <w:rStyle w:val="HideTWBExt"/>
      </w:rPr>
      <w:t>&lt;NoPE&gt;</w:t>
    </w:r>
    <w:r w:rsidRPr="0079556C">
      <w:t>756.194</w:t>
    </w:r>
    <w:r w:rsidRPr="0079556C">
      <w:rPr>
        <w:rStyle w:val="HideTWBExt"/>
      </w:rPr>
      <w:t>&lt;/NoPE&gt;&lt;Version&gt;</w:t>
    </w:r>
    <w:r w:rsidRPr="0079556C">
      <w:t>v03-00</w:t>
    </w:r>
    <w:r w:rsidRPr="0079556C">
      <w:rPr>
        <w:rStyle w:val="HideTWBExt"/>
      </w:rPr>
      <w:t>&lt;/Version&gt;</w:t>
    </w:r>
    <w:r w:rsidRPr="0079556C">
      <w:tab/>
    </w:r>
    <w:r w:rsidRPr="0079556C">
      <w:fldChar w:fldCharType="begin"/>
    </w:r>
    <w:r w:rsidRPr="0079556C">
      <w:instrText xml:space="preserve"> PAGE  \* MERGEFORMAT </w:instrText>
    </w:r>
    <w:r w:rsidRPr="0079556C">
      <w:fldChar w:fldCharType="separate"/>
    </w:r>
    <w:r w:rsidR="00EA63BD">
      <w:rPr>
        <w:noProof/>
      </w:rPr>
      <w:t>6</w:t>
    </w:r>
    <w:r w:rsidRPr="0079556C">
      <w:fldChar w:fldCharType="end"/>
    </w:r>
    <w:r w:rsidRPr="0079556C">
      <w:t>/</w:t>
    </w:r>
    <w:fldSimple w:instr=" NUMPAGES  \* MERGEFORMAT ">
      <w:r w:rsidR="00EA63BD">
        <w:rPr>
          <w:noProof/>
        </w:rPr>
        <w:t>7</w:t>
      </w:r>
    </w:fldSimple>
    <w:r w:rsidRPr="0079556C">
      <w:tab/>
    </w:r>
    <w:r w:rsidRPr="0079556C">
      <w:rPr>
        <w:rStyle w:val="HideTWBExt"/>
      </w:rPr>
      <w:t>&lt;PathFdR&gt;</w:t>
    </w:r>
    <w:r w:rsidRPr="0079556C">
      <w:t>AD\1295226PT.docx</w:t>
    </w:r>
    <w:r w:rsidRPr="0079556C">
      <w:rPr>
        <w:rStyle w:val="HideTWBExt"/>
      </w:rPr>
      <w:t>&lt;/PathFdR&gt;</w:t>
    </w:r>
  </w:p>
  <w:p w:rsidR="002E2F2E" w:rsidRPr="0079556C" w:rsidRDefault="0079556C" w:rsidP="0079556C">
    <w:pPr>
      <w:pStyle w:val="EPFooter2"/>
    </w:pPr>
    <w:r w:rsidRPr="0079556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56C" w:rsidRPr="0079556C" w:rsidRDefault="0079556C" w:rsidP="0079556C">
    <w:pPr>
      <w:pStyle w:val="EPFooter"/>
    </w:pPr>
    <w:r w:rsidRPr="0079556C">
      <w:rPr>
        <w:rStyle w:val="HideTWBExt"/>
      </w:rPr>
      <w:t>&lt;PathFdR&gt;</w:t>
    </w:r>
    <w:r w:rsidRPr="0079556C">
      <w:t>AD\1295226PT.docx</w:t>
    </w:r>
    <w:r w:rsidRPr="0079556C">
      <w:rPr>
        <w:rStyle w:val="HideTWBExt"/>
      </w:rPr>
      <w:t>&lt;/PathFdR&gt;</w:t>
    </w:r>
    <w:r w:rsidRPr="0079556C">
      <w:tab/>
    </w:r>
    <w:r w:rsidRPr="0079556C">
      <w:fldChar w:fldCharType="begin"/>
    </w:r>
    <w:r w:rsidRPr="0079556C">
      <w:instrText xml:space="preserve"> PAGE  \* MERGEFORMAT </w:instrText>
    </w:r>
    <w:r w:rsidRPr="0079556C">
      <w:fldChar w:fldCharType="separate"/>
    </w:r>
    <w:r w:rsidR="00EA63BD">
      <w:rPr>
        <w:noProof/>
      </w:rPr>
      <w:t>5</w:t>
    </w:r>
    <w:r w:rsidRPr="0079556C">
      <w:fldChar w:fldCharType="end"/>
    </w:r>
    <w:r w:rsidRPr="0079556C">
      <w:t>/</w:t>
    </w:r>
    <w:fldSimple w:instr=" NUMPAGES  \* MERGEFORMAT ">
      <w:r w:rsidR="00EA63BD">
        <w:rPr>
          <w:noProof/>
        </w:rPr>
        <w:t>7</w:t>
      </w:r>
    </w:fldSimple>
    <w:r w:rsidRPr="0079556C">
      <w:tab/>
      <w:t>PE</w:t>
    </w:r>
    <w:r w:rsidRPr="0079556C">
      <w:rPr>
        <w:rStyle w:val="HideTWBExt"/>
      </w:rPr>
      <w:t>&lt;NoPE&gt;</w:t>
    </w:r>
    <w:r w:rsidRPr="0079556C">
      <w:t>756.194</w:t>
    </w:r>
    <w:r w:rsidRPr="0079556C">
      <w:rPr>
        <w:rStyle w:val="HideTWBExt"/>
      </w:rPr>
      <w:t>&lt;/NoPE&gt;&lt;Version&gt;</w:t>
    </w:r>
    <w:r w:rsidRPr="0079556C">
      <w:t>v03-00</w:t>
    </w:r>
    <w:r w:rsidRPr="0079556C">
      <w:rPr>
        <w:rStyle w:val="HideTWBExt"/>
      </w:rPr>
      <w:t>&lt;/Version&gt;</w:t>
    </w:r>
  </w:p>
  <w:p w:rsidR="002E2F2E" w:rsidRPr="0079556C" w:rsidRDefault="0079556C" w:rsidP="0079556C">
    <w:pPr>
      <w:pStyle w:val="EPFooter2"/>
    </w:pPr>
    <w:r w:rsidRPr="0079556C">
      <w:tab/>
    </w:r>
    <w:r w:rsidRPr="0079556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56C" w:rsidRPr="0079556C" w:rsidRDefault="0079556C" w:rsidP="0079556C">
    <w:pPr>
      <w:pStyle w:val="EPFooter"/>
    </w:pPr>
    <w:r w:rsidRPr="0079556C">
      <w:rPr>
        <w:rStyle w:val="HideTWBExt"/>
      </w:rPr>
      <w:t>&lt;PathFdR&gt;</w:t>
    </w:r>
    <w:r w:rsidRPr="0079556C">
      <w:t>AD\1295226PT.docx</w:t>
    </w:r>
    <w:r w:rsidRPr="0079556C">
      <w:rPr>
        <w:rStyle w:val="HideTWBExt"/>
      </w:rPr>
      <w:t>&lt;/PathFdR&gt;</w:t>
    </w:r>
    <w:r w:rsidRPr="0079556C">
      <w:tab/>
    </w:r>
    <w:r w:rsidRPr="0079556C">
      <w:tab/>
      <w:t>PE</w:t>
    </w:r>
    <w:r w:rsidRPr="0079556C">
      <w:rPr>
        <w:rStyle w:val="HideTWBExt"/>
      </w:rPr>
      <w:t>&lt;NoPE&gt;</w:t>
    </w:r>
    <w:r w:rsidRPr="0079556C">
      <w:t>756.194</w:t>
    </w:r>
    <w:r w:rsidRPr="0079556C">
      <w:rPr>
        <w:rStyle w:val="HideTWBExt"/>
      </w:rPr>
      <w:t>&lt;/NoPE&gt;&lt;Version&gt;</w:t>
    </w:r>
    <w:r w:rsidRPr="0079556C">
      <w:t>v03-00</w:t>
    </w:r>
    <w:r w:rsidRPr="0079556C">
      <w:rPr>
        <w:rStyle w:val="HideTWBExt"/>
      </w:rPr>
      <w:t>&lt;/Version&gt;</w:t>
    </w:r>
  </w:p>
  <w:p w:rsidR="002E2F2E" w:rsidRPr="0079556C" w:rsidRDefault="0079556C" w:rsidP="0079556C">
    <w:pPr>
      <w:pStyle w:val="EPFooter2"/>
    </w:pPr>
    <w:r w:rsidRPr="0079556C">
      <w:t>PT</w:t>
    </w:r>
    <w:r w:rsidRPr="0079556C">
      <w:tab/>
    </w:r>
    <w:r w:rsidRPr="0079556C">
      <w:rPr>
        <w:b w:val="0"/>
        <w:i/>
        <w:color w:val="C0C0C0"/>
        <w:sz w:val="22"/>
      </w:rPr>
      <w:t>Unida na diversidade</w:t>
    </w:r>
    <w:r w:rsidRPr="0079556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C8C" w:rsidRPr="0079556C" w:rsidRDefault="007B2C8C">
      <w:r w:rsidRPr="0079556C">
        <w:separator/>
      </w:r>
    </w:p>
  </w:footnote>
  <w:footnote w:type="continuationSeparator" w:id="0">
    <w:p w:rsidR="007B2C8C" w:rsidRPr="0079556C" w:rsidRDefault="007B2C8C">
      <w:r w:rsidRPr="007955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3BD" w:rsidRDefault="00EA6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3BD" w:rsidRDefault="00EA6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3BD" w:rsidRDefault="00EA6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096 HideTWBInt;}{_x000d__x000a_\s18\ql \fi-567\li567\ri0\sa240\nowidctlpar\wrapdefault\aspalpha\aspnum\faauto\adjustright\rin0\lin567\itap0 \rtlch\fcs1 \af0\afs20\alang1025 \ltrch\fcs0 \fs24\lang2057\langfe2057\cgrid\langnp2057\langfenp2057 _x000d__x000a_\sbasedon0 \snext18 \spriority0 \styrsid96096 NormalHanging12a;}}{\*\rsidtbl \rsid24658\rsid96096\rsid223860\rsid735077\rsid1718133\rsid2892074\rsid3565327\rsid4666813\rsid6641733\rsid7823322\rsid9636012\rsid10377208\rsid11215221\rsid11549030\rsid12154954_x000d__x000a_\rsid13264953\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9}{\revtim\yr2024\mo1\dy22\hr10\min9}{\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096\newtblstyruls\nogrowautofit\usenormstyforlist\noindnmbrts\felnbrelev\nocxsptable\indrlsweleven\noafcnsttbl\afelev\utinl\hwelev\spltpgpar\notcvasp\notbrkcnstfrctbl\notvatxbx\krnprsnet\cachedcolbal \nouicompat \fet0_x000d__x000a_{\*\wgrffmtfilter 013f}\nofeaturethrottle1\ilfomacatclnup0{\*\template C:\\Users\\icuadrat\\AppData\\Local\\Temp\\Blank1.dotx}{\*\ftnsep \ltrpar \pard\plain \ltrpar\ql \li0\ri0\widctlpar\wrapdefault\aspalpha\aspnum\faauto\adjustright\rin0\lin0\itap0 _x000d__x000a_\rtlch\fcs1 \af0\afs20\alang1025 \ltrch\fcs0 \fs24\lang2057\langfe2057\cgrid\langnp2057\langfenp2057 {\rtlch\fcs1 \af0 \ltrch\fcs0 \insrsid13264953 \chftnsep _x000d__x000a_\par }}{\*\ftnsepc \ltrpar \pard\plain \ltrpar\ql \li0\ri0\widctlpar\wrapdefault\aspalpha\aspnum\faauto\adjustright\rin0\lin0\itap0 \rtlch\fcs1 \af0\afs20\alang1025 \ltrch\fcs0 \fs24\lang2057\langfe2057\cgrid\langnp2057\langfenp2057 {\rtlch\fcs1 \af0 _x000d__x000a_\ltrch\fcs0 \insrsid13264953 \chftnsepc _x000d__x000a_\par }}{\*\aftnsep \ltrpar \pard\plain \ltrpar\ql \li0\ri0\widctlpar\wrapdefault\aspalpha\aspnum\faauto\adjustright\rin0\lin0\itap0 \rtlch\fcs1 \af0\afs20\alang1025 \ltrch\fcs0 \fs24\lang2057\langfe2057\cgrid\langnp2057\langfenp2057 {\rtlch\fcs1 \af0 _x000d__x000a_\ltrch\fcs0 \insrsid13264953 \chftnsep _x000d__x000a_\par }}{\*\aftnsepc \ltrpar \pard\plain \ltrpar\ql \li0\ri0\widctlpar\wrapdefault\aspalpha\aspnum\faauto\adjustright\rin0\lin0\itap0 \rtlch\fcs1 \af0\afs20\alang1025 \ltrch\fcs0 \fs24\lang2057\langfe2057\cgrid\langnp2057\langfenp2057 {\rtlch\fcs1 \af0 _x000d__x000a_\ltrch\fcs0 \insrsid132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6096 \rtlch\fcs1 \af0\afs20\alang1025 \ltrch\fcs0 \fs24\lang2057\langfe2057\cgrid\langnp2057\langfenp2057 {\rtlch\fcs1 \af0 \ltrch\fcs0 _x000d__x000a_\insrsid96096\charrsid13044652 {\*\bkmkstart restart}#}{\rtlch\fcs1 \af1 \ltrch\fcs0 \cs17\v\f1\fs20\cf15\insrsid96096\charrsid13044652 NRMSG}{\rtlch\fcs1 \af0 \ltrch\fcs0 \insrsid96096\charrsid13044652 #.\tab ##}{\rtlch\fcs1 \af0 \ltrch\fcs0 _x000d__x000a_\insrsid9609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2_x000d__x000a_d9b4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265189 NormalHanging12a;}}{\*\rsidtbl \rsid24658\rsid223860\rsid735077\rsid1718133\rsid2892074\rsid3565327\rsid4666813\rsid6316134\rsid6641733\rsid7823322_x000d__x000a_\rsid926518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9}{\revtim\yr2024\mo1\dy22\hr10\min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518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6316134 \chftnsep _x000d__x000a_\par }}{\*\ftnsepc \ltrpar \pard\plain \ltrpar\ql \li0\ri0\widctlpar\wrapdefault\aspalpha\aspnum\faauto\adjustright\rin0\lin0\itap0 \rtlch\fcs1 \af0\afs20\alang1025 \ltrch\fcs0 \fs24\lang2057\langfe2057\cgrid\langnp2057\langfenp2057 {\rtlch\fcs1 \af0 _x000d__x000a_\ltrch\fcs0 \insrsid6316134 \chftnsepc _x000d__x000a_\par }}{\*\aftnsep \ltrpar \pard\plain \ltrpar\ql \li0\ri0\widctlpar\wrapdefault\aspalpha\aspnum\faauto\adjustright\rin0\lin0\itap0 \rtlch\fcs1 \af0\afs20\alang1025 \ltrch\fcs0 \fs24\lang2057\langfe2057\cgrid\langnp2057\langfenp2057 {\rtlch\fcs1 \af0 _x000d__x000a_\ltrch\fcs0 \insrsid6316134 \chftnsep _x000d__x000a_\par }}{\*\aftnsepc \ltrpar \pard\plain \ltrpar\ql \li0\ri0\widctlpar\wrapdefault\aspalpha\aspnum\faauto\adjustright\rin0\lin0\itap0 \rtlch\fcs1 \af0\afs20\alang1025 \ltrch\fcs0 \fs24\lang2057\langfe2057\cgrid\langnp2057\langfenp2057 {\rtlch\fcs1 \af0 _x000d__x000a_\ltrch\fcs0 \insrsid6316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265189 \rtlch\fcs1 \af0\afs20\alang1025 \ltrch\fcs0 \fs24\lang2057\langfe2057\cgrid\langnp2057\langfenp2057 {\rtlch\fcs1 \af0 _x000d__x000a_\ltrch\fcs0 \insrsid9265189\charrsid1525456 {\*\bkmkstart restart}[ZSUGGESTIONNR]\tab [ZSUGGESTIONTEXT]}{\rtlch\fcs1 \af0 \ltrch\fcs0 \insrsid926518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9_x000d__x000a_7bb7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4"/>
    <w:docVar w:name="TXTNRPROC" w:val="2023/2157"/>
    <w:docVar w:name="TXTPEorAP" w:val="PE"/>
    <w:docVar w:name="TXTROUTE" w:val="AD\1295226EN.docx"/>
    <w:docVar w:name="TXTTITLE" w:val="of the European Monitoring Centre for Drugs and Drug Addiction for the financial year 2022"/>
    <w:docVar w:name="TXTVERSION" w:val="03-00"/>
  </w:docVars>
  <w:rsids>
    <w:rsidRoot w:val="007B2C8C"/>
    <w:rsid w:val="000316E7"/>
    <w:rsid w:val="000E7EBF"/>
    <w:rsid w:val="00124F60"/>
    <w:rsid w:val="00135121"/>
    <w:rsid w:val="00140BE6"/>
    <w:rsid w:val="00147F4E"/>
    <w:rsid w:val="0016635E"/>
    <w:rsid w:val="001746D0"/>
    <w:rsid w:val="001B6005"/>
    <w:rsid w:val="001B663A"/>
    <w:rsid w:val="001B7393"/>
    <w:rsid w:val="001D2ED9"/>
    <w:rsid w:val="001D4AB6"/>
    <w:rsid w:val="001F21C1"/>
    <w:rsid w:val="002D28A7"/>
    <w:rsid w:val="002E2F2E"/>
    <w:rsid w:val="002E6F98"/>
    <w:rsid w:val="00325BCB"/>
    <w:rsid w:val="00331944"/>
    <w:rsid w:val="00332AD9"/>
    <w:rsid w:val="00347D2C"/>
    <w:rsid w:val="0037356F"/>
    <w:rsid w:val="00390EB2"/>
    <w:rsid w:val="00396A0E"/>
    <w:rsid w:val="003D00A4"/>
    <w:rsid w:val="003E2402"/>
    <w:rsid w:val="004C28FB"/>
    <w:rsid w:val="004C44C0"/>
    <w:rsid w:val="0052544E"/>
    <w:rsid w:val="00543436"/>
    <w:rsid w:val="00555018"/>
    <w:rsid w:val="005940C3"/>
    <w:rsid w:val="00594C48"/>
    <w:rsid w:val="005B2F11"/>
    <w:rsid w:val="005B6971"/>
    <w:rsid w:val="005C0BDF"/>
    <w:rsid w:val="005D60C6"/>
    <w:rsid w:val="006102E7"/>
    <w:rsid w:val="00635621"/>
    <w:rsid w:val="00640C1B"/>
    <w:rsid w:val="00647C6C"/>
    <w:rsid w:val="00657AFB"/>
    <w:rsid w:val="006D5BF7"/>
    <w:rsid w:val="0079556C"/>
    <w:rsid w:val="007B0491"/>
    <w:rsid w:val="007B2C8C"/>
    <w:rsid w:val="007F2664"/>
    <w:rsid w:val="008313E7"/>
    <w:rsid w:val="00854CAC"/>
    <w:rsid w:val="008A32C5"/>
    <w:rsid w:val="008C6203"/>
    <w:rsid w:val="008D61E7"/>
    <w:rsid w:val="008E3C1B"/>
    <w:rsid w:val="008F7002"/>
    <w:rsid w:val="009177EE"/>
    <w:rsid w:val="0099493F"/>
    <w:rsid w:val="00A16BEA"/>
    <w:rsid w:val="00A312B3"/>
    <w:rsid w:val="00A72C35"/>
    <w:rsid w:val="00A82ACC"/>
    <w:rsid w:val="00AE180F"/>
    <w:rsid w:val="00B362F7"/>
    <w:rsid w:val="00B4432D"/>
    <w:rsid w:val="00B5456B"/>
    <w:rsid w:val="00B74B53"/>
    <w:rsid w:val="00BC26E4"/>
    <w:rsid w:val="00BD1EAA"/>
    <w:rsid w:val="00C52739"/>
    <w:rsid w:val="00C66DC4"/>
    <w:rsid w:val="00C827FF"/>
    <w:rsid w:val="00CD34AC"/>
    <w:rsid w:val="00DE19FF"/>
    <w:rsid w:val="00E65F6A"/>
    <w:rsid w:val="00E66C67"/>
    <w:rsid w:val="00E81BA6"/>
    <w:rsid w:val="00E856D2"/>
    <w:rsid w:val="00E929A7"/>
    <w:rsid w:val="00EA63BD"/>
    <w:rsid w:val="00EE21EA"/>
    <w:rsid w:val="00EE31D5"/>
    <w:rsid w:val="00F832C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BalloonText">
    <w:name w:val="Balloon Text"/>
    <w:basedOn w:val="Normal"/>
    <w:link w:val="BalloonTextChar"/>
    <w:semiHidden/>
    <w:unhideWhenUsed/>
    <w:rsid w:val="00543436"/>
    <w:rPr>
      <w:rFonts w:ascii="Segoe UI" w:hAnsi="Segoe UI" w:cs="Segoe UI"/>
      <w:sz w:val="18"/>
      <w:szCs w:val="18"/>
    </w:rPr>
  </w:style>
  <w:style w:type="character" w:customStyle="1" w:styleId="BalloonTextChar">
    <w:name w:val="Balloon Text Char"/>
    <w:basedOn w:val="DefaultParagraphFont"/>
    <w:link w:val="BalloonText"/>
    <w:semiHidden/>
    <w:rsid w:val="00543436"/>
    <w:rPr>
      <w:rFonts w:ascii="Segoe UI" w:hAnsi="Segoe UI" w:cs="Segoe UI"/>
      <w:sz w:val="18"/>
      <w:szCs w:val="18"/>
    </w:rPr>
  </w:style>
  <w:style w:type="paragraph" w:customStyle="1" w:styleId="RollCallSymbols14pt">
    <w:name w:val="RollCallSymbols14pt"/>
    <w:basedOn w:val="Normal"/>
    <w:rsid w:val="00647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C6C"/>
    <w:pPr>
      <w:tabs>
        <w:tab w:val="center" w:pos="284"/>
        <w:tab w:val="left" w:pos="426"/>
      </w:tabs>
    </w:pPr>
    <w:rPr>
      <w:snapToGrid w:val="0"/>
      <w:lang w:eastAsia="en-US"/>
    </w:rPr>
  </w:style>
  <w:style w:type="paragraph" w:customStyle="1" w:styleId="RollCallVotes">
    <w:name w:val="RollCallVotes"/>
    <w:basedOn w:val="Normal"/>
    <w:rsid w:val="00647C6C"/>
    <w:pPr>
      <w:spacing w:before="120" w:after="120"/>
      <w:jc w:val="center"/>
    </w:pPr>
    <w:rPr>
      <w:b/>
      <w:bCs/>
      <w:snapToGrid w:val="0"/>
      <w:sz w:val="16"/>
      <w:lang w:eastAsia="en-US"/>
    </w:rPr>
  </w:style>
  <w:style w:type="paragraph" w:customStyle="1" w:styleId="RollCallTable">
    <w:name w:val="RollCallTable"/>
    <w:basedOn w:val="Normal"/>
    <w:rsid w:val="00647C6C"/>
    <w:pPr>
      <w:spacing w:before="120" w:after="120"/>
    </w:pPr>
    <w:rPr>
      <w:snapToGrid w:val="0"/>
      <w:sz w:val="16"/>
      <w:lang w:eastAsia="en-US"/>
    </w:rPr>
  </w:style>
  <w:style w:type="paragraph" w:customStyle="1" w:styleId="Normal24a">
    <w:name w:val="Normal24a"/>
    <w:basedOn w:val="Normal"/>
    <w:rsid w:val="001B663A"/>
    <w:pPr>
      <w:spacing w:after="480"/>
    </w:pPr>
  </w:style>
  <w:style w:type="paragraph" w:customStyle="1" w:styleId="NormalBoldCenter">
    <w:name w:val="NormalBoldCenter"/>
    <w:basedOn w:val="Normal"/>
    <w:rsid w:val="001B663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9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1301</Words>
  <Characters>7390</Characters>
  <Application>Microsoft Office Word</Application>
  <DocSecurity>0</DocSecurity>
  <Lines>179</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2024-02-05T11:11:00Z</dcterms:created>
  <dcterms:modified xsi:type="dcterms:W3CDTF">2024-02-05T11:11:00Z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AD\1295226PT.docx</vt:lpwstr>
  </property>
  <property fmtid="{D5CDD505-2E9C-101B-9397-08002B2CF9AE}" pid="11" name="PE number">
    <vt:lpwstr>756.194</vt:lpwstr>
  </property>
  <property fmtid="{D5CDD505-2E9C-101B-9397-08002B2CF9AE}" pid="12" name="SendToEpades">
    <vt:lpwstr>OK - 2024/01/25 13:19</vt:lpwstr>
  </property>
  <property fmtid="{D5CDD505-2E9C-101B-9397-08002B2CF9AE}" pid="13" name="SDLStudio">
    <vt:lpwstr/>
  </property>
  <property fmtid="{D5CDD505-2E9C-101B-9397-08002B2CF9AE}" pid="14" name="Bookout">
    <vt:lpwstr>OK - 2024/02/05 12:11</vt:lpwstr>
  </property>
</Properties>
</file>