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4A159A" w:rsidTr="00C85D0F">
        <w:trPr>
          <w:trHeight w:hRule="exact" w:val="1418"/>
        </w:trPr>
        <w:tc>
          <w:tcPr>
            <w:tcW w:w="6804" w:type="dxa"/>
            <w:shd w:val="clear" w:color="auto" w:fill="auto"/>
            <w:vAlign w:val="center"/>
          </w:tcPr>
          <w:p w:rsidR="00854CAC" w:rsidRPr="004A159A" w:rsidRDefault="00412867" w:rsidP="00C85D0F">
            <w:pPr>
              <w:pStyle w:val="EPName"/>
            </w:pPr>
            <w:r>
              <w:t>Evropski parlament</w:t>
            </w:r>
          </w:p>
          <w:p w:rsidR="00854CAC" w:rsidRPr="004A159A" w:rsidRDefault="00EA1090" w:rsidP="00EA1090">
            <w:pPr>
              <w:pStyle w:val="EPTerm"/>
            </w:pPr>
            <w:r>
              <w:t>2019-2024</w:t>
            </w:r>
          </w:p>
        </w:tc>
        <w:tc>
          <w:tcPr>
            <w:tcW w:w="2268" w:type="dxa"/>
            <w:shd w:val="clear" w:color="auto" w:fill="auto"/>
          </w:tcPr>
          <w:p w:rsidR="00854CAC" w:rsidRPr="004A159A" w:rsidRDefault="00854CAC" w:rsidP="00C85D0F">
            <w:pPr>
              <w:pStyle w:val="EPLogo"/>
            </w:pPr>
            <w:r w:rsidRPr="004A159A">
              <w:rPr>
                <w:noProof/>
                <w:lang w:eastAsia="sl-SI"/>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4A159A" w:rsidRDefault="001746D0" w:rsidP="001746D0">
      <w:pPr>
        <w:pStyle w:val="LineTop"/>
      </w:pPr>
    </w:p>
    <w:p w:rsidR="001746D0" w:rsidRPr="004A159A" w:rsidRDefault="001746D0" w:rsidP="001746D0">
      <w:pPr>
        <w:pStyle w:val="EPBody"/>
      </w:pPr>
      <w:r w:rsidRPr="00824390">
        <w:rPr>
          <w:rStyle w:val="HideTWBExt"/>
          <w:i w:val="0"/>
          <w:szCs w:val="20"/>
        </w:rPr>
        <w:t>&lt;Commission&gt;</w:t>
      </w:r>
      <w:r w:rsidRPr="00824390">
        <w:rPr>
          <w:rStyle w:val="HideTWBInt"/>
          <w:i w:val="0"/>
          <w:szCs w:val="20"/>
        </w:rPr>
        <w:t>{LIBE}</w:t>
      </w:r>
      <w:r>
        <w:t>Odbor za državljanske svoboščine, pravosodje in notranje zadeve</w:t>
      </w:r>
      <w:r w:rsidRPr="00824390">
        <w:rPr>
          <w:rStyle w:val="HideTWBExt"/>
          <w:i w:val="0"/>
          <w:szCs w:val="20"/>
        </w:rPr>
        <w:t>&lt;/Commission&gt;</w:t>
      </w:r>
    </w:p>
    <w:p w:rsidR="001746D0" w:rsidRPr="004A159A" w:rsidRDefault="001746D0" w:rsidP="001746D0">
      <w:pPr>
        <w:pStyle w:val="LineBottom"/>
      </w:pPr>
    </w:p>
    <w:p w:rsidR="002E2F2E" w:rsidRPr="004A159A" w:rsidRDefault="002E2F2E">
      <w:pPr>
        <w:pStyle w:val="CoverReference"/>
      </w:pPr>
      <w:r w:rsidRPr="00824390">
        <w:rPr>
          <w:rStyle w:val="HideTWBExt"/>
          <w:b w:val="0"/>
        </w:rPr>
        <w:t>&lt;RefProc&gt;</w:t>
      </w:r>
      <w:r>
        <w:t>2023/2157</w:t>
      </w:r>
      <w:r w:rsidRPr="00824390">
        <w:rPr>
          <w:rStyle w:val="HideTWBExt"/>
          <w:b w:val="0"/>
        </w:rPr>
        <w:t>&lt;/RefProc&gt;&lt;RefTypeProc&gt;</w:t>
      </w:r>
      <w:r>
        <w:t>(DEC)</w:t>
      </w:r>
      <w:r w:rsidRPr="00824390">
        <w:rPr>
          <w:rStyle w:val="HideTWBExt"/>
          <w:b w:val="0"/>
        </w:rPr>
        <w:t>&lt;/RefTypeProc&gt;</w:t>
      </w:r>
    </w:p>
    <w:p w:rsidR="002E2F2E" w:rsidRPr="004A159A" w:rsidRDefault="002E2F2E">
      <w:pPr>
        <w:pStyle w:val="CoverDate"/>
      </w:pPr>
      <w:r w:rsidRPr="00824390">
        <w:rPr>
          <w:rStyle w:val="HideTWBExt"/>
        </w:rPr>
        <w:t>&lt;Date&gt;</w:t>
      </w:r>
      <w:r w:rsidRPr="00824390">
        <w:rPr>
          <w:rStyle w:val="HideTWBInt"/>
        </w:rPr>
        <w:t>{24/01/2024}</w:t>
      </w:r>
      <w:r>
        <w:t>24.1.2024</w:t>
      </w:r>
      <w:r w:rsidRPr="00824390">
        <w:rPr>
          <w:rStyle w:val="HideTWBExt"/>
        </w:rPr>
        <w:t>&lt;/Date&gt;</w:t>
      </w:r>
    </w:p>
    <w:p w:rsidR="002E2F2E" w:rsidRPr="004A159A" w:rsidRDefault="002E2F2E">
      <w:pPr>
        <w:pStyle w:val="CoverDocType24a"/>
      </w:pPr>
      <w:r w:rsidRPr="00824390">
        <w:rPr>
          <w:rStyle w:val="HideTWBExt"/>
          <w:b w:val="0"/>
        </w:rPr>
        <w:t>&lt;TitreType&gt;</w:t>
      </w:r>
      <w:r>
        <w:t>MNENJE</w:t>
      </w:r>
      <w:r w:rsidRPr="00824390">
        <w:rPr>
          <w:rStyle w:val="HideTWBExt"/>
          <w:b w:val="0"/>
        </w:rPr>
        <w:t>&lt;/TitreType&gt;</w:t>
      </w:r>
    </w:p>
    <w:p w:rsidR="002E2F2E" w:rsidRPr="004A159A" w:rsidRDefault="002E2F2E">
      <w:pPr>
        <w:pStyle w:val="CoverNormal24a"/>
      </w:pPr>
      <w:r w:rsidRPr="00824390">
        <w:rPr>
          <w:rStyle w:val="HideTWBExt"/>
        </w:rPr>
        <w:t>&lt;CommissionResp&gt;</w:t>
      </w:r>
      <w:r>
        <w:t>Odbora za državljanske svoboščine, pravosodje in notranje zadeve</w:t>
      </w:r>
      <w:r w:rsidRPr="00824390">
        <w:rPr>
          <w:rStyle w:val="HideTWBExt"/>
        </w:rPr>
        <w:t>&lt;/CommissionResp&gt;</w:t>
      </w:r>
    </w:p>
    <w:p w:rsidR="002E2F2E" w:rsidRPr="004A159A" w:rsidRDefault="002E2F2E">
      <w:pPr>
        <w:pStyle w:val="CoverNormal24a"/>
      </w:pPr>
      <w:r w:rsidRPr="00824390">
        <w:rPr>
          <w:rStyle w:val="HideTWBExt"/>
        </w:rPr>
        <w:t>&lt;CommissionInt&gt;</w:t>
      </w:r>
      <w:r>
        <w:t>za Odbor za proračunski nadzor</w:t>
      </w:r>
      <w:r w:rsidRPr="00824390">
        <w:rPr>
          <w:rStyle w:val="HideTWBExt"/>
        </w:rPr>
        <w:t>&lt;/CommissionInt&gt;</w:t>
      </w:r>
    </w:p>
    <w:p w:rsidR="00EA1090" w:rsidRPr="004A159A" w:rsidRDefault="00EA1090" w:rsidP="00EA1090">
      <w:pPr>
        <w:pStyle w:val="CoverNormal"/>
      </w:pPr>
      <w:r w:rsidRPr="00824390">
        <w:rPr>
          <w:rStyle w:val="HideTWBExt"/>
        </w:rPr>
        <w:t>&lt;Titre&gt;</w:t>
      </w:r>
      <w:r>
        <w:t>o razrešnici glede izvrševanja proračuna Evropskega centra za spremljanje drog in zasvojenosti z drogami za proračunsko leto 2022</w:t>
      </w:r>
      <w:r w:rsidRPr="00824390">
        <w:rPr>
          <w:rStyle w:val="HideTWBExt"/>
        </w:rPr>
        <w:t>&lt;/Titre&gt;</w:t>
      </w:r>
    </w:p>
    <w:p w:rsidR="002E2F2E" w:rsidRPr="004A159A" w:rsidRDefault="00EA1090" w:rsidP="00EA1090">
      <w:pPr>
        <w:pStyle w:val="CoverNormal24a"/>
      </w:pPr>
      <w:r w:rsidRPr="00824390">
        <w:rPr>
          <w:rStyle w:val="HideTWBExt"/>
        </w:rPr>
        <w:t>&lt;DocRef&gt;</w:t>
      </w:r>
      <w:r>
        <w:t>(2023/2157(DEC))</w:t>
      </w:r>
      <w:r w:rsidRPr="00824390">
        <w:rPr>
          <w:rStyle w:val="HideTWBExt"/>
        </w:rPr>
        <w:t>&lt;/DocRef&gt;</w:t>
      </w:r>
    </w:p>
    <w:p w:rsidR="002E2F2E" w:rsidRPr="004A159A" w:rsidRDefault="00EA1090">
      <w:pPr>
        <w:pStyle w:val="CoverNormal24a"/>
      </w:pPr>
      <w:r>
        <w:t xml:space="preserve">Pripravljavec mnenja: </w:t>
      </w:r>
      <w:r w:rsidRPr="00824390">
        <w:rPr>
          <w:rStyle w:val="HideTWBExt"/>
        </w:rPr>
        <w:t>&lt;Depute&gt;</w:t>
      </w:r>
      <w:r>
        <w:t>Tomáš Zdechovský</w:t>
      </w:r>
      <w:r w:rsidRPr="00824390">
        <w:rPr>
          <w:rStyle w:val="HideTWBExt"/>
        </w:rPr>
        <w:t>&lt;/Depute&gt;</w:t>
      </w:r>
    </w:p>
    <w:p w:rsidR="00A72C35" w:rsidRPr="004A159A" w:rsidRDefault="00A72C35" w:rsidP="00A72C35">
      <w:pPr>
        <w:pStyle w:val="CoverNormal"/>
      </w:pPr>
    </w:p>
    <w:p w:rsidR="002E2F2E" w:rsidRPr="004A159A" w:rsidRDefault="002E2F2E" w:rsidP="00E856D2">
      <w:pPr>
        <w:widowControl/>
        <w:tabs>
          <w:tab w:val="center" w:pos="4677"/>
        </w:tabs>
      </w:pPr>
      <w:r>
        <w:br w:type="page"/>
      </w:r>
      <w:r>
        <w:lastRenderedPageBreak/>
        <w:t>PA_NonLeg</w:t>
      </w:r>
    </w:p>
    <w:p w:rsidR="002E2F2E" w:rsidRPr="004A159A" w:rsidRDefault="002E2F2E">
      <w:pPr>
        <w:pStyle w:val="PageHeadingNotTOC"/>
      </w:pPr>
      <w:r>
        <w:br w:type="page"/>
        <w:t>POBUDE</w:t>
      </w:r>
    </w:p>
    <w:p w:rsidR="002E2F2E" w:rsidRPr="004A159A" w:rsidRDefault="00EA1090" w:rsidP="008313E7">
      <w:pPr>
        <w:pStyle w:val="Normal12a"/>
      </w:pPr>
      <w:r>
        <w:t>Odbor za državljanske svoboščine, pravosodje in notranje zadeve poziva Odbor za proračunski nadzor kot pristojni odbor, da v svoj predlog resolucije vključi naslednje pobude:</w:t>
      </w:r>
    </w:p>
    <w:p w:rsidR="004A159A" w:rsidRPr="004A159A" w:rsidRDefault="004A159A" w:rsidP="004A159A">
      <w:pPr>
        <w:pStyle w:val="NormalHanging12a"/>
      </w:pPr>
      <w:bookmarkStart w:id="0" w:name="restart"/>
      <w:r>
        <w:t>1.</w:t>
      </w:r>
      <w:r>
        <w:tab/>
        <w:t>pozdravlja ugotovitev Računskega sodišča, da so transakcije, povezane z letnimi računovodskimi izkazi Evropskega centra za spremljanje drog in zasvojenosti z drogami (v nadaljnjem besedilu: center) za proračunsko leto 2022, v vseh pomembnih vidikih zakonite in pravilne; na podlagi letnega poročila Računskega sodišča o agencijah EU za leto 2022 ugotavlja, da je njegov proračun za leto 2022 znašal 26 milijonov EUR, kar je 4 % več kot leta 2021 (25 milijonov EUR), število zaposlenih pa je v skladu s sklepom ustreznega proračunskega organa ostalo nespremenjeno;</w:t>
      </w:r>
    </w:p>
    <w:bookmarkEnd w:id="0"/>
    <w:p w:rsidR="004A159A" w:rsidRPr="004A159A" w:rsidRDefault="004A159A" w:rsidP="004A159A">
      <w:pPr>
        <w:pStyle w:val="NormalHanging12a"/>
        <w:rPr>
          <w:szCs w:val="24"/>
        </w:rPr>
      </w:pPr>
      <w:r>
        <w:t>2.</w:t>
      </w:r>
      <w:r>
        <w:tab/>
        <w:t xml:space="preserve">pozdravlja, da so bili sprejeti ustrezni popravni ukrepi za obravnavo ugotovitev Računskega sodišča iz prejšnjih let; pozdravlja vsakoletno objavo vodilne publikacije, namreč evropskega poročila o drogah za leto 2022, objavo statističnega biltena za leto 2022 in dodano vrednost sistema EU za zgodnje opozarjanje o novih psihoaktivnih snoveh, ki ga center v letu 2022 izvaja že 25 let; pozdravlja objavo 69 publikacij, med katerimi je sedem mini vodnikov in tri glavne teme v okviru vodilnega poročila centra z naslovom </w:t>
      </w:r>
      <w:r>
        <w:rPr>
          <w:i/>
          <w:iCs/>
        </w:rPr>
        <w:t>Health and social responses to drug problems: a European guide</w:t>
      </w:r>
      <w:r>
        <w:t xml:space="preserve"> (Zdravstveni in socialni odzivi na problematiko drog: evropski vodnik); izreka pohvalo centru, ki je skupaj s svojimi partnerji organiziral četrto evropsko konferenco o zasvojenosti in odvisnosti; spodbuja center, naj nadaljuje svoje dejavnosti izmenjave znanja;</w:t>
      </w:r>
    </w:p>
    <w:p w:rsidR="004A159A" w:rsidRPr="004A159A" w:rsidRDefault="004A159A" w:rsidP="004A159A">
      <w:pPr>
        <w:pStyle w:val="NormalHanging12a"/>
        <w:rPr>
          <w:szCs w:val="24"/>
        </w:rPr>
      </w:pPr>
      <w:r>
        <w:t>3.</w:t>
      </w:r>
      <w:r>
        <w:tab/>
        <w:t>pozdravlja dejavnosti usposabljanja v zvezi z drogami, v katerih je sodelovalo 609 strokovnjakov s področja kazenskega pregona iz EU in partnerjev projekta tehničnega sodelovanja, ki jih izvaja center v sodelovanju z Agencijo Evropske unije za usposabljanje na področju preprečevanja, odkrivanja in preiskovanja kaznivih dejanj (CEPOL); pozdravlja, da se je leta 2022 v centru usposabljalo skoraj 950 strokovnjakov, ki delajo na področju drog, vključno z uradniki organov kazenskega pregona in oblikovalci politik, medtem ko se je približno 1200 strokovnjakov, ki delajo na področju drog, udeležilo sedmih spletnih seminarjev, ki jih je organiziral center; poudarja, da ima center pomembno vlogo, saj oblikovalcem politik in strokovnjakom zagotavlja informacije in analize o drogah in zasvojenosti z drogami,</w:t>
      </w:r>
      <w:r w:rsidR="00C8716C">
        <w:t xml:space="preserve"> ki temeljijo na javnem zdravju;</w:t>
      </w:r>
    </w:p>
    <w:p w:rsidR="004A159A" w:rsidRPr="004A159A" w:rsidRDefault="004A159A" w:rsidP="004A159A">
      <w:pPr>
        <w:pStyle w:val="NormalHanging12a"/>
        <w:rPr>
          <w:szCs w:val="24"/>
        </w:rPr>
      </w:pPr>
      <w:r>
        <w:t>4.</w:t>
      </w:r>
      <w:r>
        <w:tab/>
        <w:t>pozdravlja neomajna prizadevanja centra, da bi poudaril socialne vidike in družbeni vpliv drog, spodbujal politike ponovnega vključevanja uporabnikov drog v družbo in obravnaval temo drog z večdisciplinarno perspektivo; meni, da je bistveno še naprej ozaveščati o pomenu preprečevanja in inovativnega pristopa k politikam na področju drog, ki temelji na duševnem zdravju;</w:t>
      </w:r>
    </w:p>
    <w:p w:rsidR="004A159A" w:rsidRPr="004A159A" w:rsidRDefault="004A159A" w:rsidP="004A159A">
      <w:pPr>
        <w:pStyle w:val="NormalHanging12a"/>
        <w:rPr>
          <w:szCs w:val="24"/>
        </w:rPr>
      </w:pPr>
      <w:r>
        <w:t>5.</w:t>
      </w:r>
      <w:r>
        <w:tab/>
        <w:t>opozarja, da delo centra temelji na strateški, z dokazi podprti zmogljivosti za oceno ogroženosti na področju zdravja in varnosti, da se v zgodnji fazi opredeli nov razvoj dogodkov v zvezi s pojavom drog, ki bi lahko negativno vplival na zdravje, socialne zadeve, varnost ali zaščito v Uniji; opozarja, da bi se morale ocene tveganj za zdravje odražati tudi v delu centra;</w:t>
      </w:r>
    </w:p>
    <w:p w:rsidR="004A159A" w:rsidRPr="004A159A" w:rsidRDefault="004A159A" w:rsidP="004A159A">
      <w:pPr>
        <w:pStyle w:val="NormalHanging12a"/>
      </w:pPr>
      <w:r>
        <w:t>6.</w:t>
      </w:r>
      <w:r>
        <w:tab/>
        <w:t>pozdravlja napredek, ki ga je center dosegel pri skupnih trgih z drogami v EU: v sodelovanju z Europolom pripravljeno poglobljeno analizo z moduli o specifičnih drogah, ki so se objavljali skozi vse leto 2022, objave pa so predvidene tudi v letu 2023; pozdravlja delo, ki je bilo opravljeno v letu 2022 za izboljšanje kakovosti in razpoložljivosti osnovnih podatkov o dobavi v sodelovanju z nacionalnimi kontaktnimi točkami mreže Reitox in Europolom; pozdravlja izvajanje vseh nalog centra v okviru operativnih akcijskih načrtov za večdisciplinarno platformo proti grožnjam kriminala v zvezi s konopljo, kokainom in heroinom;</w:t>
      </w:r>
      <w:r>
        <w:rPr>
          <w:rStyle w:val="FootnoteReference"/>
        </w:rPr>
        <w:t xml:space="preserve"> </w:t>
      </w:r>
      <w:r>
        <w:t>opozarja, da je bil nedovoljen promet s prepovedanimi drogami opredeljen kot glavni vir dobička in kanal za novačenje na področju organiziranega kriminala in terorizma, in poudarja, da center prispeva k varnejši Evropi;</w:t>
      </w:r>
    </w:p>
    <w:p w:rsidR="004A159A" w:rsidRPr="004A159A" w:rsidRDefault="004A159A" w:rsidP="004A159A">
      <w:pPr>
        <w:pStyle w:val="NormalHanging12a"/>
        <w:rPr>
          <w:szCs w:val="24"/>
        </w:rPr>
      </w:pPr>
      <w:r>
        <w:t>7.</w:t>
      </w:r>
      <w:r>
        <w:tab/>
        <w:t>pozdravlja spletno stran z viri EMCDDA 4 Ukraine, namenjeno strokovnjakom, ki delajo na področju drog v Evropi in podpiraj</w:t>
      </w:r>
      <w:r w:rsidR="00C8716C">
        <w:t>o razseljene osebe iz Ukrajine;</w:t>
      </w:r>
    </w:p>
    <w:p w:rsidR="004A159A" w:rsidRPr="004A159A" w:rsidRDefault="004A159A" w:rsidP="004A159A">
      <w:pPr>
        <w:pStyle w:val="NormalHanging12a"/>
      </w:pPr>
      <w:r>
        <w:t>8.</w:t>
      </w:r>
      <w:r>
        <w:tab/>
        <w:t>pozdravlja, da center in partnerske države evropske sosedske politike stalno sodelujejo na regionalni ravni v okviru projekta tehnične pomoči EU4MD in pri izvajanju projekta EMCDDA4GE na dvostranski ravni z Gruzijo; pozdravlja vzpostavitev uradnega partnerstva v okviru programa sodelovanja med Latinsko Ameriko, Karibi in Evropsko unijo na področju drog;</w:t>
      </w:r>
    </w:p>
    <w:p w:rsidR="004A159A" w:rsidRPr="004A159A" w:rsidRDefault="004A159A" w:rsidP="004A159A">
      <w:pPr>
        <w:ind w:left="560" w:hanging="560"/>
      </w:pPr>
      <w:r>
        <w:t>9.</w:t>
      </w:r>
      <w:r>
        <w:tab/>
        <w:t>pozdravlja sodelovanje centra z drugimi agencijami in njegov prispevek k mreži agencij na področju pravosodja in notranjih zadev; pozdravlja stalno sodelovanje centra z nacionalnimi agencijami za droge, tretjimi državami in mednarodnimi organizacijami, kot sta Urad Združenih narodov za droge in kriminal (UNODC) in Svetovna zdravstvena organizacija.</w:t>
      </w:r>
    </w:p>
    <w:p w:rsidR="004A159A" w:rsidRPr="004A159A" w:rsidRDefault="004A159A" w:rsidP="009C29A1">
      <w:pPr>
        <w:sectPr w:rsidR="004A159A" w:rsidRPr="004A159A" w:rsidSect="004A159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C29A1" w:rsidRPr="004A159A" w:rsidRDefault="009C29A1" w:rsidP="009C29A1"/>
    <w:p w:rsidR="009C29A1" w:rsidRPr="004A159A" w:rsidRDefault="009C29A1" w:rsidP="009C29A1">
      <w:pPr>
        <w:pStyle w:val="PageHeadingNotTOC"/>
      </w:pPr>
      <w:bookmarkStart w:id="1" w:name="ProcPageAD"/>
      <w:r>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C29A1" w:rsidRPr="004A15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29A1" w:rsidRPr="004A159A" w:rsidRDefault="009C29A1">
            <w:pPr>
              <w:autoSpaceDE w:val="0"/>
              <w:autoSpaceDN w:val="0"/>
              <w:adjustRightInd w:val="0"/>
              <w:rPr>
                <w:b/>
                <w:bCs/>
                <w:color w:val="000000"/>
                <w:sz w:val="20"/>
              </w:rPr>
            </w:pPr>
            <w:r>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C29A1" w:rsidRPr="004A159A" w:rsidRDefault="009C29A1">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C29A1" w:rsidRPr="004A159A" w:rsidRDefault="009C29A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C29A1" w:rsidRPr="004A159A" w:rsidRDefault="009C29A1">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29A1" w:rsidRPr="004A159A" w:rsidRDefault="009C29A1">
            <w:pPr>
              <w:autoSpaceDE w:val="0"/>
              <w:autoSpaceDN w:val="0"/>
              <w:adjustRightInd w:val="0"/>
              <w:rPr>
                <w:rFonts w:ascii="sans-serif" w:hAnsi="sans-serif" w:cs="sans-serif"/>
                <w:color w:val="000000"/>
                <w:szCs w:val="24"/>
              </w:rPr>
            </w:pPr>
          </w:p>
        </w:tc>
      </w:tr>
      <w:tr w:rsidR="009C29A1" w:rsidRPr="004A15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29A1" w:rsidRPr="004A159A" w:rsidRDefault="009C29A1">
            <w:pPr>
              <w:autoSpaceDE w:val="0"/>
              <w:autoSpaceDN w:val="0"/>
              <w:adjustRightInd w:val="0"/>
              <w:rPr>
                <w:b/>
                <w:bCs/>
                <w:color w:val="000000"/>
                <w:sz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C29A1" w:rsidRPr="004A159A" w:rsidRDefault="009C29A1">
            <w:pPr>
              <w:autoSpaceDE w:val="0"/>
              <w:autoSpaceDN w:val="0"/>
              <w:adjustRightInd w:val="0"/>
              <w:rPr>
                <w:color w:val="000000"/>
                <w:sz w:val="20"/>
              </w:rPr>
            </w:pPr>
            <w:r>
              <w:rPr>
                <w:color w:val="000000"/>
                <w:sz w:val="20"/>
              </w:rPr>
              <w:t>+:</w:t>
            </w:r>
          </w:p>
          <w:p w:rsidR="009C29A1" w:rsidRPr="004A159A" w:rsidRDefault="009C29A1">
            <w:pPr>
              <w:autoSpaceDE w:val="0"/>
              <w:autoSpaceDN w:val="0"/>
              <w:adjustRightInd w:val="0"/>
              <w:rPr>
                <w:color w:val="000000"/>
                <w:sz w:val="20"/>
              </w:rPr>
            </w:pPr>
            <w:r>
              <w:rPr>
                <w:color w:val="000000"/>
                <w:sz w:val="20"/>
              </w:rPr>
              <w:t>–:</w:t>
            </w:r>
          </w:p>
          <w:p w:rsidR="009C29A1" w:rsidRPr="004A159A" w:rsidRDefault="009C29A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29A1" w:rsidRPr="004A159A" w:rsidRDefault="009C29A1">
            <w:pPr>
              <w:autoSpaceDE w:val="0"/>
              <w:autoSpaceDN w:val="0"/>
              <w:adjustRightInd w:val="0"/>
              <w:rPr>
                <w:color w:val="000000"/>
                <w:sz w:val="20"/>
              </w:rPr>
            </w:pPr>
            <w:r>
              <w:rPr>
                <w:color w:val="000000"/>
                <w:sz w:val="20"/>
              </w:rPr>
              <w:t>52</w:t>
            </w:r>
          </w:p>
          <w:p w:rsidR="009C29A1" w:rsidRPr="004A159A" w:rsidRDefault="009C29A1">
            <w:pPr>
              <w:autoSpaceDE w:val="0"/>
              <w:autoSpaceDN w:val="0"/>
              <w:adjustRightInd w:val="0"/>
              <w:rPr>
                <w:color w:val="000000"/>
                <w:sz w:val="20"/>
              </w:rPr>
            </w:pPr>
            <w:r>
              <w:rPr>
                <w:color w:val="000000"/>
                <w:sz w:val="20"/>
              </w:rPr>
              <w:t>1</w:t>
            </w:r>
          </w:p>
          <w:p w:rsidR="009C29A1" w:rsidRPr="004A159A" w:rsidRDefault="009C29A1">
            <w:pPr>
              <w:autoSpaceDE w:val="0"/>
              <w:autoSpaceDN w:val="0"/>
              <w:adjustRightInd w:val="0"/>
              <w:rPr>
                <w:color w:val="000000"/>
                <w:sz w:val="20"/>
              </w:rPr>
            </w:pPr>
            <w:r>
              <w:rPr>
                <w:color w:val="000000"/>
                <w:sz w:val="20"/>
              </w:rPr>
              <w:t>3</w:t>
            </w:r>
          </w:p>
        </w:tc>
      </w:tr>
      <w:tr w:rsidR="009C29A1" w:rsidRPr="004A15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C29A1" w:rsidRPr="004A159A" w:rsidRDefault="009C29A1">
            <w:pPr>
              <w:autoSpaceDE w:val="0"/>
              <w:autoSpaceDN w:val="0"/>
              <w:adjustRightInd w:val="0"/>
              <w:rPr>
                <w:b/>
                <w:bCs/>
                <w:color w:val="000000"/>
                <w:sz w:val="20"/>
              </w:rPr>
            </w:pPr>
            <w:r>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C29A1" w:rsidRPr="004A159A" w:rsidRDefault="009C29A1">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Elisavet Vozemberg-Vrionidi (Elissavet Vozemberg-Vrionidi), Javier Zarzalejos</w:t>
            </w:r>
          </w:p>
        </w:tc>
      </w:tr>
      <w:tr w:rsidR="009C29A1" w:rsidRPr="004A159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C29A1" w:rsidRPr="004A159A" w:rsidRDefault="009C29A1">
            <w:pPr>
              <w:autoSpaceDE w:val="0"/>
              <w:autoSpaceDN w:val="0"/>
              <w:adjustRightInd w:val="0"/>
              <w:rPr>
                <w:b/>
                <w:bCs/>
                <w:color w:val="000000"/>
                <w:sz w:val="20"/>
              </w:rPr>
            </w:pPr>
            <w:r>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C29A1" w:rsidRPr="004A159A" w:rsidRDefault="009C29A1">
            <w:pPr>
              <w:autoSpaceDE w:val="0"/>
              <w:autoSpaceDN w:val="0"/>
              <w:adjustRightInd w:val="0"/>
              <w:rPr>
                <w:color w:val="000000"/>
                <w:sz w:val="20"/>
              </w:rPr>
            </w:pPr>
            <w:r>
              <w:rPr>
                <w:color w:val="000000"/>
                <w:sz w:val="20"/>
              </w:rPr>
              <w:t>Cyrus Engerer, José Gusmão, Beata Kempa, Leopoldo López Gil, Janina Ochojska, Anne-Sophie Pelletier, Bergur Løkke Rasmussen, Róża Thun und Hohenstein, Maria Walsh, Tomáš Zdechovský</w:t>
            </w:r>
          </w:p>
        </w:tc>
      </w:tr>
      <w:tr w:rsidR="009C29A1" w:rsidRPr="004A159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C29A1" w:rsidRPr="004A159A" w:rsidRDefault="009C29A1">
            <w:pPr>
              <w:autoSpaceDE w:val="0"/>
              <w:autoSpaceDN w:val="0"/>
              <w:adjustRightInd w:val="0"/>
              <w:rPr>
                <w:b/>
                <w:bCs/>
                <w:color w:val="000000"/>
                <w:sz w:val="20"/>
              </w:rPr>
            </w:pPr>
            <w:r>
              <w:rPr>
                <w:b/>
                <w:color w:val="000000"/>
                <w:sz w:val="20"/>
              </w:rPr>
              <w:t>Namestniki (člen 209(7)),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C29A1" w:rsidRPr="004A159A" w:rsidRDefault="009C29A1">
            <w:pPr>
              <w:autoSpaceDE w:val="0"/>
              <w:autoSpaceDN w:val="0"/>
              <w:adjustRightInd w:val="0"/>
              <w:rPr>
                <w:color w:val="000000"/>
                <w:sz w:val="20"/>
              </w:rPr>
            </w:pPr>
            <w:r>
              <w:rPr>
                <w:color w:val="000000"/>
                <w:sz w:val="20"/>
              </w:rPr>
              <w:t>Andrus Ansip, Hildegard Bentele, Maria da Graça Carvalho, Marisa Matias, Caroline Nagtegaal</w:t>
            </w:r>
          </w:p>
        </w:tc>
      </w:tr>
    </w:tbl>
    <w:p w:rsidR="009C29A1" w:rsidRPr="004A159A" w:rsidRDefault="009C29A1"/>
    <w:p w:rsidR="004A159A" w:rsidRPr="004A159A" w:rsidRDefault="004A159A">
      <w:pPr>
        <w:widowControl/>
        <w:rPr>
          <w:rFonts w:ascii="Arial" w:hAnsi="Arial" w:cs="Arial"/>
          <w:b/>
          <w:noProof/>
        </w:rPr>
      </w:pPr>
      <w:bookmarkStart w:id="2" w:name="FootprintPageAD"/>
      <w:bookmarkEnd w:id="1"/>
      <w:r>
        <w:br w:type="page"/>
      </w:r>
    </w:p>
    <w:p w:rsidR="004A159A" w:rsidRPr="004A159A" w:rsidRDefault="004A159A" w:rsidP="004A159A">
      <w:pPr>
        <w:pStyle w:val="PageHeadingNotTOC"/>
        <w:rPr>
          <w:noProof/>
        </w:rPr>
      </w:pPr>
      <w:r>
        <w:t>PRILOGA: SUBJEKTI ALI OSEBE,</w:t>
      </w:r>
      <w:r>
        <w:br/>
        <w:t>OD KATERIH JE PRIPRAVLJAVEC MNENJA PREJEL PRISPEVKE</w:t>
      </w:r>
    </w:p>
    <w:p w:rsidR="004A159A" w:rsidRPr="004A159A" w:rsidRDefault="004A159A" w:rsidP="004A159A">
      <w:pPr>
        <w:pStyle w:val="Normal24a"/>
      </w:pPr>
      <w:r w:rsidRPr="00824390">
        <w:rPr>
          <w:rStyle w:val="HideTWBExt"/>
        </w:rPr>
        <w:t>&lt;FootprintIntro&gt;</w:t>
      </w:r>
      <w:r>
        <w:t>Pripravljavec mnenja kot izključno pristojen izjavlja, da ni prejel nobenih prispevkov od subjektov ali oseb, ki bi jih bilo treba navesti v tej prilogi v smislu člena 8 Priloge I Poslovnika.</w:t>
      </w:r>
      <w:r w:rsidRPr="00824390">
        <w:rPr>
          <w:rStyle w:val="HideTWBExt"/>
        </w:rPr>
        <w:t>&lt;/FootprintIntro&gt;</w:t>
      </w:r>
    </w:p>
    <w:p w:rsidR="004A159A" w:rsidRPr="004A159A" w:rsidRDefault="004A159A" w:rsidP="004A159A"/>
    <w:p w:rsidR="004A159A" w:rsidRPr="004A159A" w:rsidRDefault="004A159A" w:rsidP="004A159A"/>
    <w:bookmarkEnd w:id="2"/>
    <w:p w:rsidR="004A159A" w:rsidRPr="004A159A" w:rsidRDefault="004A159A" w:rsidP="004A159A">
      <w:pPr>
        <w:sectPr w:rsidR="004A159A" w:rsidRPr="004A159A" w:rsidSect="004A159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A159A" w:rsidRPr="004A159A" w:rsidRDefault="004A159A" w:rsidP="004A159A"/>
    <w:p w:rsidR="004A159A" w:rsidRPr="004A159A" w:rsidRDefault="004A159A" w:rsidP="00C36610">
      <w:pPr>
        <w:pStyle w:val="PageHeadingNotTOC"/>
      </w:pPr>
      <w:bookmarkStart w:id="3" w:name="RollCallPageAD"/>
      <w:r>
        <w:t>POIMENSKO GLASOVANJE PRI KONČNEM GLASOVANJU</w:t>
      </w:r>
      <w:r>
        <w:br/>
        <w:t>V ODBORU, ZAPROŠENEM ZA MNENJE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A159A" w:rsidRPr="004A159A" w:rsidTr="004A159A">
        <w:trPr>
          <w:cantSplit/>
        </w:trPr>
        <w:tc>
          <w:tcPr>
            <w:tcW w:w="1701" w:type="dxa"/>
            <w:shd w:val="pct10" w:color="000000" w:fill="FFFFFF"/>
            <w:vAlign w:val="center"/>
          </w:tcPr>
          <w:p w:rsidR="004A159A" w:rsidRPr="004A159A" w:rsidRDefault="004A159A" w:rsidP="00FF2C6F">
            <w:pPr>
              <w:pStyle w:val="RollCallVotes"/>
            </w:pPr>
            <w:r>
              <w:t>52</w:t>
            </w:r>
          </w:p>
        </w:tc>
        <w:tc>
          <w:tcPr>
            <w:tcW w:w="7371" w:type="dxa"/>
            <w:shd w:val="pct10" w:color="000000" w:fill="FFFFFF"/>
          </w:tcPr>
          <w:p w:rsidR="004A159A" w:rsidRPr="004A159A" w:rsidRDefault="004A159A" w:rsidP="00FF2C6F">
            <w:pPr>
              <w:pStyle w:val="RollCallSymbols14pt"/>
            </w:pPr>
            <w:r>
              <w:t>+</w:t>
            </w:r>
          </w:p>
        </w:tc>
      </w:tr>
      <w:tr w:rsidR="004A159A" w:rsidRPr="004A159A" w:rsidTr="004A159A">
        <w:trPr>
          <w:cantSplit/>
        </w:trPr>
        <w:tc>
          <w:tcPr>
            <w:tcW w:w="1701" w:type="dxa"/>
            <w:shd w:val="clear" w:color="auto" w:fill="FFFFFF"/>
          </w:tcPr>
          <w:p w:rsidR="004A159A" w:rsidRPr="004A159A" w:rsidRDefault="004A159A" w:rsidP="00FF2C6F">
            <w:pPr>
              <w:pStyle w:val="RollCallTable"/>
            </w:pPr>
            <w:r>
              <w:t>ECR</w:t>
            </w:r>
          </w:p>
        </w:tc>
        <w:tc>
          <w:tcPr>
            <w:tcW w:w="7371" w:type="dxa"/>
            <w:shd w:val="clear" w:color="auto" w:fill="FFFFFF"/>
          </w:tcPr>
          <w:p w:rsidR="004A159A" w:rsidRPr="004A159A" w:rsidRDefault="004A159A" w:rsidP="00FF2C6F">
            <w:pPr>
              <w:pStyle w:val="RollCallTable"/>
            </w:pPr>
            <w:r>
              <w:t>Jorge Buxadé Villalba, Patryk Jaki, Assita Kanko, Beata Kempa, Vincenzo Sofo</w:t>
            </w:r>
          </w:p>
        </w:tc>
      </w:tr>
      <w:tr w:rsidR="004A159A" w:rsidRPr="004A159A" w:rsidTr="004A159A">
        <w:trPr>
          <w:cantSplit/>
        </w:trPr>
        <w:tc>
          <w:tcPr>
            <w:tcW w:w="1701" w:type="dxa"/>
            <w:shd w:val="clear" w:color="auto" w:fill="FFFFFF"/>
          </w:tcPr>
          <w:p w:rsidR="004A159A" w:rsidRPr="004A159A" w:rsidRDefault="004A159A" w:rsidP="00FF2C6F">
            <w:pPr>
              <w:pStyle w:val="RollCallTable"/>
            </w:pPr>
            <w:r>
              <w:t>NI</w:t>
            </w:r>
          </w:p>
        </w:tc>
        <w:tc>
          <w:tcPr>
            <w:tcW w:w="7371" w:type="dxa"/>
            <w:shd w:val="clear" w:color="auto" w:fill="FFFFFF"/>
          </w:tcPr>
          <w:p w:rsidR="004A159A" w:rsidRPr="004A159A" w:rsidRDefault="004A159A" w:rsidP="00FF2C6F">
            <w:pPr>
              <w:pStyle w:val="RollCallTable"/>
            </w:pPr>
            <w:r>
              <w:t>Laura Ferrara</w:t>
            </w:r>
          </w:p>
        </w:tc>
      </w:tr>
      <w:tr w:rsidR="004A159A" w:rsidRPr="004A159A" w:rsidTr="004A159A">
        <w:trPr>
          <w:cantSplit/>
        </w:trPr>
        <w:tc>
          <w:tcPr>
            <w:tcW w:w="1701" w:type="dxa"/>
            <w:shd w:val="clear" w:color="auto" w:fill="FFFFFF"/>
          </w:tcPr>
          <w:p w:rsidR="004A159A" w:rsidRPr="004A159A" w:rsidRDefault="004A159A" w:rsidP="00FF2C6F">
            <w:pPr>
              <w:pStyle w:val="RollCallTable"/>
            </w:pPr>
            <w:r>
              <w:t>PPE</w:t>
            </w:r>
          </w:p>
        </w:tc>
        <w:tc>
          <w:tcPr>
            <w:tcW w:w="7371" w:type="dxa"/>
            <w:shd w:val="clear" w:color="auto" w:fill="FFFFFF"/>
          </w:tcPr>
          <w:p w:rsidR="004A159A" w:rsidRPr="004A159A" w:rsidRDefault="004A159A" w:rsidP="00FF2C6F">
            <w:pPr>
              <w:pStyle w:val="RollCallTable"/>
            </w:pPr>
            <w:r>
              <w:t>Magdalena Adamowicz, Hildegard Bentele, Maria da Graça Carvalho, Lena Düpont, Andrzej Halicki, Jeroen Lenaers, Leopoldo López Gil, Janina Ochojska, Elisavet Vozemberg-Vrionidi (Elissavet Vozemberg-Vrionidi), Maria Walsh, Javier Zarzalejos, Tomáš Zdechovský</w:t>
            </w:r>
          </w:p>
        </w:tc>
      </w:tr>
      <w:tr w:rsidR="004A159A" w:rsidRPr="004A159A" w:rsidTr="004A159A">
        <w:trPr>
          <w:cantSplit/>
        </w:trPr>
        <w:tc>
          <w:tcPr>
            <w:tcW w:w="1701" w:type="dxa"/>
            <w:shd w:val="clear" w:color="auto" w:fill="FFFFFF"/>
          </w:tcPr>
          <w:p w:rsidR="004A159A" w:rsidRPr="004A159A" w:rsidRDefault="004A159A" w:rsidP="00FF2C6F">
            <w:pPr>
              <w:pStyle w:val="RollCallTable"/>
            </w:pPr>
            <w:r>
              <w:t>Renew</w:t>
            </w:r>
          </w:p>
        </w:tc>
        <w:tc>
          <w:tcPr>
            <w:tcW w:w="7371" w:type="dxa"/>
            <w:shd w:val="clear" w:color="auto" w:fill="FFFFFF"/>
          </w:tcPr>
          <w:p w:rsidR="004A159A" w:rsidRPr="004A159A" w:rsidRDefault="004A159A" w:rsidP="00FF2C6F">
            <w:pPr>
              <w:pStyle w:val="RollCallTable"/>
            </w:pPr>
            <w:r>
              <w:t>Abir Al-Sahlani, Andrus Ansip, Lucia Ďuriš Nicholsonová, Sophia in 't Veld, Moritz Körner, Caroline Nagtegaal, Maite Pagazaurtundúa, Bergur Løkke Rasmussen, Róża Thun und Hohenstein, Jana Toom</w:t>
            </w:r>
          </w:p>
        </w:tc>
      </w:tr>
      <w:tr w:rsidR="004A159A" w:rsidRPr="004A159A" w:rsidTr="004A159A">
        <w:trPr>
          <w:cantSplit/>
        </w:trPr>
        <w:tc>
          <w:tcPr>
            <w:tcW w:w="1701" w:type="dxa"/>
            <w:shd w:val="clear" w:color="auto" w:fill="FFFFFF"/>
          </w:tcPr>
          <w:p w:rsidR="004A159A" w:rsidRPr="004A159A" w:rsidRDefault="004A159A" w:rsidP="00FF2C6F">
            <w:pPr>
              <w:pStyle w:val="RollCallTable"/>
            </w:pPr>
            <w:r>
              <w:t>S&amp;D</w:t>
            </w:r>
          </w:p>
        </w:tc>
        <w:tc>
          <w:tcPr>
            <w:tcW w:w="7371" w:type="dxa"/>
            <w:shd w:val="clear" w:color="auto" w:fill="FFFFFF"/>
          </w:tcPr>
          <w:p w:rsidR="004A159A" w:rsidRPr="004A159A" w:rsidRDefault="004A159A" w:rsidP="00FF2C6F">
            <w:pPr>
              <w:pStyle w:val="RollCallTable"/>
            </w:pPr>
            <w:r>
              <w:t>Katarina Barley, Pietro Bartolo, Theresa Bielowski, Cyrus Engerer, Maria Grapini, Sylvie Guillaume, Evin Incir, Marina Kaljurand, Łukasz Kohut, Juan Fernando López Aguilar, Javier Moreno Sánchez, Isabel Santos, Birgit Sippel</w:t>
            </w:r>
          </w:p>
        </w:tc>
      </w:tr>
      <w:tr w:rsidR="004A159A" w:rsidRPr="004A159A" w:rsidTr="004A159A">
        <w:trPr>
          <w:cantSplit/>
        </w:trPr>
        <w:tc>
          <w:tcPr>
            <w:tcW w:w="1701" w:type="dxa"/>
            <w:shd w:val="clear" w:color="auto" w:fill="FFFFFF"/>
          </w:tcPr>
          <w:p w:rsidR="004A159A" w:rsidRPr="004A159A" w:rsidRDefault="004A159A" w:rsidP="00FF2C6F">
            <w:pPr>
              <w:pStyle w:val="RollCallTable"/>
            </w:pPr>
            <w:r>
              <w:t>The Left</w:t>
            </w:r>
          </w:p>
        </w:tc>
        <w:tc>
          <w:tcPr>
            <w:tcW w:w="7371" w:type="dxa"/>
            <w:shd w:val="clear" w:color="auto" w:fill="FFFFFF"/>
          </w:tcPr>
          <w:p w:rsidR="004A159A" w:rsidRPr="004A159A" w:rsidRDefault="004A159A" w:rsidP="00FF2C6F">
            <w:pPr>
              <w:pStyle w:val="RollCallTable"/>
            </w:pPr>
            <w:r>
              <w:t>Cornelia Ernst, José Gusmão, Marisa Matias, Anne-Sophie Pelletier</w:t>
            </w:r>
          </w:p>
        </w:tc>
      </w:tr>
      <w:tr w:rsidR="004A159A" w:rsidRPr="004A159A" w:rsidTr="004A159A">
        <w:trPr>
          <w:cantSplit/>
        </w:trPr>
        <w:tc>
          <w:tcPr>
            <w:tcW w:w="1701" w:type="dxa"/>
            <w:shd w:val="clear" w:color="auto" w:fill="FFFFFF"/>
          </w:tcPr>
          <w:p w:rsidR="004A159A" w:rsidRPr="004A159A" w:rsidRDefault="004A159A" w:rsidP="00FF2C6F">
            <w:pPr>
              <w:pStyle w:val="RollCallTable"/>
            </w:pPr>
            <w:r>
              <w:t>Verts/ALE</w:t>
            </w:r>
          </w:p>
        </w:tc>
        <w:tc>
          <w:tcPr>
            <w:tcW w:w="7371" w:type="dxa"/>
            <w:shd w:val="clear" w:color="auto" w:fill="FFFFFF"/>
          </w:tcPr>
          <w:p w:rsidR="004A159A" w:rsidRPr="004A159A" w:rsidRDefault="004A159A" w:rsidP="00FF2C6F">
            <w:pPr>
              <w:pStyle w:val="RollCallTable"/>
            </w:pPr>
            <w:r>
              <w:t>Patrick Breyer, Saskia Bricmont, Damien Carême, Alice Kuhnke, Erik Marquardt, Diana Riba i Giner, Tineke Strik</w:t>
            </w:r>
          </w:p>
        </w:tc>
      </w:tr>
    </w:tbl>
    <w:p w:rsidR="004A159A" w:rsidRPr="004A159A" w:rsidRDefault="004A159A"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A159A" w:rsidRPr="004A159A" w:rsidTr="004A159A">
        <w:trPr>
          <w:cantSplit/>
        </w:trPr>
        <w:tc>
          <w:tcPr>
            <w:tcW w:w="1701" w:type="dxa"/>
            <w:shd w:val="pct10" w:color="000000" w:fill="FFFFFF"/>
            <w:vAlign w:val="center"/>
          </w:tcPr>
          <w:p w:rsidR="004A159A" w:rsidRPr="004A159A" w:rsidRDefault="004A159A" w:rsidP="00FF2C6F">
            <w:pPr>
              <w:pStyle w:val="RollCallVotes"/>
            </w:pPr>
            <w:r>
              <w:t>1</w:t>
            </w:r>
          </w:p>
        </w:tc>
        <w:tc>
          <w:tcPr>
            <w:tcW w:w="7371" w:type="dxa"/>
            <w:shd w:val="pct10" w:color="000000" w:fill="FFFFFF"/>
          </w:tcPr>
          <w:p w:rsidR="004A159A" w:rsidRPr="004A159A" w:rsidRDefault="004A159A" w:rsidP="00FF2C6F">
            <w:pPr>
              <w:pStyle w:val="RollCallSymbols14pt"/>
            </w:pPr>
            <w:r>
              <w:t>-</w:t>
            </w:r>
          </w:p>
        </w:tc>
      </w:tr>
      <w:tr w:rsidR="004A159A" w:rsidRPr="004A159A" w:rsidTr="004A159A">
        <w:trPr>
          <w:cantSplit/>
        </w:trPr>
        <w:tc>
          <w:tcPr>
            <w:tcW w:w="1701" w:type="dxa"/>
            <w:shd w:val="clear" w:color="auto" w:fill="FFFFFF"/>
          </w:tcPr>
          <w:p w:rsidR="004A159A" w:rsidRPr="004A159A" w:rsidRDefault="004A159A" w:rsidP="00FF2C6F">
            <w:pPr>
              <w:pStyle w:val="RollCallTable"/>
            </w:pPr>
            <w:r>
              <w:t>NI</w:t>
            </w:r>
          </w:p>
        </w:tc>
        <w:tc>
          <w:tcPr>
            <w:tcW w:w="7371" w:type="dxa"/>
            <w:shd w:val="clear" w:color="auto" w:fill="FFFFFF"/>
          </w:tcPr>
          <w:p w:rsidR="004A159A" w:rsidRPr="004A159A" w:rsidRDefault="004A159A" w:rsidP="00FF2C6F">
            <w:pPr>
              <w:pStyle w:val="RollCallTable"/>
            </w:pPr>
            <w:r>
              <w:t>Milan Uhrík</w:t>
            </w:r>
          </w:p>
        </w:tc>
      </w:tr>
    </w:tbl>
    <w:p w:rsidR="004A159A" w:rsidRPr="004A159A" w:rsidRDefault="004A159A"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A159A" w:rsidRPr="004A159A" w:rsidTr="004A159A">
        <w:trPr>
          <w:cantSplit/>
        </w:trPr>
        <w:tc>
          <w:tcPr>
            <w:tcW w:w="1701" w:type="dxa"/>
            <w:shd w:val="pct10" w:color="000000" w:fill="FFFFFF"/>
            <w:vAlign w:val="center"/>
          </w:tcPr>
          <w:p w:rsidR="004A159A" w:rsidRPr="004A159A" w:rsidRDefault="004A159A" w:rsidP="00FF2C6F">
            <w:pPr>
              <w:pStyle w:val="RollCallVotes"/>
            </w:pPr>
            <w:r>
              <w:t>3</w:t>
            </w:r>
          </w:p>
        </w:tc>
        <w:tc>
          <w:tcPr>
            <w:tcW w:w="7371" w:type="dxa"/>
            <w:shd w:val="pct10" w:color="000000" w:fill="FFFFFF"/>
          </w:tcPr>
          <w:p w:rsidR="004A159A" w:rsidRPr="004A159A" w:rsidRDefault="004A159A" w:rsidP="00FF2C6F">
            <w:pPr>
              <w:pStyle w:val="RollCallSymbols14pt"/>
            </w:pPr>
            <w:r>
              <w:t>0</w:t>
            </w:r>
          </w:p>
        </w:tc>
      </w:tr>
      <w:tr w:rsidR="004A159A" w:rsidRPr="004A159A" w:rsidTr="004A159A">
        <w:trPr>
          <w:cantSplit/>
        </w:trPr>
        <w:tc>
          <w:tcPr>
            <w:tcW w:w="1701" w:type="dxa"/>
            <w:shd w:val="clear" w:color="auto" w:fill="FFFFFF"/>
          </w:tcPr>
          <w:p w:rsidR="004A159A" w:rsidRPr="004A159A" w:rsidRDefault="004A159A" w:rsidP="00FF2C6F">
            <w:pPr>
              <w:pStyle w:val="RollCallTable"/>
            </w:pPr>
            <w:r>
              <w:t>ID</w:t>
            </w:r>
          </w:p>
        </w:tc>
        <w:tc>
          <w:tcPr>
            <w:tcW w:w="7371" w:type="dxa"/>
            <w:shd w:val="clear" w:color="auto" w:fill="FFFFFF"/>
          </w:tcPr>
          <w:p w:rsidR="004A159A" w:rsidRPr="004A159A" w:rsidRDefault="004A159A" w:rsidP="00FF2C6F">
            <w:pPr>
              <w:pStyle w:val="RollCallTable"/>
            </w:pPr>
            <w:r>
              <w:t>Patricia Chagnon, Nicolaus Fest, Tom Vandendriessche</w:t>
            </w:r>
          </w:p>
        </w:tc>
      </w:tr>
    </w:tbl>
    <w:p w:rsidR="004A159A" w:rsidRPr="004A159A" w:rsidRDefault="004A159A" w:rsidP="00147FBF">
      <w:pPr>
        <w:pStyle w:val="Normal12a"/>
      </w:pPr>
    </w:p>
    <w:p w:rsidR="004A159A" w:rsidRPr="004A159A" w:rsidRDefault="004A159A" w:rsidP="00B735E3">
      <w:r>
        <w:t>Uporabljeni znaki:</w:t>
      </w:r>
    </w:p>
    <w:p w:rsidR="004A159A" w:rsidRPr="004A159A" w:rsidRDefault="004A159A" w:rsidP="003858C5">
      <w:pPr>
        <w:pStyle w:val="RollCallTabs"/>
      </w:pPr>
      <w:r>
        <w:t>+</w:t>
      </w:r>
      <w:r>
        <w:tab/>
        <w:t>:</w:t>
      </w:r>
      <w:r>
        <w:tab/>
        <w:t>za</w:t>
      </w:r>
    </w:p>
    <w:p w:rsidR="004A159A" w:rsidRPr="004A159A" w:rsidRDefault="004A159A" w:rsidP="003858C5">
      <w:pPr>
        <w:pStyle w:val="RollCallTabs"/>
      </w:pPr>
      <w:r>
        <w:t>-</w:t>
      </w:r>
      <w:r>
        <w:tab/>
        <w:t>:</w:t>
      </w:r>
      <w:r>
        <w:tab/>
        <w:t>proti</w:t>
      </w:r>
    </w:p>
    <w:p w:rsidR="004A159A" w:rsidRPr="004A159A" w:rsidRDefault="004A159A" w:rsidP="003858C5">
      <w:pPr>
        <w:pStyle w:val="RollCallTabs"/>
      </w:pPr>
      <w:r>
        <w:t>0</w:t>
      </w:r>
      <w:r>
        <w:tab/>
        <w:t>:</w:t>
      </w:r>
      <w:r>
        <w:tab/>
        <w:t>vzdržani</w:t>
      </w:r>
      <w:bookmarkStart w:id="4" w:name="_GoBack"/>
      <w:bookmarkEnd w:id="4"/>
    </w:p>
    <w:bookmarkEnd w:id="3"/>
    <w:sectPr w:rsidR="004A159A" w:rsidRPr="004A159A" w:rsidSect="004A15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867" w:rsidRPr="004A159A" w:rsidRDefault="00412867">
      <w:r w:rsidRPr="004A159A">
        <w:separator/>
      </w:r>
    </w:p>
  </w:endnote>
  <w:endnote w:type="continuationSeparator" w:id="0">
    <w:p w:rsidR="00412867" w:rsidRPr="004A159A" w:rsidRDefault="00412867">
      <w:r w:rsidRPr="004A15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59A" w:rsidRPr="004A159A" w:rsidRDefault="004A159A" w:rsidP="004A159A">
    <w:pPr>
      <w:pStyle w:val="EPFooter"/>
    </w:pPr>
    <w:r w:rsidRPr="004A159A">
      <w:t>PE</w:t>
    </w:r>
    <w:r w:rsidRPr="00824390">
      <w:rPr>
        <w:rStyle w:val="HideTWBExt"/>
      </w:rPr>
      <w:t>&lt;NoPE&gt;</w:t>
    </w:r>
    <w:r w:rsidRPr="004A159A">
      <w:t>756.194</w:t>
    </w:r>
    <w:r w:rsidRPr="00824390">
      <w:rPr>
        <w:rStyle w:val="HideTWBExt"/>
      </w:rPr>
      <w:t>&lt;/NoPE&gt;&lt;Version&gt;</w:t>
    </w:r>
    <w:r w:rsidRPr="004A159A">
      <w:t>v03-00</w:t>
    </w:r>
    <w:r w:rsidRPr="00824390">
      <w:rPr>
        <w:rStyle w:val="HideTWBExt"/>
      </w:rPr>
      <w:t>&lt;/Version&gt;</w:t>
    </w:r>
    <w:r w:rsidRPr="004A159A">
      <w:tab/>
    </w:r>
    <w:r w:rsidRPr="004A159A">
      <w:fldChar w:fldCharType="begin"/>
    </w:r>
    <w:r w:rsidRPr="004A159A">
      <w:instrText xml:space="preserve"> PAGE  \* MERGEFORMAT </w:instrText>
    </w:r>
    <w:r w:rsidRPr="004A159A">
      <w:fldChar w:fldCharType="separate"/>
    </w:r>
    <w:r w:rsidR="00824390">
      <w:rPr>
        <w:noProof/>
      </w:rPr>
      <w:t>6</w:t>
    </w:r>
    <w:r w:rsidRPr="004A159A">
      <w:fldChar w:fldCharType="end"/>
    </w:r>
    <w:r w:rsidRPr="004A159A">
      <w:t>/</w:t>
    </w:r>
    <w:fldSimple w:instr=" NUMPAGES  \* MERGEFORMAT ">
      <w:r w:rsidR="00824390">
        <w:rPr>
          <w:noProof/>
        </w:rPr>
        <w:t>7</w:t>
      </w:r>
    </w:fldSimple>
    <w:r w:rsidRPr="004A159A">
      <w:tab/>
    </w:r>
    <w:r w:rsidRPr="00824390">
      <w:rPr>
        <w:rStyle w:val="HideTWBExt"/>
      </w:rPr>
      <w:t>&lt;PathFdR&gt;</w:t>
    </w:r>
    <w:r w:rsidRPr="004A159A">
      <w:t>AD\1295226SL.docx</w:t>
    </w:r>
    <w:r w:rsidRPr="00824390">
      <w:rPr>
        <w:rStyle w:val="HideTWBExt"/>
      </w:rPr>
      <w:t>&lt;/PathFdR&gt;</w:t>
    </w:r>
  </w:p>
  <w:p w:rsidR="002E2F2E" w:rsidRPr="004A159A" w:rsidRDefault="004A159A" w:rsidP="004A159A">
    <w:pPr>
      <w:pStyle w:val="EPFooter2"/>
    </w:pPr>
    <w:r w:rsidRPr="004A159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59A" w:rsidRPr="004A159A" w:rsidRDefault="004A159A" w:rsidP="004A159A">
    <w:pPr>
      <w:pStyle w:val="EPFooter"/>
    </w:pPr>
    <w:r w:rsidRPr="00824390">
      <w:rPr>
        <w:rStyle w:val="HideTWBExt"/>
      </w:rPr>
      <w:t>&lt;PathFdR&gt;</w:t>
    </w:r>
    <w:r w:rsidRPr="004A159A">
      <w:t>AD\1295226SL.docx</w:t>
    </w:r>
    <w:r w:rsidRPr="00824390">
      <w:rPr>
        <w:rStyle w:val="HideTWBExt"/>
      </w:rPr>
      <w:t>&lt;/PathFdR&gt;</w:t>
    </w:r>
    <w:r w:rsidRPr="004A159A">
      <w:tab/>
    </w:r>
    <w:r w:rsidRPr="004A159A">
      <w:fldChar w:fldCharType="begin"/>
    </w:r>
    <w:r w:rsidRPr="004A159A">
      <w:instrText xml:space="preserve"> PAGE  \* MERGEFORMAT </w:instrText>
    </w:r>
    <w:r w:rsidRPr="004A159A">
      <w:fldChar w:fldCharType="separate"/>
    </w:r>
    <w:r w:rsidR="00824390">
      <w:rPr>
        <w:noProof/>
      </w:rPr>
      <w:t>7</w:t>
    </w:r>
    <w:r w:rsidRPr="004A159A">
      <w:fldChar w:fldCharType="end"/>
    </w:r>
    <w:r w:rsidRPr="004A159A">
      <w:t>/</w:t>
    </w:r>
    <w:fldSimple w:instr=" NUMPAGES  \* MERGEFORMAT ">
      <w:r w:rsidR="00824390">
        <w:rPr>
          <w:noProof/>
        </w:rPr>
        <w:t>7</w:t>
      </w:r>
    </w:fldSimple>
    <w:r w:rsidRPr="004A159A">
      <w:tab/>
      <w:t>PE</w:t>
    </w:r>
    <w:r w:rsidRPr="00824390">
      <w:rPr>
        <w:rStyle w:val="HideTWBExt"/>
      </w:rPr>
      <w:t>&lt;NoPE&gt;</w:t>
    </w:r>
    <w:r w:rsidRPr="004A159A">
      <w:t>756.194</w:t>
    </w:r>
    <w:r w:rsidRPr="00824390">
      <w:rPr>
        <w:rStyle w:val="HideTWBExt"/>
      </w:rPr>
      <w:t>&lt;/NoPE&gt;&lt;Version&gt;</w:t>
    </w:r>
    <w:r w:rsidRPr="004A159A">
      <w:t>v03-00</w:t>
    </w:r>
    <w:r w:rsidRPr="00824390">
      <w:rPr>
        <w:rStyle w:val="HideTWBExt"/>
      </w:rPr>
      <w:t>&lt;/Version&gt;</w:t>
    </w:r>
  </w:p>
  <w:p w:rsidR="002E2F2E" w:rsidRPr="004A159A" w:rsidRDefault="004A159A" w:rsidP="004A159A">
    <w:pPr>
      <w:pStyle w:val="EPFooter2"/>
    </w:pPr>
    <w:r w:rsidRPr="004A159A">
      <w:tab/>
    </w:r>
    <w:r w:rsidRPr="004A159A">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59A" w:rsidRPr="004A159A" w:rsidRDefault="004A159A" w:rsidP="004A159A">
    <w:pPr>
      <w:pStyle w:val="EPFooter"/>
    </w:pPr>
    <w:r w:rsidRPr="00824390">
      <w:rPr>
        <w:rStyle w:val="HideTWBExt"/>
      </w:rPr>
      <w:t>&lt;PathFdR&gt;</w:t>
    </w:r>
    <w:r w:rsidRPr="004A159A">
      <w:t>AD\1295226SL.docx</w:t>
    </w:r>
    <w:r w:rsidRPr="00824390">
      <w:rPr>
        <w:rStyle w:val="HideTWBExt"/>
      </w:rPr>
      <w:t>&lt;/PathFdR&gt;</w:t>
    </w:r>
    <w:r w:rsidRPr="004A159A">
      <w:tab/>
    </w:r>
    <w:r w:rsidRPr="004A159A">
      <w:tab/>
      <w:t>PE</w:t>
    </w:r>
    <w:r w:rsidRPr="00824390">
      <w:rPr>
        <w:rStyle w:val="HideTWBExt"/>
      </w:rPr>
      <w:t>&lt;NoPE&gt;</w:t>
    </w:r>
    <w:r w:rsidRPr="004A159A">
      <w:t>756.194</w:t>
    </w:r>
    <w:r w:rsidRPr="00824390">
      <w:rPr>
        <w:rStyle w:val="HideTWBExt"/>
      </w:rPr>
      <w:t>&lt;/NoPE&gt;&lt;Version&gt;</w:t>
    </w:r>
    <w:r w:rsidRPr="004A159A">
      <w:t>v03-00</w:t>
    </w:r>
    <w:r w:rsidRPr="00824390">
      <w:rPr>
        <w:rStyle w:val="HideTWBExt"/>
      </w:rPr>
      <w:t>&lt;/Version&gt;</w:t>
    </w:r>
  </w:p>
  <w:p w:rsidR="002E2F2E" w:rsidRPr="004A159A" w:rsidRDefault="004A159A" w:rsidP="004A159A">
    <w:pPr>
      <w:pStyle w:val="EPFooter2"/>
    </w:pPr>
    <w:r w:rsidRPr="004A159A">
      <w:t>SL</w:t>
    </w:r>
    <w:r w:rsidRPr="004A159A">
      <w:tab/>
    </w:r>
    <w:r w:rsidRPr="004A159A">
      <w:rPr>
        <w:b w:val="0"/>
        <w:i/>
        <w:color w:val="C0C0C0"/>
        <w:sz w:val="22"/>
      </w:rPr>
      <w:t>Združena v raznolikosti</w:t>
    </w:r>
    <w:r w:rsidRPr="004A159A">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867" w:rsidRPr="004A159A" w:rsidRDefault="00412867">
      <w:r w:rsidRPr="004A159A">
        <w:separator/>
      </w:r>
    </w:p>
  </w:footnote>
  <w:footnote w:type="continuationSeparator" w:id="0">
    <w:p w:rsidR="00412867" w:rsidRPr="004A159A" w:rsidRDefault="00412867">
      <w:r w:rsidRPr="004A15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A93" w:rsidRDefault="00F81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A93" w:rsidRDefault="00F81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A93" w:rsidRDefault="00F81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AUTHORMNU" w:val=" 1"/>
    <w:docVar w:name="CJMNU" w:val="1"/>
    <w:docVar w:name="CODEMNU" w:val=" 7"/>
    <w:docVar w:name="COM2KEY" w:val="CONT"/>
    <w:docVar w:name="COMKEY" w:val="LIBE"/>
    <w:docVar w:name="CONTRIBUTIONMNU" w:val=" 2"/>
    <w:docVar w:name="FONCTIONMNU" w:val=" 1"/>
    <w:docVar w:name="LastEditedSection" w:val=" 4"/>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381958 HideTWBInt;}{_x000d__x000a_\s18\ql \fi-567\li567\ri0\sa240\nowidctlpar\wrapdefault\aspalpha\aspnum\faauto\adjustright\rin0\lin567\itap0 \rtlch\fcs1 \af0\afs20\alang1025 \ltrch\fcs0 \fs24\lang1060\langfe2057\cgrid\langnp1060\langfenp2057 _x000d__x000a_\sbasedon0 \snext18 \spriority0 \styrsid9381958 NormalHanging12a;}}{\*\rsidtbl \rsid24658\rsid223860\rsid735077\rsid1718133\rsid2892074\rsid3565327\rsid4666813\rsid6641733\rsid7823322\rsid9381958\rsid9636012\rsid10377208\rsid11215221\rsid11549030_x000d__x000a_\rsid12154954\rsid14382809\rsid14424199\rsid15030467\rsid15204470\rsid15285974\rsid15950462\rsid16324206\rsid16662270}{\mmathPr\mmathFont34\mbrkBin0\mbrkBinSub0\msmallFrac0\mdispDef1\mlMargin0\mrMargin0\mdefJc1\mwrapIndent1440\mintLim0\mnaryLim1}{\info_x000d__x000a_{\author GROSELJ Tadej}{\operator GROSELJ Tadej}{\creatim\yr2024\mo1\dy26\hr9\min45}{\revtim\yr2024\mo1\dy26\hr9\min45}{\version1}{\edmins0}{\nofpages1}{\nofwords3}{\nofchars18}{\nofcharsws20}{\vern109}}{\*\xmlnstbl {\xmlns1 http://schemas.microsoft.com/o_x000d__x000a_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81958\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15030467 \chftnsep _x000d__x000a_\par }}{\*\ftnsepc \ltrpar \pard\plain \ltrpar\ql \li0\ri0\widctlpar\wrapdefault\aspalpha\aspnum\faauto\adjustright\rin0\lin0\itap0 \rtlch\fcs1 \af0\afs20\alang1025 \ltrch\fcs0 \fs24\lang2057\langfe2057\cgrid\langnp2057\langfenp2057 {\rtlch\fcs1 \af0 _x000d__x000a_\ltrch\fcs0 \insrsid15030467 \chftnsepc _x000d__x000a_\par }}{\*\aftnsep \ltrpar \pard\plain \ltrpar\ql \li0\ri0\widctlpar\wrapdefault\aspalpha\aspnum\faauto\adjustright\rin0\lin0\itap0 \rtlch\fcs1 \af0\afs20\alang1025 \ltrch\fcs0 \fs24\lang2057\langfe2057\cgrid\langnp2057\langfenp2057 {\rtlch\fcs1 \af0 _x000d__x000a_\ltrch\fcs0 \insrsid15030467 \chftnsep _x000d__x000a_\par }}{\*\aftnsepc \ltrpar \pard\plain \ltrpar\ql \li0\ri0\widctlpar\wrapdefault\aspalpha\aspnum\faauto\adjustright\rin0\lin0\itap0 \rtlch\fcs1 \af0\afs20\alang1025 \ltrch\fcs0 \fs24\lang2057\langfe2057\cgrid\langnp2057\langfenp2057 {\rtlch\fcs1 \af0 _x000d__x000a_\ltrch\fcs0 \insrsid150304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381958 \rtlch\fcs1 \af0\afs20\alang1025 \ltrch\fcs0 \fs24\lang1060\langfe2057\cgrid\langnp1060\langfenp2057 {\rtlch\fcs1 \af0 _x000d__x000a_\ltrch\fcs0 \insrsid9381958\charrsid4270183 {\*\bkmkstart restart}#}{\rtlch\fcs1 \af1 \ltrch\fcs0 \cs17\v\f1\fs20\cf15\insrsid9381958\charrsid4270183 NRMSG}{\rtlch\fcs1 \af0 \ltrch\fcs0 \insrsid9381958\charrsid4270183 #.\tab #}{\rtlch\fcs1 \af1 _x000d__x000a_\ltrch\fcs0 \cs17\v\f1\fs20\cf15\insrsid9381958\charrsid4270183 TEXTMSG2}{\rtlch\fcs1 \af0 \ltrch\fcs0 \insrsid9381958\charrsid4270183 #}{\rtlch\fcs1 \af0 \ltrch\fcs0 \insrsid938195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c_x000d__x000a_e4f5335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6173977 NormalHanging12a;}}{\*\rsidtbl \rsid24658\rsid223860\rsid735077\rsid1718133\rsid2833987\rsid2892074\rsid3565327\rsid4666813\rsid6173977\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GROSELJ Tadej}{\operator GROSELJ Tadej}{\creatim\yr2024\mo1\dy26\hr9\min45}{\revtim\yr2024\mo1\dy26\hr9\min45}{\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173977\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2833987 \chftnsep _x000d__x000a_\par }}{\*\ftnsepc \ltrpar \pard\plain \ltrpar\ql \li0\ri0\widctlpar\wrapdefault\aspalpha\aspnum\faauto\adjustright\rin0\lin0\itap0 \rtlch\fcs1 \af0\afs20\alang1025 \ltrch\fcs0 \fs24\lang2057\langfe2057\cgrid\langnp2057\langfenp2057 {\rtlch\fcs1 \af0 _x000d__x000a_\ltrch\fcs0 \insrsid2833987 \chftnsepc _x000d__x000a_\par }}{\*\aftnsep \ltrpar \pard\plain \ltrpar\ql \li0\ri0\widctlpar\wrapdefault\aspalpha\aspnum\faauto\adjustright\rin0\lin0\itap0 \rtlch\fcs1 \af0\afs20\alang1025 \ltrch\fcs0 \fs24\lang2057\langfe2057\cgrid\langnp2057\langfenp2057 {\rtlch\fcs1 \af0 _x000d__x000a_\ltrch\fcs0 \insrsid2833987 \chftnsep _x000d__x000a_\par }}{\*\aftnsepc \ltrpar \pard\plain \ltrpar\ql \li0\ri0\widctlpar\wrapdefault\aspalpha\aspnum\faauto\adjustright\rin0\lin0\itap0 \rtlch\fcs1 \af0\afs20\alang1025 \ltrch\fcs0 \fs24\lang2057\langfe2057\cgrid\langnp2057\langfenp2057 {\rtlch\fcs1 \af0 _x000d__x000a_\ltrch\fcs0 \insrsid28339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6173977 \rtlch\fcs1 \af0\afs20\alang1025 \ltrch\fcs0 \fs24\lang2057\langfe2057\cgrid\langnp2057\langfenp2057 {\rtlch\fcs1 \af0 _x000d__x000a_\ltrch\fcs0 \insrsid6173977\charrsid1525456 {\*\bkmkstart restart}[ZSUGGESTIONNR]\tab [ZSUGGESTIONTEXT]}{\rtlch\fcs1 \af0 \ltrch\fcs0 \insrsid6173977\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ec_x000d__x000a_9900345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SL"/>
    <w:docVar w:name="TXTLANGUEMIN" w:val="sl"/>
    <w:docVar w:name="TXTNRPE" w:val="756.194"/>
    <w:docVar w:name="TXTNRPROC" w:val="2023/2157"/>
    <w:docVar w:name="TXTPEorAP" w:val="PE"/>
    <w:docVar w:name="TXTROUTE" w:val="AD\1295226SL.docx"/>
    <w:docVar w:name="TXTVERSION" w:val="03-00"/>
  </w:docVars>
  <w:rsids>
    <w:rsidRoot w:val="00412867"/>
    <w:rsid w:val="000E7EBF"/>
    <w:rsid w:val="00124F60"/>
    <w:rsid w:val="00135121"/>
    <w:rsid w:val="00140BE6"/>
    <w:rsid w:val="00147F4E"/>
    <w:rsid w:val="0016635E"/>
    <w:rsid w:val="001746D0"/>
    <w:rsid w:val="001B7393"/>
    <w:rsid w:val="001D2ED9"/>
    <w:rsid w:val="001F21C1"/>
    <w:rsid w:val="002D28A7"/>
    <w:rsid w:val="002E2F2E"/>
    <w:rsid w:val="002E6F98"/>
    <w:rsid w:val="00325BCB"/>
    <w:rsid w:val="00331944"/>
    <w:rsid w:val="00332AD9"/>
    <w:rsid w:val="00347D2C"/>
    <w:rsid w:val="0037356F"/>
    <w:rsid w:val="00390EB2"/>
    <w:rsid w:val="00396A0E"/>
    <w:rsid w:val="003E2402"/>
    <w:rsid w:val="00412867"/>
    <w:rsid w:val="004A159A"/>
    <w:rsid w:val="004C28FB"/>
    <w:rsid w:val="004C44C0"/>
    <w:rsid w:val="0052544E"/>
    <w:rsid w:val="005940C3"/>
    <w:rsid w:val="00594C48"/>
    <w:rsid w:val="005B2F11"/>
    <w:rsid w:val="005C0BDF"/>
    <w:rsid w:val="005D60C6"/>
    <w:rsid w:val="006102E7"/>
    <w:rsid w:val="00640C1B"/>
    <w:rsid w:val="00657AFB"/>
    <w:rsid w:val="006D5BF7"/>
    <w:rsid w:val="00824390"/>
    <w:rsid w:val="0083047C"/>
    <w:rsid w:val="008313E7"/>
    <w:rsid w:val="00854CAC"/>
    <w:rsid w:val="008A32C5"/>
    <w:rsid w:val="008C6203"/>
    <w:rsid w:val="008D464B"/>
    <w:rsid w:val="008D61E7"/>
    <w:rsid w:val="008F7002"/>
    <w:rsid w:val="00911E94"/>
    <w:rsid w:val="0099493F"/>
    <w:rsid w:val="009C29A1"/>
    <w:rsid w:val="00A16BEA"/>
    <w:rsid w:val="00A312B3"/>
    <w:rsid w:val="00A72C35"/>
    <w:rsid w:val="00AE180F"/>
    <w:rsid w:val="00B362F7"/>
    <w:rsid w:val="00B5456B"/>
    <w:rsid w:val="00B74B53"/>
    <w:rsid w:val="00BC26E4"/>
    <w:rsid w:val="00BD1EAA"/>
    <w:rsid w:val="00C52739"/>
    <w:rsid w:val="00C827FF"/>
    <w:rsid w:val="00C8716C"/>
    <w:rsid w:val="00CD34AC"/>
    <w:rsid w:val="00DE19FF"/>
    <w:rsid w:val="00E81BA6"/>
    <w:rsid w:val="00E856D2"/>
    <w:rsid w:val="00E929A7"/>
    <w:rsid w:val="00EA1090"/>
    <w:rsid w:val="00F81A93"/>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chartTrackingRefBased/>
  <w15:docId w15:val="{FB752E9D-1B6E-4BAB-9BD8-EE4E941EF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EA1090"/>
    <w:rPr>
      <w:vertAlign w:val="superscript"/>
    </w:rPr>
  </w:style>
  <w:style w:type="paragraph" w:styleId="Footer">
    <w:name w:val="footer"/>
    <w:basedOn w:val="Normal"/>
    <w:link w:val="FooterChar"/>
    <w:semiHidden/>
    <w:rsid w:val="00EA1090"/>
    <w:pPr>
      <w:tabs>
        <w:tab w:val="center" w:pos="4513"/>
        <w:tab w:val="right" w:pos="9026"/>
      </w:tabs>
    </w:pPr>
  </w:style>
  <w:style w:type="character" w:customStyle="1" w:styleId="FooterChar">
    <w:name w:val="Footer Char"/>
    <w:basedOn w:val="DefaultParagraphFont"/>
    <w:link w:val="Footer"/>
    <w:semiHidden/>
    <w:rsid w:val="00EA1090"/>
    <w:rPr>
      <w:sz w:val="24"/>
      <w:lang w:val="sl-SI"/>
    </w:rPr>
  </w:style>
  <w:style w:type="paragraph" w:customStyle="1" w:styleId="Normal24a">
    <w:name w:val="Normal24a"/>
    <w:basedOn w:val="Normal"/>
    <w:rsid w:val="004A159A"/>
    <w:pPr>
      <w:spacing w:after="480"/>
    </w:pPr>
  </w:style>
  <w:style w:type="paragraph" w:customStyle="1" w:styleId="NormalBoldCenter">
    <w:name w:val="NormalBoldCenter"/>
    <w:basedOn w:val="Normal"/>
    <w:rsid w:val="004A159A"/>
    <w:pPr>
      <w:jc w:val="center"/>
    </w:pPr>
    <w:rPr>
      <w:b/>
    </w:rPr>
  </w:style>
  <w:style w:type="paragraph" w:customStyle="1" w:styleId="RollCallSymbols14pt">
    <w:name w:val="RollCallSymbols14pt"/>
    <w:basedOn w:val="Normal"/>
    <w:rsid w:val="004A159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A159A"/>
    <w:pPr>
      <w:tabs>
        <w:tab w:val="center" w:pos="284"/>
        <w:tab w:val="left" w:pos="426"/>
      </w:tabs>
    </w:pPr>
    <w:rPr>
      <w:snapToGrid w:val="0"/>
      <w:lang w:eastAsia="en-US"/>
    </w:rPr>
  </w:style>
  <w:style w:type="paragraph" w:customStyle="1" w:styleId="RollCallVotes">
    <w:name w:val="RollCallVotes"/>
    <w:basedOn w:val="Normal"/>
    <w:rsid w:val="004A159A"/>
    <w:pPr>
      <w:spacing w:before="120" w:after="120"/>
      <w:jc w:val="center"/>
    </w:pPr>
    <w:rPr>
      <w:b/>
      <w:bCs/>
      <w:snapToGrid w:val="0"/>
      <w:sz w:val="16"/>
      <w:lang w:eastAsia="en-US"/>
    </w:rPr>
  </w:style>
  <w:style w:type="paragraph" w:customStyle="1" w:styleId="RollCallTable">
    <w:name w:val="RollCallTable"/>
    <w:basedOn w:val="Normal"/>
    <w:rsid w:val="004A159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1137</Words>
  <Characters>6933</Characters>
  <Application>Microsoft Office Word</Application>
  <DocSecurity>0</DocSecurity>
  <Lines>172</Lines>
  <Paragraphs>70</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2024-02-07T10:11:00Z</dcterms:created>
  <dcterms:modified xsi:type="dcterms:W3CDTF">2024-02-07T10:11:00Z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1295226</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\\eiciLUXpr1\pdocep$\DocEP\TRANSFIL\SL\PA_NonLeg.SL(27/10/2023 11:16:01)</vt:lpwstr>
  </property>
  <property fmtid="{D5CDD505-2E9C-101B-9397-08002B2CF9AE}" pid="9" name="&lt;Model&gt;">
    <vt:lpwstr>PA_NonLeg</vt:lpwstr>
  </property>
  <property fmtid="{D5CDD505-2E9C-101B-9397-08002B2CF9AE}" pid="10" name="FooterPath">
    <vt:lpwstr>AD\1295226SL.docx</vt:lpwstr>
  </property>
  <property fmtid="{D5CDD505-2E9C-101B-9397-08002B2CF9AE}" pid="11" name="PE number">
    <vt:lpwstr>756.194</vt:lpwstr>
  </property>
  <property fmtid="{D5CDD505-2E9C-101B-9397-08002B2CF9AE}" pid="12" name="Bookout">
    <vt:lpwstr>OK - 2024/02/07 11:11</vt:lpwstr>
  </property>
  <property fmtid="{D5CDD505-2E9C-101B-9397-08002B2CF9AE}" pid="13" name="SDLStudio">
    <vt:lpwstr/>
  </property>
</Properties>
</file>