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C5517" w:rsidTr="00C85D0F">
        <w:trPr>
          <w:trHeight w:hRule="exact" w:val="1418"/>
        </w:trPr>
        <w:tc>
          <w:tcPr>
            <w:tcW w:w="6804" w:type="dxa"/>
            <w:shd w:val="clear" w:color="auto" w:fill="auto"/>
            <w:vAlign w:val="center"/>
          </w:tcPr>
          <w:p w:rsidR="00854CAC" w:rsidRPr="00E974AC" w:rsidRDefault="00910E50" w:rsidP="00C85D0F">
            <w:pPr>
              <w:pStyle w:val="EPName"/>
            </w:pPr>
            <w:bookmarkStart w:id="0" w:name="_GoBack"/>
            <w:bookmarkEnd w:id="0"/>
            <w:r>
              <w:t>Parlament Ewropew</w:t>
            </w:r>
          </w:p>
          <w:p w:rsidR="00854CAC" w:rsidRPr="00E974AC" w:rsidRDefault="00910E50" w:rsidP="001D5E60">
            <w:pPr>
              <w:pStyle w:val="EPTerm"/>
            </w:pPr>
            <w:r>
              <w:t>2019-2024</w:t>
            </w:r>
          </w:p>
        </w:tc>
        <w:tc>
          <w:tcPr>
            <w:tcW w:w="2268" w:type="dxa"/>
            <w:shd w:val="clear" w:color="auto" w:fill="auto"/>
          </w:tcPr>
          <w:p w:rsidR="00854CAC" w:rsidRPr="00E974AC" w:rsidRDefault="00910E50" w:rsidP="00C85D0F">
            <w:pPr>
              <w:pStyle w:val="EPLogo"/>
            </w:pPr>
            <w:r w:rsidRPr="00E974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E974AC" w:rsidRDefault="001746D0" w:rsidP="001746D0">
      <w:pPr>
        <w:pStyle w:val="LineTop"/>
      </w:pPr>
    </w:p>
    <w:p w:rsidR="001746D0" w:rsidRPr="00E974AC" w:rsidRDefault="00910E50" w:rsidP="001746D0">
      <w:pPr>
        <w:pStyle w:val="EPBody"/>
      </w:pPr>
      <w:r>
        <w:rPr>
          <w:rStyle w:val="HideTWBExt"/>
        </w:rPr>
        <w:t>&lt;</w:t>
      </w:r>
      <w:r>
        <w:rPr>
          <w:rStyle w:val="HideTWBExt"/>
          <w:i w:val="0"/>
        </w:rPr>
        <w:t>Commission</w:t>
      </w:r>
      <w:r>
        <w:rPr>
          <w:rStyle w:val="HideTWBExt"/>
        </w:rPr>
        <w:t>&gt;</w:t>
      </w:r>
      <w:r>
        <w:rPr>
          <w:rStyle w:val="HideTWBInt"/>
          <w:color w:val="auto"/>
        </w:rPr>
        <w:t>{LIBE}</w:t>
      </w:r>
      <w:r>
        <w:t>Kumitat għal-Libertajiet Ċivili, il-Ġustizzja u l-Intern</w:t>
      </w:r>
      <w:r>
        <w:rPr>
          <w:rStyle w:val="HideTWBExt"/>
        </w:rPr>
        <w:t>&lt;/</w:t>
      </w:r>
      <w:r>
        <w:rPr>
          <w:rStyle w:val="HideTWBExt"/>
          <w:i w:val="0"/>
        </w:rPr>
        <w:t>Commission</w:t>
      </w:r>
      <w:r>
        <w:rPr>
          <w:rStyle w:val="HideTWBExt"/>
        </w:rPr>
        <w:t>&gt;</w:t>
      </w:r>
    </w:p>
    <w:p w:rsidR="001746D0" w:rsidRPr="00E974AC" w:rsidRDefault="001746D0" w:rsidP="001746D0">
      <w:pPr>
        <w:pStyle w:val="LineBottom"/>
      </w:pPr>
    </w:p>
    <w:p w:rsidR="002E2F2E" w:rsidRPr="00E974AC" w:rsidRDefault="00910E50">
      <w:pPr>
        <w:pStyle w:val="CoverReference"/>
      </w:pPr>
      <w:r>
        <w:rPr>
          <w:rStyle w:val="HideTWBExt"/>
          <w:b w:val="0"/>
        </w:rPr>
        <w:t>&lt;RefProc&gt;</w:t>
      </w:r>
      <w:r>
        <w:t>2023/2165</w:t>
      </w:r>
      <w:r>
        <w:rPr>
          <w:rStyle w:val="HideTWBExt"/>
          <w:b w:val="0"/>
        </w:rPr>
        <w:t>&lt;/RefProc&gt;&lt;RefTypeProc&gt;</w:t>
      </w:r>
      <w:r>
        <w:t>(DEC)</w:t>
      </w:r>
      <w:r>
        <w:rPr>
          <w:rStyle w:val="HideTWBExt"/>
          <w:b w:val="0"/>
        </w:rPr>
        <w:t>&lt;/RefTypeProc&gt;</w:t>
      </w:r>
    </w:p>
    <w:p w:rsidR="002E2F2E" w:rsidRPr="00E974AC" w:rsidRDefault="00910E50">
      <w:pPr>
        <w:pStyle w:val="CoverDate"/>
      </w:pPr>
      <w:r>
        <w:rPr>
          <w:rStyle w:val="HideTWBExt"/>
        </w:rPr>
        <w:t>&lt;Date&gt;</w:t>
      </w:r>
      <w:r>
        <w:rPr>
          <w:rStyle w:val="HideTWBInt"/>
          <w:color w:val="auto"/>
        </w:rPr>
        <w:t>{24/01/2024}</w:t>
      </w:r>
      <w:r>
        <w:t>24.1.2024</w:t>
      </w:r>
      <w:r>
        <w:rPr>
          <w:rStyle w:val="HideTWBExt"/>
        </w:rPr>
        <w:t>&lt;/Date&gt;</w:t>
      </w:r>
    </w:p>
    <w:p w:rsidR="002E2F2E" w:rsidRPr="00E974AC" w:rsidRDefault="00910E50">
      <w:pPr>
        <w:pStyle w:val="CoverDocType24a"/>
      </w:pPr>
      <w:r>
        <w:rPr>
          <w:rStyle w:val="HideTWBExt"/>
          <w:b w:val="0"/>
        </w:rPr>
        <w:t>&lt;TitreType&gt;</w:t>
      </w:r>
      <w:r>
        <w:t>OPINJONI</w:t>
      </w:r>
      <w:r>
        <w:rPr>
          <w:rStyle w:val="HideTWBExt"/>
          <w:b w:val="0"/>
        </w:rPr>
        <w:t>&lt;/TitreType&gt;</w:t>
      </w:r>
    </w:p>
    <w:p w:rsidR="002E2F2E" w:rsidRPr="00E974AC" w:rsidRDefault="00910E50">
      <w:pPr>
        <w:pStyle w:val="CoverNormal24a"/>
      </w:pPr>
      <w:r>
        <w:rPr>
          <w:rStyle w:val="HideTWBExt"/>
        </w:rPr>
        <w:t>&lt;CommissionResp&gt;</w:t>
      </w:r>
      <w:r>
        <w:t>tal-Kumitat għal-Libertajiet Ċivili, il-Ġustizzja u l-Intern</w:t>
      </w:r>
      <w:r>
        <w:rPr>
          <w:rStyle w:val="HideTWBExt"/>
        </w:rPr>
        <w:t>&lt;/CommissionResp&gt;</w:t>
      </w:r>
    </w:p>
    <w:p w:rsidR="002E2F2E" w:rsidRPr="00E974AC" w:rsidRDefault="00910E50">
      <w:pPr>
        <w:pStyle w:val="CoverNormal24a"/>
      </w:pPr>
      <w:r>
        <w:rPr>
          <w:rStyle w:val="HideTWBExt"/>
        </w:rPr>
        <w:t>&lt;CommissionInt&gt;</w:t>
      </w:r>
      <w:r>
        <w:t>għall-Kumitat għall-Kontroll tal-Baġit</w:t>
      </w:r>
      <w:r>
        <w:rPr>
          <w:rStyle w:val="HideTWBExt"/>
        </w:rPr>
        <w:t>&lt;/CommissionInt&gt;</w:t>
      </w:r>
    </w:p>
    <w:p w:rsidR="00E974AC" w:rsidRPr="00E974AC" w:rsidRDefault="00910E50" w:rsidP="00E974AC">
      <w:pPr>
        <w:pStyle w:val="CoverNormal"/>
      </w:pPr>
      <w:r>
        <w:rPr>
          <w:rStyle w:val="HideTWBExt"/>
        </w:rPr>
        <w:t>&lt;Titre&gt;</w:t>
      </w:r>
      <w:r>
        <w:t>dwar il-kwittanza għall-implimentazzjoni tal-baġit tal-Aġenzija tal-Unjoni Ewropea għat-Tmexxija Operattiva ta’ Sistemi tal-IT fuq Skala Kbira fl-Ispazju ta’ Libertà, Sigurtà u Ġustizzja (eu-LISA) għas-sena finanzjarja 2022</w:t>
      </w:r>
      <w:r>
        <w:rPr>
          <w:rStyle w:val="HideTWBExt"/>
        </w:rPr>
        <w:t>&lt;/Titre&gt;</w:t>
      </w:r>
    </w:p>
    <w:p w:rsidR="002E2F2E" w:rsidRPr="00E974AC" w:rsidRDefault="00910E50" w:rsidP="00E974AC">
      <w:pPr>
        <w:pStyle w:val="CoverNormal24a"/>
      </w:pPr>
      <w:r>
        <w:rPr>
          <w:rStyle w:val="HideTWBExt"/>
        </w:rPr>
        <w:t>&lt;DocRef&gt;</w:t>
      </w:r>
      <w:r>
        <w:t>(2023/2165(DEC))</w:t>
      </w:r>
      <w:r>
        <w:rPr>
          <w:rStyle w:val="HideTWBExt"/>
        </w:rPr>
        <w:t>&lt;/DocRef&gt;</w:t>
      </w:r>
    </w:p>
    <w:p w:rsidR="002E2F2E" w:rsidRPr="00E974AC" w:rsidRDefault="00910E50">
      <w:pPr>
        <w:pStyle w:val="CoverNormal24a"/>
      </w:pPr>
      <w:r>
        <w:t xml:space="preserve">Rapporteur għal opinjoni: </w:t>
      </w:r>
      <w:r>
        <w:rPr>
          <w:rStyle w:val="HideTWBExt"/>
        </w:rPr>
        <w:t>&lt;Depute&gt;</w:t>
      </w:r>
      <w:r>
        <w:t>Tomáš Zdechovský</w:t>
      </w:r>
      <w:r>
        <w:rPr>
          <w:rStyle w:val="HideTWBExt"/>
        </w:rPr>
        <w:t>&lt;/Depute&gt;</w:t>
      </w:r>
    </w:p>
    <w:p w:rsidR="00A72C35" w:rsidRPr="00E974AC" w:rsidRDefault="00A72C35" w:rsidP="00A72C35">
      <w:pPr>
        <w:pStyle w:val="CoverNormal"/>
      </w:pPr>
    </w:p>
    <w:p w:rsidR="002E2F2E" w:rsidRPr="00E974AC" w:rsidRDefault="00910E50" w:rsidP="00E856D2">
      <w:pPr>
        <w:widowControl/>
        <w:tabs>
          <w:tab w:val="center" w:pos="4677"/>
        </w:tabs>
      </w:pPr>
      <w:r>
        <w:br w:type="page"/>
      </w:r>
      <w:r>
        <w:lastRenderedPageBreak/>
        <w:t>PA_NonLeg</w:t>
      </w:r>
    </w:p>
    <w:p w:rsidR="002E2F2E" w:rsidRPr="00E974AC" w:rsidRDefault="00910E50">
      <w:pPr>
        <w:pStyle w:val="PageHeadingNotTOC"/>
      </w:pPr>
      <w:r>
        <w:br w:type="page"/>
        <w:t>SUĠĠERIMENTI</w:t>
      </w:r>
    </w:p>
    <w:p w:rsidR="00E974AC" w:rsidRPr="00E974AC" w:rsidRDefault="00910E50" w:rsidP="00E974AC">
      <w:pPr>
        <w:pStyle w:val="Normal12a"/>
      </w:pPr>
      <w:r>
        <w:t>Il-Kumitat għal-Libertajiet Ċivili, il-Ġustizzja u l-Intern jistieden lill-Kumitat għall-Kontroll tal-Baġit, bħala l-kumitat responsabbli, biex jinkorpora s-suġġerimenti li ġejjin fil-mozzjoni għal riżoluzzjoni tiegħu:</w:t>
      </w:r>
    </w:p>
    <w:p w:rsidR="00E974AC" w:rsidRPr="00E974AC" w:rsidRDefault="00910E50" w:rsidP="00E974AC">
      <w:pPr>
        <w:pStyle w:val="NormalHanging12a"/>
      </w:pPr>
      <w:r>
        <w:t>1.</w:t>
      </w:r>
      <w:r>
        <w:tab/>
        <w:t xml:space="preserve">Jilqa’ l-fatt li l-Qorti tal-Awdituri (il-“Qorti”) iddikjarat it-tranżazzjonijiet li fuqhom huma bbażati l-kontijiet annwali tal-Aġenzija tal-Unjoni Ewropea għat-Tmexxija Operattiva ta’ Sistemi tal-IT fuq Skala Kbira fl-Ispazju ta’ Libertà, Sigurtà u Ġustizzja (l-“eu-LISA”) għas-sena finanzjarja 2022 bħala legali u regolari fl-aspetti materjali kollha; </w:t>
      </w:r>
    </w:p>
    <w:p w:rsidR="00E974AC" w:rsidRPr="00E974AC" w:rsidRDefault="00910E50" w:rsidP="00E974AC">
      <w:pPr>
        <w:pStyle w:val="NormalHanging12a"/>
      </w:pPr>
      <w:r>
        <w:t>2.</w:t>
      </w:r>
      <w:r>
        <w:tab/>
        <w:t xml:space="preserve">Jiddispjaċih li, fl-2022, ammont ta’ EUR 17,8-il miljun, li jirrappreżenta 4,8 % tat-total tal-approprjazzjonijiet ta’ pagament totali disponibbli, kien infiq mhux konformi li qabeż il-livell limitu ta’ materjalità stabbilit għall-awditu, u għalhekk dan wassal lill-Qorti biex tagħti opinjoni kwalifikata dwar il-legalità u r-regolarità tal-pagamenti, wara l-opinjonijiet kwalifikati dwar l-irregolarità tal-pagamenti tal-eu-LISA fl-2020 u l-2021; jiddispjaċih li diversi osservazzjonijiet tal-Qorti minn snin preċedenti għadhom għaddejjin; jistieden lill-eu-LISA ssegwi l-osservazzjonijiet tal-Qorti u żżid l-isforzi biex timplimenta azzjonijiet korrettivi fil-każijiet kollha li fadal ta’ nuqqas ta’ konformità u tirrapporta lill-awtorità ta’ kwittanza dwar il-progress miksub; </w:t>
      </w:r>
    </w:p>
    <w:p w:rsidR="00E974AC" w:rsidRPr="00E974AC" w:rsidRDefault="00910E50" w:rsidP="00E974AC">
      <w:pPr>
        <w:pStyle w:val="NormalHanging12a"/>
      </w:pPr>
      <w:r>
        <w:t>3.</w:t>
      </w:r>
      <w:r>
        <w:tab/>
        <w:t xml:space="preserve">Jinnota bi tħassib l-osservazzjonijiet tal-Qorti dwar il-legalità u r-regolarità tat-tranżazzjonijiet, dwar is-sistemi ta’ ġestjoni u kontroll, u dwar il-ġestjoni baġitarja filwaqt li jinnota li r-rati għolja rikorrenti ta’ riporti, li jirrappreżentaw EUR 14,4-il miljun tal-approprjazzjonijiet ta’ impenn tal-2022 riportati għall-2023, jikkontradixxu l-prinċipju baġitarju tal-annwalità u jindikaw problemi strutturali fil-proċess baġitarju u fiċ-ċiklu ta’ implimentazzjoni; </w:t>
      </w:r>
    </w:p>
    <w:p w:rsidR="00E974AC" w:rsidRPr="00E974AC" w:rsidRDefault="00910E50" w:rsidP="00E974AC">
      <w:pPr>
        <w:pStyle w:val="NormalHanging12a"/>
      </w:pPr>
      <w:r>
        <w:t>4.</w:t>
      </w:r>
      <w:r>
        <w:tab/>
        <w:t>Jiddispjaċih li diversi pagamenti tal-2022 kienu marbuta ma’ tliet kuntratti inkluż kuntratt speċifiku wieħed ta’ EUR 40 miljun, li nstab li kienu irregolari fl-2021 u l-2022; jinnota t-tweġibiet tal-eu-LISA li jistipulaw li n-numru ta’ kuntratti irregolari ġew riveduti u emendati jew ma ġewx estiżi sal-2023;</w:t>
      </w:r>
    </w:p>
    <w:p w:rsidR="00E974AC" w:rsidRPr="00E974AC" w:rsidRDefault="00910E50" w:rsidP="00E974AC">
      <w:pPr>
        <w:pStyle w:val="NormalHanging12a"/>
      </w:pPr>
      <w:r>
        <w:t>5.</w:t>
      </w:r>
      <w:r>
        <w:tab/>
        <w:t>Jinnota b’dispjaċir li, mid-disa’ osservazzjonijiet tal-Qorti tal-2017, l-2018 u l-2021, waħda biss ingħalqet; jirrikonoxxi li l-eu-LISA żviluppat pjan ta’ azzjoni biex tindirizza s-sitt osservazzjonijiet li għaddejjin mill-2021; jitlob implimentazzjoni sħiħa ta’ dan il-pjan ta’ azzjoni; jistieden lill-eu-LISA tindirizza bis-sħiħ l-osservazzjonijiet tal-Qorti u tirrapporta dwar il-progress miksub;</w:t>
      </w:r>
    </w:p>
    <w:p w:rsidR="00E974AC" w:rsidRPr="00E974AC" w:rsidRDefault="00910E50" w:rsidP="00E974AC">
      <w:pPr>
        <w:pStyle w:val="NormalHanging12a"/>
        <w:rPr>
          <w:szCs w:val="24"/>
        </w:rPr>
      </w:pPr>
      <w:r>
        <w:t>6.</w:t>
      </w:r>
      <w:r>
        <w:tab/>
        <w:t xml:space="preserve">Jinnota l-kooperazzjoni tal-eu-LISA mal-aġenziji tal-UE, speċjalment mal-Aġenzija Ewropea għall-Gwardja tal-Fruntiera u tal-Kosta (FRONTEX) dwar l-iżvilupp tal-ETIAS, mal-Aġenzija tal-Unjoni Ewropea għall-Kooperazzjoni fl-Infurzar tal-Liġi (Europol) dwar l-implimentazzjoni tar-regolamenti dwar is-SIS (riformulazzjoni), l-EES, l-ETIAS u l-interoperabbiltà, mal-Aġenzija tal-Unjoni Ewropea għall-Kooperazzjoni fil-Ġustizzja Kriminali (Eurojust) dwar l-implimentazzjoni tal-ECRIS-TCN u l-e-CODEX, ir-regolamenti dwar l-interoperabbiltà u l-koordinazzjoni ta’ attivitajiet relatati mad-diġitalizzazzjoni tal-kooperazzjoni ġudizzjarja, mal-Aġenzija tal-Unjoni Ewropea għall-Ażil (EUAA) dwar l-implimentazzjoni tar-regolament tal-Kummissjoni dwar in-network ta’ komunikazzjoni elettronika “DubliNet”, mal-Aġenzija tal-Unjoni Ewropea għat-Taħriġ fl-Infurzar tal-Liġi (CEPOL) dwar l-organizzazzjoni ta’ korsijiet ta’ taħriġ konġunti dwar l-użu tas-sistemi tal-Ġustizzja u l-Affarijiet Interni (ĠAI) u mal-Aġenzija tal-Unjoni Ewropea għad-Drittijiet Fundamentali (FRA) dwar l-organizzazzjoni ta’ korsijiet ta’ taħriġ konġunti li jenfasizzaw l-aspett tad-drittijiet fundamentali fil-ġestjoni tas-sistemi ta’ informazzjoni tal-ĠAI; iħeġġeġ lill-eu-LISA tkompli l-kooperazzjoni tagħha mal-aġenziji tal-UE; </w:t>
      </w:r>
    </w:p>
    <w:p w:rsidR="001D5E60" w:rsidRPr="00E974AC" w:rsidRDefault="00910E50" w:rsidP="00E974AC">
      <w:pPr>
        <w:pStyle w:val="NormalHanging12a"/>
        <w:rPr>
          <w:szCs w:val="24"/>
        </w:rPr>
      </w:pPr>
      <w:r>
        <w:t>7.</w:t>
      </w:r>
      <w:r>
        <w:tab/>
        <w:t>Jinnota l-provvista kontinwa ta’ servizzi ta’ hosting għas-sistemi ta’ riżerva tal-Frontex u l-Aġenzija tal-Unjoni Ewropea għall-Ażil; jinnota l-iżvilupp u l-implimentazzjoni taċ-“ċentru tad-data bħala servizz” għaċ-ċentralizzazzjoni tal-ġestjoni operattiva, il-monitoraġġ u l-ippjanar tal-kapaċità tal-infrastruttura tal-IT użata mis-sistemi tal-ĠAI; jilqa’ l-progress li sar fit-tħejjijiet għaċ-ċentru tad-data modulari futur li se jipprovdi kapaċità ta’ riżerva addizzjonali u żieda fil-kapaċità ta’ 50 % għall-hosting ta’ sistemi ġodda tal-ĠAI; ifakkar fl-importanza tal-konformità mal-leġiżlazzjoni tal-UE b’mod partikolari f’termini ta’ protezzjoni tad-data.</w:t>
      </w:r>
    </w:p>
    <w:p w:rsidR="00945AA8" w:rsidRDefault="00945AA8" w:rsidP="0074470B">
      <w:pPr>
        <w:sectPr w:rsidR="00945AA8" w:rsidSect="00945AA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45AA8" w:rsidRDefault="00945AA8" w:rsidP="002B2C72">
      <w:pPr>
        <w:pStyle w:val="PageHeadingNotTOC"/>
        <w:rPr>
          <w:noProof/>
        </w:rPr>
      </w:pPr>
      <w:bookmarkStart w:id="1" w:name="FootprintPageAD"/>
      <w:r>
        <w:rPr>
          <w:noProof/>
        </w:rPr>
        <w:t>ANNESS: ENTITAJIET JEW PERSUNI</w:t>
      </w:r>
      <w:r>
        <w:rPr>
          <w:noProof/>
        </w:rPr>
        <w:br/>
        <w:t>LI R-RAPPORTEUR GĦAL OPINJONI RĊIEVA KONTRIBUT MINGĦANDHOM</w:t>
      </w:r>
    </w:p>
    <w:p w:rsidR="00945AA8" w:rsidRPr="0099178F" w:rsidRDefault="00945AA8" w:rsidP="00037518">
      <w:pPr>
        <w:pStyle w:val="Normal24a"/>
      </w:pPr>
      <w:r w:rsidRPr="00FE761F">
        <w:rPr>
          <w:rStyle w:val="HideTWBExt"/>
        </w:rPr>
        <w:t>&lt;FootprintIntro&gt;</w:t>
      </w:r>
      <w:r>
        <w:t>Ir-rapporteur għal opinjoni jiddikjara, taħt ir-responsabbiltà esklużiva tiegħu, li ma rċieva l-ebda kontribut minn entità jew persuna li jrid jissemma f’dan l-Anness f’konformità mal-Artikolu 8 tal-Anness I tar-Regoli ta’ Proċedura.</w:t>
      </w:r>
      <w:r w:rsidRPr="00FE761F">
        <w:rPr>
          <w:rStyle w:val="HideTWBExt"/>
        </w:rPr>
        <w:t>&lt;</w:t>
      </w:r>
      <w:r>
        <w:rPr>
          <w:rStyle w:val="HideTWBExt"/>
        </w:rPr>
        <w:t>/</w:t>
      </w:r>
      <w:r w:rsidRPr="00FE761F">
        <w:rPr>
          <w:rStyle w:val="HideTWBExt"/>
        </w:rPr>
        <w:t>FootprintIntro&gt;</w:t>
      </w:r>
    </w:p>
    <w:p w:rsidR="00945AA8" w:rsidRDefault="00945AA8" w:rsidP="00AD5932"/>
    <w:p w:rsidR="00945AA8" w:rsidRPr="00945AA8" w:rsidRDefault="00945AA8" w:rsidP="00945AA8"/>
    <w:bookmarkEnd w:id="1"/>
    <w:p w:rsidR="00945AA8" w:rsidRDefault="00945AA8" w:rsidP="0074470B">
      <w:pPr>
        <w:sectPr w:rsidR="00945AA8" w:rsidSect="00945AA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470B" w:rsidRPr="00E974AC" w:rsidRDefault="0074470B" w:rsidP="0074470B"/>
    <w:p w:rsidR="0074470B" w:rsidRPr="00E974AC" w:rsidRDefault="00910E50" w:rsidP="0074470B">
      <w:pPr>
        <w:pStyle w:val="PageHeadingNotTOC"/>
      </w:pPr>
      <w:bookmarkStart w:id="2" w:name="ProcPageAD"/>
      <w:r>
        <w:t>INFORMAZZJONI DWAR L-ADOZZJONI</w:t>
      </w:r>
      <w:r>
        <w:br/>
        <w:t>FIL-KUMITAT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C55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b/>
                <w:bCs/>
                <w:color w:val="000000"/>
                <w:sz w:val="20"/>
              </w:rPr>
            </w:pPr>
            <w:r>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4470B" w:rsidRPr="00E974AC" w:rsidRDefault="00910E50">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4470B" w:rsidRPr="00E974AC" w:rsidRDefault="0074470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4470B" w:rsidRPr="00E974AC" w:rsidRDefault="0074470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4470B" w:rsidRPr="00E974AC" w:rsidRDefault="0074470B">
            <w:pPr>
              <w:autoSpaceDE w:val="0"/>
              <w:autoSpaceDN w:val="0"/>
              <w:adjustRightInd w:val="0"/>
              <w:rPr>
                <w:rFonts w:ascii="sans-serif" w:hAnsi="sans-serif" w:cs="sans-serif"/>
                <w:color w:val="000000"/>
                <w:szCs w:val="24"/>
              </w:rPr>
            </w:pPr>
          </w:p>
        </w:tc>
      </w:tr>
      <w:tr w:rsidR="000C55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b/>
                <w:bCs/>
                <w:color w:val="000000"/>
                <w:sz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4470B" w:rsidRPr="00E974AC" w:rsidRDefault="00910E50">
            <w:pPr>
              <w:autoSpaceDE w:val="0"/>
              <w:autoSpaceDN w:val="0"/>
              <w:adjustRightInd w:val="0"/>
              <w:rPr>
                <w:color w:val="000000"/>
                <w:sz w:val="20"/>
              </w:rPr>
            </w:pPr>
            <w:r>
              <w:rPr>
                <w:color w:val="000000"/>
                <w:sz w:val="20"/>
              </w:rPr>
              <w:t>+:</w:t>
            </w:r>
          </w:p>
          <w:p w:rsidR="0074470B" w:rsidRPr="00E974AC" w:rsidRDefault="00910E50">
            <w:pPr>
              <w:autoSpaceDE w:val="0"/>
              <w:autoSpaceDN w:val="0"/>
              <w:adjustRightInd w:val="0"/>
              <w:rPr>
                <w:color w:val="000000"/>
                <w:sz w:val="20"/>
              </w:rPr>
            </w:pPr>
            <w:r>
              <w:rPr>
                <w:color w:val="000000"/>
                <w:sz w:val="20"/>
              </w:rPr>
              <w:t>–:</w:t>
            </w:r>
          </w:p>
          <w:p w:rsidR="0074470B" w:rsidRPr="00E974AC" w:rsidRDefault="00910E5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color w:val="000000"/>
                <w:sz w:val="20"/>
              </w:rPr>
            </w:pPr>
            <w:r>
              <w:rPr>
                <w:color w:val="000000"/>
                <w:sz w:val="20"/>
              </w:rPr>
              <w:t>55</w:t>
            </w:r>
          </w:p>
          <w:p w:rsidR="0074470B" w:rsidRPr="00E974AC" w:rsidRDefault="00910E50">
            <w:pPr>
              <w:autoSpaceDE w:val="0"/>
              <w:autoSpaceDN w:val="0"/>
              <w:adjustRightInd w:val="0"/>
              <w:rPr>
                <w:color w:val="000000"/>
                <w:sz w:val="20"/>
              </w:rPr>
            </w:pPr>
            <w:r>
              <w:rPr>
                <w:color w:val="000000"/>
                <w:sz w:val="20"/>
              </w:rPr>
              <w:t>0</w:t>
            </w:r>
          </w:p>
          <w:p w:rsidR="0074470B" w:rsidRPr="00E974AC" w:rsidRDefault="00910E50">
            <w:pPr>
              <w:autoSpaceDE w:val="0"/>
              <w:autoSpaceDN w:val="0"/>
              <w:adjustRightInd w:val="0"/>
              <w:rPr>
                <w:color w:val="000000"/>
                <w:sz w:val="20"/>
              </w:rPr>
            </w:pPr>
            <w:r>
              <w:rPr>
                <w:color w:val="000000"/>
                <w:sz w:val="20"/>
              </w:rPr>
              <w:t>2</w:t>
            </w:r>
          </w:p>
        </w:tc>
      </w:tr>
      <w:tr w:rsidR="000C55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b/>
                <w:bCs/>
                <w:color w:val="000000"/>
                <w:sz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0C55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b/>
                <w:bCs/>
                <w:color w:val="000000"/>
                <w:sz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0C55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b/>
                <w:bCs/>
                <w:color w:val="000000"/>
                <w:sz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4470B" w:rsidRPr="00E974AC" w:rsidRDefault="00910E50">
            <w:pPr>
              <w:autoSpaceDE w:val="0"/>
              <w:autoSpaceDN w:val="0"/>
              <w:adjustRightInd w:val="0"/>
              <w:rPr>
                <w:color w:val="000000"/>
                <w:sz w:val="20"/>
              </w:rPr>
            </w:pPr>
            <w:r>
              <w:rPr>
                <w:color w:val="000000"/>
                <w:sz w:val="20"/>
              </w:rPr>
              <w:t>Andrus Ansip, Hildegard Bentele, Maria da Graça Carvalho, Marisa Matias, Caroline Nagtegaal</w:t>
            </w:r>
          </w:p>
        </w:tc>
      </w:tr>
    </w:tbl>
    <w:p w:rsidR="0074470B" w:rsidRPr="00E974AC" w:rsidRDefault="0074470B"/>
    <w:bookmarkEnd w:id="2"/>
    <w:p w:rsidR="002E6F98" w:rsidRPr="00E974AC" w:rsidRDefault="002E6F98" w:rsidP="00E974AC"/>
    <w:p w:rsidR="00E974AC" w:rsidRPr="00E974AC" w:rsidRDefault="00E974AC" w:rsidP="00E974AC">
      <w:pPr>
        <w:sectPr w:rsidR="00E974AC" w:rsidRPr="00E974AC" w:rsidSect="00945AA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974AC" w:rsidRPr="00E974AC" w:rsidRDefault="00910E50" w:rsidP="00C36610">
      <w:pPr>
        <w:pStyle w:val="PageHeadingNotTOC"/>
      </w:pPr>
      <w:bookmarkStart w:id="3" w:name="RollCallPageAD"/>
      <w:r>
        <w:t>VOTAZZJONI FINALI B’SEJĦA TAL-ISMIJIET</w:t>
      </w:r>
      <w:r>
        <w:br/>
        <w:t>FIL-KUMITAT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C5517" w:rsidTr="00D61960">
        <w:trPr>
          <w:cantSplit/>
        </w:trPr>
        <w:tc>
          <w:tcPr>
            <w:tcW w:w="1701" w:type="dxa"/>
            <w:shd w:val="pct10" w:color="000000" w:fill="FFFFFF"/>
            <w:vAlign w:val="center"/>
          </w:tcPr>
          <w:p w:rsidR="00E974AC" w:rsidRPr="00E974AC" w:rsidRDefault="00910E50" w:rsidP="00D61960">
            <w:pPr>
              <w:pStyle w:val="RollCallVotes"/>
            </w:pPr>
            <w:r>
              <w:t>55</w:t>
            </w:r>
          </w:p>
        </w:tc>
        <w:tc>
          <w:tcPr>
            <w:tcW w:w="7371" w:type="dxa"/>
            <w:shd w:val="pct10" w:color="000000" w:fill="FFFFFF"/>
          </w:tcPr>
          <w:p w:rsidR="00E974AC" w:rsidRPr="00E974AC" w:rsidRDefault="00910E50" w:rsidP="00D61960">
            <w:pPr>
              <w:pStyle w:val="RollCallSymbols14pt"/>
            </w:pPr>
            <w:r>
              <w:t>+</w:t>
            </w:r>
          </w:p>
        </w:tc>
      </w:tr>
      <w:tr w:rsidR="000C5517" w:rsidTr="00D61960">
        <w:trPr>
          <w:cantSplit/>
        </w:trPr>
        <w:tc>
          <w:tcPr>
            <w:tcW w:w="1701" w:type="dxa"/>
            <w:shd w:val="clear" w:color="auto" w:fill="FFFFFF"/>
          </w:tcPr>
          <w:p w:rsidR="00E974AC" w:rsidRPr="00E974AC" w:rsidRDefault="00910E50" w:rsidP="00D61960">
            <w:pPr>
              <w:pStyle w:val="RollCallTable"/>
            </w:pPr>
            <w:r>
              <w:t>ECR</w:t>
            </w:r>
          </w:p>
        </w:tc>
        <w:tc>
          <w:tcPr>
            <w:tcW w:w="7371" w:type="dxa"/>
            <w:shd w:val="clear" w:color="auto" w:fill="FFFFFF"/>
          </w:tcPr>
          <w:p w:rsidR="00E974AC" w:rsidRPr="00E974AC" w:rsidRDefault="00910E50" w:rsidP="00D61960">
            <w:pPr>
              <w:pStyle w:val="RollCallTable"/>
            </w:pPr>
            <w:r>
              <w:t>Jorge Buxadé Villalba, Patryk Jaki, Assita Kanko, Beata Kempa, Vincenzo Sofo</w:t>
            </w:r>
          </w:p>
        </w:tc>
      </w:tr>
      <w:tr w:rsidR="000C5517" w:rsidTr="00D61960">
        <w:trPr>
          <w:cantSplit/>
        </w:trPr>
        <w:tc>
          <w:tcPr>
            <w:tcW w:w="1701" w:type="dxa"/>
            <w:shd w:val="clear" w:color="auto" w:fill="FFFFFF"/>
          </w:tcPr>
          <w:p w:rsidR="00E974AC" w:rsidRPr="00E974AC" w:rsidRDefault="00910E50" w:rsidP="00D61960">
            <w:pPr>
              <w:pStyle w:val="RollCallTable"/>
            </w:pPr>
            <w:r>
              <w:t>ID</w:t>
            </w:r>
          </w:p>
        </w:tc>
        <w:tc>
          <w:tcPr>
            <w:tcW w:w="7371" w:type="dxa"/>
            <w:shd w:val="clear" w:color="auto" w:fill="FFFFFF"/>
          </w:tcPr>
          <w:p w:rsidR="00E974AC" w:rsidRPr="00E974AC" w:rsidRDefault="00910E50" w:rsidP="00D61960">
            <w:pPr>
              <w:pStyle w:val="RollCallTable"/>
            </w:pPr>
            <w:r>
              <w:t>Nicolaus Fest, Tom Vandendriessche</w:t>
            </w:r>
          </w:p>
        </w:tc>
      </w:tr>
      <w:tr w:rsidR="000C5517" w:rsidTr="00D61960">
        <w:trPr>
          <w:cantSplit/>
        </w:trPr>
        <w:tc>
          <w:tcPr>
            <w:tcW w:w="1701" w:type="dxa"/>
            <w:shd w:val="clear" w:color="auto" w:fill="FFFFFF"/>
          </w:tcPr>
          <w:p w:rsidR="00E974AC" w:rsidRPr="00E974AC" w:rsidRDefault="00910E50" w:rsidP="00D61960">
            <w:pPr>
              <w:pStyle w:val="RollCallTable"/>
            </w:pPr>
            <w:r>
              <w:t>NI</w:t>
            </w:r>
          </w:p>
        </w:tc>
        <w:tc>
          <w:tcPr>
            <w:tcW w:w="7371" w:type="dxa"/>
            <w:shd w:val="clear" w:color="auto" w:fill="FFFFFF"/>
          </w:tcPr>
          <w:p w:rsidR="00E974AC" w:rsidRPr="00E974AC" w:rsidRDefault="00910E50" w:rsidP="00D61960">
            <w:pPr>
              <w:pStyle w:val="RollCallTable"/>
            </w:pPr>
            <w:r>
              <w:t>Laura Ferrara</w:t>
            </w:r>
          </w:p>
        </w:tc>
      </w:tr>
      <w:tr w:rsidR="000C5517" w:rsidTr="00D61960">
        <w:trPr>
          <w:cantSplit/>
        </w:trPr>
        <w:tc>
          <w:tcPr>
            <w:tcW w:w="1701" w:type="dxa"/>
            <w:shd w:val="clear" w:color="auto" w:fill="FFFFFF"/>
          </w:tcPr>
          <w:p w:rsidR="00E974AC" w:rsidRPr="00E974AC" w:rsidRDefault="00910E50" w:rsidP="00D61960">
            <w:pPr>
              <w:pStyle w:val="RollCallTable"/>
            </w:pPr>
            <w:r>
              <w:t>PPE</w:t>
            </w:r>
          </w:p>
        </w:tc>
        <w:tc>
          <w:tcPr>
            <w:tcW w:w="7371" w:type="dxa"/>
            <w:shd w:val="clear" w:color="auto" w:fill="FFFFFF"/>
          </w:tcPr>
          <w:p w:rsidR="00E974AC" w:rsidRPr="00E974AC" w:rsidRDefault="00910E50" w:rsidP="00D61960">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0C5517" w:rsidTr="00D61960">
        <w:trPr>
          <w:cantSplit/>
        </w:trPr>
        <w:tc>
          <w:tcPr>
            <w:tcW w:w="1701" w:type="dxa"/>
            <w:shd w:val="clear" w:color="auto" w:fill="FFFFFF"/>
          </w:tcPr>
          <w:p w:rsidR="00E974AC" w:rsidRPr="00E974AC" w:rsidRDefault="00910E50" w:rsidP="00D61960">
            <w:pPr>
              <w:pStyle w:val="RollCallTable"/>
            </w:pPr>
            <w:r>
              <w:t>Renew</w:t>
            </w:r>
          </w:p>
        </w:tc>
        <w:tc>
          <w:tcPr>
            <w:tcW w:w="7371" w:type="dxa"/>
            <w:shd w:val="clear" w:color="auto" w:fill="FFFFFF"/>
          </w:tcPr>
          <w:p w:rsidR="00E974AC" w:rsidRPr="00E974AC" w:rsidRDefault="00910E50" w:rsidP="00D61960">
            <w:pPr>
              <w:pStyle w:val="RollCallTable"/>
            </w:pPr>
            <w:r>
              <w:t>Abir Al-Sahlani, Andrus Ansip, Lucia Ďuriš Nicholsonová, Sophia in 't Veld, Moritz Körner, Caroline Nagtegaal, Maite Pagazaurtundúa, Bergur Løkke Rasmussen, Róża Thun und Hohenstein, Jana Toom</w:t>
            </w:r>
          </w:p>
        </w:tc>
      </w:tr>
      <w:tr w:rsidR="000C5517" w:rsidTr="00D61960">
        <w:trPr>
          <w:cantSplit/>
        </w:trPr>
        <w:tc>
          <w:tcPr>
            <w:tcW w:w="1701" w:type="dxa"/>
            <w:shd w:val="clear" w:color="auto" w:fill="FFFFFF"/>
          </w:tcPr>
          <w:p w:rsidR="00E974AC" w:rsidRPr="00E974AC" w:rsidRDefault="00910E50" w:rsidP="00D61960">
            <w:pPr>
              <w:pStyle w:val="RollCallTable"/>
            </w:pPr>
            <w:r>
              <w:t>S&amp;D</w:t>
            </w:r>
          </w:p>
        </w:tc>
        <w:tc>
          <w:tcPr>
            <w:tcW w:w="7371" w:type="dxa"/>
            <w:shd w:val="clear" w:color="auto" w:fill="FFFFFF"/>
          </w:tcPr>
          <w:p w:rsidR="00E974AC" w:rsidRPr="00E974AC" w:rsidRDefault="00910E50" w:rsidP="00D61960">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0C5517" w:rsidTr="00D61960">
        <w:trPr>
          <w:cantSplit/>
        </w:trPr>
        <w:tc>
          <w:tcPr>
            <w:tcW w:w="1701" w:type="dxa"/>
            <w:shd w:val="clear" w:color="auto" w:fill="FFFFFF"/>
          </w:tcPr>
          <w:p w:rsidR="00E974AC" w:rsidRPr="00E974AC" w:rsidRDefault="00910E50" w:rsidP="00D61960">
            <w:pPr>
              <w:pStyle w:val="RollCallTable"/>
            </w:pPr>
            <w:r>
              <w:t>The Left</w:t>
            </w:r>
          </w:p>
        </w:tc>
        <w:tc>
          <w:tcPr>
            <w:tcW w:w="7371" w:type="dxa"/>
            <w:shd w:val="clear" w:color="auto" w:fill="FFFFFF"/>
          </w:tcPr>
          <w:p w:rsidR="00E974AC" w:rsidRPr="00E974AC" w:rsidRDefault="00910E50" w:rsidP="00D61960">
            <w:pPr>
              <w:pStyle w:val="RollCallTable"/>
            </w:pPr>
            <w:r>
              <w:t>Cornelia Ernst, José Gusmão, Marisa Matias, Anne-Sophie Pelletier</w:t>
            </w:r>
          </w:p>
        </w:tc>
      </w:tr>
      <w:tr w:rsidR="000C5517" w:rsidTr="00D61960">
        <w:trPr>
          <w:cantSplit/>
        </w:trPr>
        <w:tc>
          <w:tcPr>
            <w:tcW w:w="1701" w:type="dxa"/>
            <w:shd w:val="clear" w:color="auto" w:fill="FFFFFF"/>
          </w:tcPr>
          <w:p w:rsidR="00E974AC" w:rsidRPr="00E974AC" w:rsidRDefault="00910E50" w:rsidP="00D61960">
            <w:pPr>
              <w:pStyle w:val="RollCallTable"/>
            </w:pPr>
            <w:r>
              <w:t>Verts/ALE</w:t>
            </w:r>
          </w:p>
        </w:tc>
        <w:tc>
          <w:tcPr>
            <w:tcW w:w="7371" w:type="dxa"/>
            <w:shd w:val="clear" w:color="auto" w:fill="FFFFFF"/>
          </w:tcPr>
          <w:p w:rsidR="00E974AC" w:rsidRPr="00E974AC" w:rsidRDefault="00910E50" w:rsidP="00D61960">
            <w:pPr>
              <w:pStyle w:val="RollCallTable"/>
            </w:pPr>
            <w:r>
              <w:t>Patrick Breyer, Saskia Bricmont, Damien Carême, Alice Kuhnke, Erik Marquardt, Diana Riba i Giner, Tineke Strik</w:t>
            </w:r>
          </w:p>
        </w:tc>
      </w:tr>
    </w:tbl>
    <w:p w:rsidR="00E974AC" w:rsidRPr="00E974AC" w:rsidRDefault="00E974AC" w:rsidP="00E974A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C5517" w:rsidTr="00D61960">
        <w:trPr>
          <w:cantSplit/>
        </w:trPr>
        <w:tc>
          <w:tcPr>
            <w:tcW w:w="1701" w:type="dxa"/>
            <w:shd w:val="pct10" w:color="000000" w:fill="FFFFFF"/>
            <w:vAlign w:val="center"/>
          </w:tcPr>
          <w:p w:rsidR="00E974AC" w:rsidRPr="00E974AC" w:rsidRDefault="00910E50" w:rsidP="00D61960">
            <w:pPr>
              <w:pStyle w:val="RollCallVotes"/>
            </w:pPr>
            <w:r>
              <w:t>0</w:t>
            </w:r>
          </w:p>
        </w:tc>
        <w:tc>
          <w:tcPr>
            <w:tcW w:w="7371" w:type="dxa"/>
            <w:shd w:val="pct10" w:color="000000" w:fill="FFFFFF"/>
          </w:tcPr>
          <w:p w:rsidR="00E974AC" w:rsidRPr="00E974AC" w:rsidRDefault="00910E50" w:rsidP="00D61960">
            <w:pPr>
              <w:pStyle w:val="RollCallSymbols14pt"/>
            </w:pPr>
            <w:r>
              <w:t>-</w:t>
            </w:r>
          </w:p>
        </w:tc>
      </w:tr>
      <w:tr w:rsidR="000C5517" w:rsidTr="00D61960">
        <w:trPr>
          <w:cantSplit/>
        </w:trPr>
        <w:tc>
          <w:tcPr>
            <w:tcW w:w="1701" w:type="dxa"/>
            <w:shd w:val="clear" w:color="auto" w:fill="FFFFFF"/>
          </w:tcPr>
          <w:p w:rsidR="00E974AC" w:rsidRPr="00E974AC" w:rsidRDefault="00E974AC" w:rsidP="00D61960">
            <w:pPr>
              <w:pStyle w:val="RollCallTable"/>
            </w:pPr>
          </w:p>
        </w:tc>
        <w:tc>
          <w:tcPr>
            <w:tcW w:w="7371" w:type="dxa"/>
            <w:shd w:val="clear" w:color="auto" w:fill="FFFFFF"/>
          </w:tcPr>
          <w:p w:rsidR="00E974AC" w:rsidRPr="00E974AC" w:rsidRDefault="00E974AC" w:rsidP="00D61960">
            <w:pPr>
              <w:pStyle w:val="RollCallTable"/>
            </w:pPr>
          </w:p>
        </w:tc>
      </w:tr>
    </w:tbl>
    <w:p w:rsidR="00E974AC" w:rsidRPr="00E974AC" w:rsidRDefault="00E974AC" w:rsidP="00E974A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C5517" w:rsidTr="00D61960">
        <w:trPr>
          <w:cantSplit/>
        </w:trPr>
        <w:tc>
          <w:tcPr>
            <w:tcW w:w="1701" w:type="dxa"/>
            <w:shd w:val="pct10" w:color="000000" w:fill="FFFFFF"/>
            <w:vAlign w:val="center"/>
          </w:tcPr>
          <w:p w:rsidR="00E974AC" w:rsidRPr="00E974AC" w:rsidRDefault="00910E50" w:rsidP="00D61960">
            <w:pPr>
              <w:pStyle w:val="RollCallVotes"/>
            </w:pPr>
            <w:r>
              <w:t>2</w:t>
            </w:r>
          </w:p>
        </w:tc>
        <w:tc>
          <w:tcPr>
            <w:tcW w:w="7371" w:type="dxa"/>
            <w:shd w:val="pct10" w:color="000000" w:fill="FFFFFF"/>
          </w:tcPr>
          <w:p w:rsidR="00E974AC" w:rsidRPr="00E974AC" w:rsidRDefault="00910E50" w:rsidP="00D61960">
            <w:pPr>
              <w:pStyle w:val="RollCallSymbols14pt"/>
            </w:pPr>
            <w:r>
              <w:t>0</w:t>
            </w:r>
          </w:p>
        </w:tc>
      </w:tr>
      <w:tr w:rsidR="000C5517" w:rsidTr="00D61960">
        <w:trPr>
          <w:cantSplit/>
        </w:trPr>
        <w:tc>
          <w:tcPr>
            <w:tcW w:w="1701" w:type="dxa"/>
            <w:shd w:val="clear" w:color="auto" w:fill="FFFFFF"/>
          </w:tcPr>
          <w:p w:rsidR="00E974AC" w:rsidRPr="00E974AC" w:rsidRDefault="00910E50" w:rsidP="00D61960">
            <w:pPr>
              <w:pStyle w:val="RollCallTable"/>
            </w:pPr>
            <w:r>
              <w:t>ID</w:t>
            </w:r>
          </w:p>
        </w:tc>
        <w:tc>
          <w:tcPr>
            <w:tcW w:w="7371" w:type="dxa"/>
            <w:shd w:val="clear" w:color="auto" w:fill="FFFFFF"/>
          </w:tcPr>
          <w:p w:rsidR="00E974AC" w:rsidRPr="00E974AC" w:rsidRDefault="00910E50" w:rsidP="00D61960">
            <w:pPr>
              <w:pStyle w:val="RollCallTable"/>
            </w:pPr>
            <w:r>
              <w:t>Patricia Chagnon</w:t>
            </w:r>
          </w:p>
        </w:tc>
      </w:tr>
      <w:tr w:rsidR="000C5517" w:rsidTr="00D61960">
        <w:trPr>
          <w:cantSplit/>
        </w:trPr>
        <w:tc>
          <w:tcPr>
            <w:tcW w:w="1701" w:type="dxa"/>
            <w:shd w:val="clear" w:color="auto" w:fill="FFFFFF"/>
          </w:tcPr>
          <w:p w:rsidR="00E974AC" w:rsidRPr="00E974AC" w:rsidRDefault="00910E50" w:rsidP="00D61960">
            <w:pPr>
              <w:pStyle w:val="RollCallTable"/>
            </w:pPr>
            <w:r>
              <w:t>NI</w:t>
            </w:r>
          </w:p>
        </w:tc>
        <w:tc>
          <w:tcPr>
            <w:tcW w:w="7371" w:type="dxa"/>
            <w:shd w:val="clear" w:color="auto" w:fill="FFFFFF"/>
          </w:tcPr>
          <w:p w:rsidR="00E974AC" w:rsidRPr="00E974AC" w:rsidRDefault="00910E50" w:rsidP="00D61960">
            <w:pPr>
              <w:pStyle w:val="RollCallTable"/>
            </w:pPr>
            <w:r>
              <w:t>Milan Uhrík</w:t>
            </w:r>
          </w:p>
        </w:tc>
      </w:tr>
    </w:tbl>
    <w:p w:rsidR="00E974AC" w:rsidRPr="00E974AC" w:rsidRDefault="00E974AC" w:rsidP="00147FBF">
      <w:pPr>
        <w:pStyle w:val="Normal12a"/>
      </w:pPr>
    </w:p>
    <w:p w:rsidR="00E974AC" w:rsidRPr="00E974AC" w:rsidRDefault="00910E50" w:rsidP="00B735E3">
      <w:r>
        <w:t>Tifsira tas-simboli użati:</w:t>
      </w:r>
    </w:p>
    <w:p w:rsidR="00E974AC" w:rsidRPr="00E974AC" w:rsidRDefault="00910E50" w:rsidP="003858C5">
      <w:pPr>
        <w:pStyle w:val="RollCallTabs"/>
      </w:pPr>
      <w:r>
        <w:t>+</w:t>
      </w:r>
      <w:r>
        <w:tab/>
        <w:t>:</w:t>
      </w:r>
      <w:r>
        <w:tab/>
        <w:t>favur</w:t>
      </w:r>
    </w:p>
    <w:p w:rsidR="00E974AC" w:rsidRPr="00E974AC" w:rsidRDefault="00910E50" w:rsidP="003858C5">
      <w:pPr>
        <w:pStyle w:val="RollCallTabs"/>
      </w:pPr>
      <w:r>
        <w:t>-</w:t>
      </w:r>
      <w:r>
        <w:tab/>
        <w:t>:</w:t>
      </w:r>
      <w:r>
        <w:tab/>
        <w:t>kontra</w:t>
      </w:r>
    </w:p>
    <w:p w:rsidR="00E974AC" w:rsidRPr="00E974AC" w:rsidRDefault="00910E50" w:rsidP="003858C5">
      <w:pPr>
        <w:pStyle w:val="RollCallTabs"/>
      </w:pPr>
      <w:r>
        <w:t>0</w:t>
      </w:r>
      <w:r>
        <w:tab/>
        <w:t>:</w:t>
      </w:r>
      <w:r>
        <w:tab/>
        <w:t>astensjoni</w:t>
      </w:r>
    </w:p>
    <w:p w:rsidR="00E974AC" w:rsidRPr="00E974AC" w:rsidRDefault="00E974AC" w:rsidP="00207509"/>
    <w:bookmarkEnd w:id="3"/>
    <w:p w:rsidR="00E974AC" w:rsidRPr="00E974AC" w:rsidRDefault="00E974AC" w:rsidP="00E974AC"/>
    <w:sectPr w:rsidR="00E974AC" w:rsidRPr="00E974AC" w:rsidSect="00945A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818" w:rsidRDefault="00910E50">
      <w:r>
        <w:separator/>
      </w:r>
    </w:p>
  </w:endnote>
  <w:endnote w:type="continuationSeparator" w:id="0">
    <w:p w:rsidR="00B52818" w:rsidRDefault="0091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4AC" w:rsidRPr="00E974AC" w:rsidRDefault="00910E50" w:rsidP="00E974AC">
    <w:pPr>
      <w:pStyle w:val="EPFooter"/>
    </w:pPr>
    <w:r w:rsidRPr="00E974AC">
      <w:t>PE</w:t>
    </w:r>
    <w:r w:rsidRPr="00E974AC">
      <w:rPr>
        <w:rStyle w:val="HideTWBExt"/>
      </w:rPr>
      <w:t>&lt;NoPE&gt;</w:t>
    </w:r>
    <w:r w:rsidRPr="00E974AC">
      <w:t>756.198</w:t>
    </w:r>
    <w:r w:rsidRPr="00E974AC">
      <w:rPr>
        <w:rStyle w:val="HideTWBExt"/>
      </w:rPr>
      <w:t>&lt;/NoPE&gt;&lt;Version&gt;</w:t>
    </w:r>
    <w:r w:rsidRPr="00E974AC">
      <w:t>v03-00</w:t>
    </w:r>
    <w:r w:rsidRPr="00E974AC">
      <w:rPr>
        <w:rStyle w:val="HideTWBExt"/>
      </w:rPr>
      <w:t>&lt;/Version&gt;</w:t>
    </w:r>
    <w:r w:rsidRPr="00E974AC">
      <w:tab/>
    </w:r>
    <w:r w:rsidRPr="00E974AC">
      <w:fldChar w:fldCharType="begin"/>
    </w:r>
    <w:r w:rsidRPr="00E974AC">
      <w:instrText xml:space="preserve"> PAGE  \* MERGEFORMAT </w:instrText>
    </w:r>
    <w:r w:rsidRPr="00E974AC">
      <w:fldChar w:fldCharType="separate"/>
    </w:r>
    <w:r w:rsidR="00945AA8">
      <w:rPr>
        <w:noProof/>
      </w:rPr>
      <w:t>2</w:t>
    </w:r>
    <w:r w:rsidRPr="00E974AC">
      <w:fldChar w:fldCharType="end"/>
    </w:r>
    <w:r w:rsidRPr="00E974AC">
      <w:t>/</w:t>
    </w:r>
    <w:r w:rsidR="00A30632">
      <w:fldChar w:fldCharType="begin"/>
    </w:r>
    <w:r>
      <w:instrText xml:space="preserve"> NUMPAGES  \* MERGEFORMAT </w:instrText>
    </w:r>
    <w:r w:rsidR="00A30632">
      <w:fldChar w:fldCharType="separate"/>
    </w:r>
    <w:r w:rsidR="00945AA8">
      <w:rPr>
        <w:noProof/>
      </w:rPr>
      <w:t>7</w:t>
    </w:r>
    <w:r w:rsidR="00A30632">
      <w:rPr>
        <w:noProof/>
      </w:rPr>
      <w:fldChar w:fldCharType="end"/>
    </w:r>
    <w:r w:rsidRPr="00E974AC">
      <w:tab/>
    </w:r>
    <w:r w:rsidRPr="00E974AC">
      <w:rPr>
        <w:rStyle w:val="HideTWBExt"/>
      </w:rPr>
      <w:t>&lt;PathFdR&gt;</w:t>
    </w:r>
    <w:r w:rsidRPr="00E974AC">
      <w:t>AD\1295228MT.docx</w:t>
    </w:r>
    <w:r w:rsidRPr="00E974AC">
      <w:rPr>
        <w:rStyle w:val="HideTWBExt"/>
      </w:rPr>
      <w:t>&lt;/PathFdR&gt;</w:t>
    </w:r>
  </w:p>
  <w:p w:rsidR="002E2F2E" w:rsidRPr="00E974AC" w:rsidRDefault="00910E50" w:rsidP="00E974AC">
    <w:pPr>
      <w:pStyle w:val="EPFooter2"/>
    </w:pPr>
    <w:r w:rsidRPr="00E974AC">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4AC" w:rsidRPr="00E974AC" w:rsidRDefault="00910E50" w:rsidP="00E974AC">
    <w:pPr>
      <w:pStyle w:val="EPFooter"/>
    </w:pPr>
    <w:r w:rsidRPr="00E974AC">
      <w:rPr>
        <w:rStyle w:val="HideTWBExt"/>
      </w:rPr>
      <w:t>&lt;PathFdR&gt;</w:t>
    </w:r>
    <w:r w:rsidRPr="00E974AC">
      <w:t>AD\1295228MT.docx</w:t>
    </w:r>
    <w:r w:rsidRPr="00E974AC">
      <w:rPr>
        <w:rStyle w:val="HideTWBExt"/>
      </w:rPr>
      <w:t>&lt;/PathFdR&gt;</w:t>
    </w:r>
    <w:r w:rsidRPr="00E974AC">
      <w:tab/>
    </w:r>
    <w:r w:rsidRPr="00E974AC">
      <w:fldChar w:fldCharType="begin"/>
    </w:r>
    <w:r w:rsidRPr="00E974AC">
      <w:instrText xml:space="preserve"> PAGE  \* MERGEFORMAT </w:instrText>
    </w:r>
    <w:r w:rsidRPr="00E974AC">
      <w:fldChar w:fldCharType="separate"/>
    </w:r>
    <w:r w:rsidR="00945AA8">
      <w:rPr>
        <w:noProof/>
      </w:rPr>
      <w:t>7</w:t>
    </w:r>
    <w:r w:rsidRPr="00E974AC">
      <w:fldChar w:fldCharType="end"/>
    </w:r>
    <w:r w:rsidRPr="00E974AC">
      <w:t>/</w:t>
    </w:r>
    <w:r w:rsidR="00A30632">
      <w:fldChar w:fldCharType="begin"/>
    </w:r>
    <w:r>
      <w:instrText xml:space="preserve"> NUMPAGES  \* MERGEFORMAT </w:instrText>
    </w:r>
    <w:r w:rsidR="00A30632">
      <w:fldChar w:fldCharType="separate"/>
    </w:r>
    <w:r w:rsidR="00945AA8">
      <w:rPr>
        <w:noProof/>
      </w:rPr>
      <w:t>7</w:t>
    </w:r>
    <w:r w:rsidR="00A30632">
      <w:rPr>
        <w:noProof/>
      </w:rPr>
      <w:fldChar w:fldCharType="end"/>
    </w:r>
    <w:r w:rsidRPr="00E974AC">
      <w:tab/>
      <w:t>PE</w:t>
    </w:r>
    <w:r w:rsidRPr="00E974AC">
      <w:rPr>
        <w:rStyle w:val="HideTWBExt"/>
      </w:rPr>
      <w:t>&lt;NoPE&gt;</w:t>
    </w:r>
    <w:r w:rsidRPr="00E974AC">
      <w:t>756.198</w:t>
    </w:r>
    <w:r w:rsidRPr="00E974AC">
      <w:rPr>
        <w:rStyle w:val="HideTWBExt"/>
      </w:rPr>
      <w:t>&lt;/NoPE&gt;&lt;Version&gt;</w:t>
    </w:r>
    <w:r w:rsidRPr="00E974AC">
      <w:t>v03-00</w:t>
    </w:r>
    <w:r w:rsidRPr="00E974AC">
      <w:rPr>
        <w:rStyle w:val="HideTWBExt"/>
      </w:rPr>
      <w:t>&lt;/Version&gt;</w:t>
    </w:r>
  </w:p>
  <w:p w:rsidR="002E2F2E" w:rsidRPr="00E974AC" w:rsidRDefault="00910E50" w:rsidP="00E974AC">
    <w:pPr>
      <w:pStyle w:val="EPFooter2"/>
    </w:pPr>
    <w:r w:rsidRPr="00E974AC">
      <w:tab/>
    </w:r>
    <w:r w:rsidRPr="00E974AC">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4AC" w:rsidRPr="00E974AC" w:rsidRDefault="00910E50" w:rsidP="00E974AC">
    <w:pPr>
      <w:pStyle w:val="EPFooter"/>
    </w:pPr>
    <w:r w:rsidRPr="00E974AC">
      <w:rPr>
        <w:rStyle w:val="HideTWBExt"/>
      </w:rPr>
      <w:t>&lt;PathFdR&gt;</w:t>
    </w:r>
    <w:r w:rsidRPr="00E974AC">
      <w:t>AD\1295228MT.docx</w:t>
    </w:r>
    <w:r w:rsidRPr="00E974AC">
      <w:rPr>
        <w:rStyle w:val="HideTWBExt"/>
      </w:rPr>
      <w:t>&lt;/PathFdR&gt;</w:t>
    </w:r>
    <w:r w:rsidRPr="00E974AC">
      <w:tab/>
    </w:r>
    <w:r w:rsidRPr="00E974AC">
      <w:tab/>
      <w:t>PE</w:t>
    </w:r>
    <w:r w:rsidRPr="00E974AC">
      <w:rPr>
        <w:rStyle w:val="HideTWBExt"/>
      </w:rPr>
      <w:t>&lt;NoPE&gt;</w:t>
    </w:r>
    <w:r w:rsidRPr="00E974AC">
      <w:t>756.198</w:t>
    </w:r>
    <w:r w:rsidRPr="00E974AC">
      <w:rPr>
        <w:rStyle w:val="HideTWBExt"/>
      </w:rPr>
      <w:t>&lt;/NoPE&gt;&lt;Version&gt;</w:t>
    </w:r>
    <w:r w:rsidRPr="00E974AC">
      <w:t>v03-00</w:t>
    </w:r>
    <w:r w:rsidRPr="00E974AC">
      <w:rPr>
        <w:rStyle w:val="HideTWBExt"/>
      </w:rPr>
      <w:t>&lt;/Version&gt;</w:t>
    </w:r>
  </w:p>
  <w:p w:rsidR="002E2F2E" w:rsidRPr="00E974AC" w:rsidRDefault="00910E50" w:rsidP="00E974AC">
    <w:pPr>
      <w:pStyle w:val="EPFooter2"/>
    </w:pPr>
    <w:r w:rsidRPr="00E974AC">
      <w:t>MT</w:t>
    </w:r>
    <w:r w:rsidRPr="00E974AC">
      <w:tab/>
    </w:r>
    <w:r w:rsidRPr="00E974AC">
      <w:rPr>
        <w:b w:val="0"/>
        <w:i/>
        <w:color w:val="C0C0C0"/>
        <w:sz w:val="22"/>
      </w:rPr>
      <w:t>Magħquda fid-diversità</w:t>
    </w:r>
    <w:r w:rsidRPr="00E974AC">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818" w:rsidRDefault="00910E50">
      <w:r>
        <w:separator/>
      </w:r>
    </w:p>
  </w:footnote>
  <w:footnote w:type="continuationSeparator" w:id="0">
    <w:p w:rsidR="00B52818" w:rsidRDefault="00910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AA8" w:rsidRDefault="00945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AA8" w:rsidRDefault="00945A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AA8" w:rsidRDefault="00945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610811 HideTWBInt;}{_x000d__x000a_\s18\ql \fi-567\li567\ri0\sa240\nowidctlpar\wrapdefault\aspalpha\aspnum\faauto\adjustright\rin0\lin567\itap0 \rtlch\fcs1 \af0\afs20\alang1025 \ltrch\fcs0 \fs24\lang2057\langfe2057\cgrid\langnp2057\langfenp2057 _x000d__x000a_\sbasedon0 \snext18 \spriority0 \styrsid4610811 NormalHanging12a;}}{\*\rsidtbl \rsid24658\rsid223860\rsid735077\rsid1718133\rsid2892074\rsid3565327\rsid4610811\rsid4666813\rsid5012917\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AMILLERI Etleva}{\operator CAMILLERI Etleva}{\creatim\yr2024\mo1\dy30\hr9}{\revtim\yr2024\mo1\dy30\hr9}{\version1}{\edmins0}{\nofpages1}{\nofwords1}{\nofchars12}{\nofcharsws12}{\vern109}}{\*\xmlnstbl {\xmlns1 http://schemas.microsoft.com/office/_x000d__x000a_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4610811\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5012917 \chftnsep _x000d__x000a_\par }}{\*\ftnsepc \ltrpar \pard\plain \ltrpar\ql \li0\ri0\widctlpar\wrapdefault\aspalpha\aspnum\faauto\adjustright\rin0\lin0\itap0 \rtlch\fcs1 \af0\afs20\alang1025 \ltrch\fcs0 \fs24\lang2057\langfe2057\cgrid\langnp2057\langfenp2057 {\rtlch\fcs1 \af0 _x000d__x000a_\ltrch\fcs0 \insrsid5012917 \chftnsepc _x000d__x000a_\par }}{\*\aftnsep \ltrpar \pard\plain \ltrpar\ql \li0\ri0\widctlpar\wrapdefault\aspalpha\aspnum\faauto\adjustright\rin0\lin0\itap0 \rtlch\fcs1 \af0\afs20\alang1025 \ltrch\fcs0 \fs24\lang2057\langfe2057\cgrid\langnp2057\langfenp2057 {\rtlch\fcs1 \af0 _x000d__x000a_\ltrch\fcs0 \insrsid5012917 \chftnsep _x000d__x000a_\par }}{\*\aftnsepc \ltrpar \pard\plain \ltrpar\ql \li0\ri0\widctlpar\wrapdefault\aspalpha\aspnum\faauto\adjustright\rin0\lin0\itap0 \rtlch\fcs1 \af0\afs20\alang1025 \ltrch\fcs0 \fs24\lang2057\langfe2057\cgrid\langnp2057\langfenp2057 {\rtlch\fcs1 \af0 _x000d__x000a_\ltrch\fcs0 \insrsid5012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610811 \rtlch\fcs1 \af0\afs20\alang1025 \ltrch\fcs0 \fs24\lang2057\langfe2057\cgrid\langnp2057\langfenp2057 {\rtlch\fcs1 \af0 _x000d__x000a_\ltrch\fcs0 \insrsid4610811\charrsid13044652 {\*\bkmkstart restart}#}{\rtlch\fcs1 \af1 \ltrch\fcs0 \cs17\v\f1\fs20\cf15\insrsid4610811\charrsid13044652 NRMSG}{\rtlch\fcs1 \af0 \ltrch\fcs0 \insrsid4610811\charrsid13044652 #.\tab ##}{\rtlch\fcs1 \af0 _x000d__x000a_\ltrch\fcs0 \insrsid461081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2_x000d__x000a_a66252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263422 NormalHanging12a;}}{\*\rsidtbl \rsid24658\rsid223860\rsid735077\rsid1263422\rsid1718133\rsid2294641\rsid2892074\rsid3565327\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AMILLERI Etleva}{\operator CAMILLERI Etleva}{\creatim\yr2024\mo1\dy30\hr9}{\revtim\yr2024\mo1\dy30\hr9}{\version1}{\edmins0}{\nofpages1}{\nofwords4}{\nofchars31}{\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263422\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2294641 \chftnsep _x000d__x000a_\par }}{\*\ftnsepc \ltrpar \pard\plain \ltrpar\ql \li0\ri0\widctlpar\wrapdefault\aspalpha\aspnum\faauto\adjustright\rin0\lin0\itap0 \rtlch\fcs1 \af0\afs20\alang1025 \ltrch\fcs0 \fs24\lang2057\langfe2057\cgrid\langnp2057\langfenp2057 {\rtlch\fcs1 \af0 _x000d__x000a_\ltrch\fcs0 \insrsid2294641 \chftnsepc _x000d__x000a_\par }}{\*\aftnsep \ltrpar \pard\plain \ltrpar\ql \li0\ri0\widctlpar\wrapdefault\aspalpha\aspnum\faauto\adjustright\rin0\lin0\itap0 \rtlch\fcs1 \af0\afs20\alang1025 \ltrch\fcs0 \fs24\lang2057\langfe2057\cgrid\langnp2057\langfenp2057 {\rtlch\fcs1 \af0 _x000d__x000a_\ltrch\fcs0 \insrsid2294641 \chftnsep _x000d__x000a_\par }}{\*\aftnsepc \ltrpar \pard\plain \ltrpar\ql \li0\ri0\widctlpar\wrapdefault\aspalpha\aspnum\faauto\adjustright\rin0\lin0\itap0 \rtlch\fcs1 \af0\afs20\alang1025 \ltrch\fcs0 \fs24\lang2057\langfe2057\cgrid\langnp2057\langfenp2057 {\rtlch\fcs1 \af0 _x000d__x000a_\ltrch\fcs0 \insrsid22946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263422 \rtlch\fcs1 \af0\afs20\alang1025 \ltrch\fcs0 \fs24\lang2057\langfe2057\cgrid\langnp2057\langfenp2057 {\rtlch\fcs1 \af0 _x000d__x000a_\ltrch\fcs0 \insrsid1263422\charrsid1525456 {\*\bkmkstart restart}[ZSUGGESTIONNR]\tab [ZSUGGESTIONTEXT]}{\rtlch\fcs1 \af0 \ltrch\fcs0 \insrsid126342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9_x000d__x000a_fa6452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MT"/>
    <w:docVar w:name="TXTLANGUEMIN" w:val="mt"/>
    <w:docVar w:name="TXTNRPE" w:val="756.198"/>
    <w:docVar w:name="TXTNRPROC" w:val="2023/2165"/>
    <w:docVar w:name="TXTPEorAP" w:val="PE"/>
    <w:docVar w:name="TXTROUTE" w:val="AD\1295228MT.docx"/>
    <w:docVar w:name="TXTTITLE" w:val="of the European Union Agency for the Operational Management of Large-Scale IT Systems in the Area of Freedom, Security and Justice (eu-LISA) for the financial year 2022"/>
    <w:docVar w:name="TXTVERSION" w:val="03-00"/>
  </w:docVars>
  <w:rsids>
    <w:rsidRoot w:val="00122413"/>
    <w:rsid w:val="00037518"/>
    <w:rsid w:val="000C5517"/>
    <w:rsid w:val="000E7EBF"/>
    <w:rsid w:val="00122413"/>
    <w:rsid w:val="00124F60"/>
    <w:rsid w:val="00135121"/>
    <w:rsid w:val="00140BE6"/>
    <w:rsid w:val="00147F4E"/>
    <w:rsid w:val="00147FBF"/>
    <w:rsid w:val="0016635E"/>
    <w:rsid w:val="001746D0"/>
    <w:rsid w:val="00196461"/>
    <w:rsid w:val="001B7393"/>
    <w:rsid w:val="001D2ED9"/>
    <w:rsid w:val="001D5E60"/>
    <w:rsid w:val="001F21C1"/>
    <w:rsid w:val="00207509"/>
    <w:rsid w:val="002B2C72"/>
    <w:rsid w:val="002D28A7"/>
    <w:rsid w:val="002E2F2E"/>
    <w:rsid w:val="002E6F98"/>
    <w:rsid w:val="00316225"/>
    <w:rsid w:val="00325BCB"/>
    <w:rsid w:val="00331944"/>
    <w:rsid w:val="00332AD9"/>
    <w:rsid w:val="00347D2C"/>
    <w:rsid w:val="0037356F"/>
    <w:rsid w:val="003858C5"/>
    <w:rsid w:val="00390EB2"/>
    <w:rsid w:val="00396A0E"/>
    <w:rsid w:val="003E2402"/>
    <w:rsid w:val="004C28FB"/>
    <w:rsid w:val="004C44C0"/>
    <w:rsid w:val="0052544E"/>
    <w:rsid w:val="00542AD4"/>
    <w:rsid w:val="005940C3"/>
    <w:rsid w:val="00594C48"/>
    <w:rsid w:val="005B2F11"/>
    <w:rsid w:val="005C0BDF"/>
    <w:rsid w:val="005D60C6"/>
    <w:rsid w:val="006102E7"/>
    <w:rsid w:val="00640C1B"/>
    <w:rsid w:val="00657AFB"/>
    <w:rsid w:val="006D5BF7"/>
    <w:rsid w:val="0074470B"/>
    <w:rsid w:val="008313E7"/>
    <w:rsid w:val="00854CAC"/>
    <w:rsid w:val="008A32C5"/>
    <w:rsid w:val="008C6203"/>
    <w:rsid w:val="008D61E7"/>
    <w:rsid w:val="008F7002"/>
    <w:rsid w:val="00910E50"/>
    <w:rsid w:val="00945AA8"/>
    <w:rsid w:val="0099493F"/>
    <w:rsid w:val="009C5353"/>
    <w:rsid w:val="009C6145"/>
    <w:rsid w:val="00A16BEA"/>
    <w:rsid w:val="00A30632"/>
    <w:rsid w:val="00A312B3"/>
    <w:rsid w:val="00A72C35"/>
    <w:rsid w:val="00AD5932"/>
    <w:rsid w:val="00AE180F"/>
    <w:rsid w:val="00B362F7"/>
    <w:rsid w:val="00B52818"/>
    <w:rsid w:val="00B5456B"/>
    <w:rsid w:val="00B735E3"/>
    <w:rsid w:val="00B74B53"/>
    <w:rsid w:val="00BC26E4"/>
    <w:rsid w:val="00BD1EAA"/>
    <w:rsid w:val="00C36610"/>
    <w:rsid w:val="00C52739"/>
    <w:rsid w:val="00C60F98"/>
    <w:rsid w:val="00C827FF"/>
    <w:rsid w:val="00C85D0F"/>
    <w:rsid w:val="00CD34AC"/>
    <w:rsid w:val="00D56B2D"/>
    <w:rsid w:val="00D61960"/>
    <w:rsid w:val="00DE19FF"/>
    <w:rsid w:val="00E81BA6"/>
    <w:rsid w:val="00E856D2"/>
    <w:rsid w:val="00E929A7"/>
    <w:rsid w:val="00E974AC"/>
    <w:rsid w:val="00EE6DA0"/>
    <w:rsid w:val="00F31501"/>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814B9"/>
  <w15:chartTrackingRefBased/>
  <w15:docId w15:val="{3B4707D5-7D94-4321-BCE8-81C8B42A2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1D5E60"/>
    <w:pPr>
      <w:tabs>
        <w:tab w:val="center" w:pos="4513"/>
        <w:tab w:val="right" w:pos="9026"/>
      </w:tabs>
    </w:pPr>
  </w:style>
  <w:style w:type="character" w:customStyle="1" w:styleId="FooterChar">
    <w:name w:val="Footer Char"/>
    <w:basedOn w:val="DefaultParagraphFont"/>
    <w:link w:val="Footer"/>
    <w:semiHidden/>
    <w:rsid w:val="001D5E60"/>
    <w:rPr>
      <w:sz w:val="24"/>
    </w:rPr>
  </w:style>
  <w:style w:type="paragraph" w:customStyle="1" w:styleId="Normal24a">
    <w:name w:val="Normal24a"/>
    <w:basedOn w:val="Normal"/>
    <w:rsid w:val="00E974AC"/>
    <w:pPr>
      <w:spacing w:after="480"/>
    </w:pPr>
  </w:style>
  <w:style w:type="paragraph" w:customStyle="1" w:styleId="NormalBoldCenter">
    <w:name w:val="NormalBoldCenter"/>
    <w:basedOn w:val="Normal"/>
    <w:rsid w:val="00E974AC"/>
    <w:pPr>
      <w:jc w:val="center"/>
    </w:pPr>
    <w:rPr>
      <w:b/>
    </w:rPr>
  </w:style>
  <w:style w:type="paragraph" w:customStyle="1" w:styleId="RollCallSymbols14pt">
    <w:name w:val="RollCallSymbols14pt"/>
    <w:basedOn w:val="Normal"/>
    <w:rsid w:val="00E974A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974AC"/>
    <w:pPr>
      <w:tabs>
        <w:tab w:val="center" w:pos="284"/>
        <w:tab w:val="left" w:pos="426"/>
      </w:tabs>
    </w:pPr>
    <w:rPr>
      <w:snapToGrid w:val="0"/>
      <w:lang w:eastAsia="en-US"/>
    </w:rPr>
  </w:style>
  <w:style w:type="paragraph" w:customStyle="1" w:styleId="RollCallVotes">
    <w:name w:val="RollCallVotes"/>
    <w:basedOn w:val="Normal"/>
    <w:rsid w:val="00E974AC"/>
    <w:pPr>
      <w:spacing w:before="120" w:after="120"/>
      <w:jc w:val="center"/>
    </w:pPr>
    <w:rPr>
      <w:b/>
      <w:bCs/>
      <w:snapToGrid w:val="0"/>
      <w:sz w:val="16"/>
      <w:lang w:eastAsia="en-US"/>
    </w:rPr>
  </w:style>
  <w:style w:type="paragraph" w:customStyle="1" w:styleId="RollCallTable">
    <w:name w:val="RollCallTable"/>
    <w:basedOn w:val="Normal"/>
    <w:rsid w:val="00E974A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932</Words>
  <Characters>6938</Characters>
  <Application>Microsoft Office Word</Application>
  <DocSecurity>0</DocSecurity>
  <Lines>169</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2024-01-30T15:08:00Z</dcterms:created>
  <dcterms:modified xsi:type="dcterms:W3CDTF">2024-01-30T15:08:00Z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1295228</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Bookout">
    <vt:lpwstr>OK - 2024/01/30 16:08</vt:lpwstr>
  </property>
  <property fmtid="{D5CDD505-2E9C-101B-9397-08002B2CF9AE}" pid="9" name="Created with">
    <vt:lpwstr>9.16.1 Build [20230920]</vt:lpwstr>
  </property>
  <property fmtid="{D5CDD505-2E9C-101B-9397-08002B2CF9AE}" pid="10" name="FooterPath">
    <vt:lpwstr>AD\1295228MT.docx</vt:lpwstr>
  </property>
  <property fmtid="{D5CDD505-2E9C-101B-9397-08002B2CF9AE}" pid="11" name="LastEdited with">
    <vt:lpwstr>9.17.1 Build [20240101]</vt:lpwstr>
  </property>
  <property fmtid="{D5CDD505-2E9C-101B-9397-08002B2CF9AE}" pid="12" name="PE number">
    <vt:lpwstr>756.198</vt:lpwstr>
  </property>
  <property fmtid="{D5CDD505-2E9C-101B-9397-08002B2CF9AE}" pid="13" name="SDLStudio">
    <vt:lpwstr/>
  </property>
  <property fmtid="{D5CDD505-2E9C-101B-9397-08002B2CF9AE}" pid="14" name="SendToEpades">
    <vt:lpwstr>OK - 2023/11/20 17:02</vt:lpwstr>
  </property>
</Properties>
</file>