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E0E8E" w:rsidRPr="00B56AE7" w:rsidTr="00C85D0F">
        <w:trPr>
          <w:trHeight w:hRule="exact" w:val="1418"/>
        </w:trPr>
        <w:tc>
          <w:tcPr>
            <w:tcW w:w="6804" w:type="dxa"/>
            <w:shd w:val="clear" w:color="auto" w:fill="auto"/>
            <w:vAlign w:val="center"/>
          </w:tcPr>
          <w:p w:rsidR="00854CAC" w:rsidRPr="00B56AE7" w:rsidRDefault="00434026" w:rsidP="00C85D0F">
            <w:pPr>
              <w:pStyle w:val="EPName"/>
            </w:pPr>
            <w:bookmarkStart w:id="0" w:name="_GoBack"/>
            <w:bookmarkEnd w:id="0"/>
            <w:r w:rsidRPr="00B56AE7">
              <w:t>Ευρωπαϊκό Κοινοβούλιο</w:t>
            </w:r>
          </w:p>
          <w:p w:rsidR="00854CAC" w:rsidRPr="00B56AE7" w:rsidRDefault="00434026" w:rsidP="00324866">
            <w:pPr>
              <w:pStyle w:val="EPTerm"/>
            </w:pPr>
            <w:r w:rsidRPr="00B56AE7">
              <w:t>2019-2024</w:t>
            </w:r>
          </w:p>
        </w:tc>
        <w:tc>
          <w:tcPr>
            <w:tcW w:w="2268" w:type="dxa"/>
            <w:shd w:val="clear" w:color="auto" w:fill="auto"/>
          </w:tcPr>
          <w:p w:rsidR="00854CAC" w:rsidRPr="00B56AE7" w:rsidRDefault="00434026" w:rsidP="00C85D0F">
            <w:pPr>
              <w:pStyle w:val="EPLogo"/>
            </w:pPr>
            <w:r w:rsidRPr="00B56AE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B56AE7" w:rsidRDefault="001746D0" w:rsidP="001746D0">
      <w:pPr>
        <w:pStyle w:val="LineTop"/>
      </w:pPr>
    </w:p>
    <w:p w:rsidR="001746D0" w:rsidRPr="00B56AE7" w:rsidRDefault="00434026" w:rsidP="001746D0">
      <w:pPr>
        <w:pStyle w:val="EPBody"/>
      </w:pPr>
      <w:r w:rsidRPr="00B56AE7">
        <w:rPr>
          <w:rStyle w:val="HideTWBExt"/>
        </w:rPr>
        <w:t>&lt;</w:t>
      </w:r>
      <w:r w:rsidRPr="00B56AE7">
        <w:rPr>
          <w:rStyle w:val="HideTWBExt"/>
          <w:i w:val="0"/>
        </w:rPr>
        <w:t>Commission</w:t>
      </w:r>
      <w:r w:rsidRPr="00B56AE7">
        <w:rPr>
          <w:rStyle w:val="HideTWBExt"/>
        </w:rPr>
        <w:t>&gt;</w:t>
      </w:r>
      <w:r w:rsidRPr="00B56AE7">
        <w:rPr>
          <w:rStyle w:val="HideTWBInt"/>
          <w:color w:val="auto"/>
        </w:rPr>
        <w:t>{LIBE}</w:t>
      </w:r>
      <w:r w:rsidRPr="00B56AE7">
        <w:t>Επιτροπή Πολιτικών Ελευθεριών, Δικαιοσύνης και Εσωτερικών Υποθέσεων</w:t>
      </w:r>
      <w:r w:rsidRPr="00B56AE7">
        <w:rPr>
          <w:rStyle w:val="HideTWBExt"/>
        </w:rPr>
        <w:t>&lt;/</w:t>
      </w:r>
      <w:r w:rsidRPr="00B56AE7">
        <w:rPr>
          <w:rStyle w:val="HideTWBExt"/>
          <w:i w:val="0"/>
        </w:rPr>
        <w:t>Commission</w:t>
      </w:r>
      <w:r w:rsidRPr="00B56AE7">
        <w:rPr>
          <w:rStyle w:val="HideTWBExt"/>
        </w:rPr>
        <w:t>&gt;</w:t>
      </w:r>
    </w:p>
    <w:p w:rsidR="001746D0" w:rsidRPr="00B56AE7" w:rsidRDefault="001746D0" w:rsidP="001746D0">
      <w:pPr>
        <w:pStyle w:val="LineBottom"/>
      </w:pPr>
    </w:p>
    <w:p w:rsidR="002E2F2E" w:rsidRPr="00B56AE7" w:rsidRDefault="00434026">
      <w:pPr>
        <w:pStyle w:val="CoverReference"/>
      </w:pPr>
      <w:r w:rsidRPr="00B56AE7">
        <w:rPr>
          <w:rStyle w:val="HideTWBExt"/>
          <w:b w:val="0"/>
        </w:rPr>
        <w:t>&lt;RefProc&gt;</w:t>
      </w:r>
      <w:r w:rsidRPr="00B56AE7">
        <w:t>2023/2168</w:t>
      </w:r>
      <w:r w:rsidRPr="00B56AE7">
        <w:rPr>
          <w:rStyle w:val="HideTWBExt"/>
          <w:b w:val="0"/>
        </w:rPr>
        <w:t>&lt;/RefProc&gt;&lt;RefTypeProc&gt;</w:t>
      </w:r>
      <w:r w:rsidRPr="00B56AE7">
        <w:t>(DEC)</w:t>
      </w:r>
      <w:r w:rsidRPr="00B56AE7">
        <w:rPr>
          <w:rStyle w:val="HideTWBExt"/>
          <w:b w:val="0"/>
        </w:rPr>
        <w:t>&lt;/RefTypeProc&gt;</w:t>
      </w:r>
    </w:p>
    <w:p w:rsidR="002E2F2E" w:rsidRPr="00B56AE7" w:rsidRDefault="00434026">
      <w:pPr>
        <w:pStyle w:val="CoverDate"/>
      </w:pPr>
      <w:r w:rsidRPr="00B56AE7">
        <w:rPr>
          <w:rStyle w:val="HideTWBExt"/>
        </w:rPr>
        <w:t>&lt;Date&gt;</w:t>
      </w:r>
      <w:r w:rsidRPr="00B56AE7">
        <w:rPr>
          <w:rStyle w:val="HideTWBInt"/>
          <w:color w:val="auto"/>
        </w:rPr>
        <w:t>{24/01/2024}</w:t>
      </w:r>
      <w:r w:rsidRPr="00B56AE7">
        <w:t>24.1.2024</w:t>
      </w:r>
      <w:r w:rsidRPr="00B56AE7">
        <w:rPr>
          <w:rStyle w:val="HideTWBExt"/>
        </w:rPr>
        <w:t>&lt;/Date&gt;</w:t>
      </w:r>
    </w:p>
    <w:p w:rsidR="002E2F2E" w:rsidRPr="00B56AE7" w:rsidRDefault="00434026">
      <w:pPr>
        <w:pStyle w:val="CoverDocType24a"/>
      </w:pPr>
      <w:r w:rsidRPr="00B56AE7">
        <w:rPr>
          <w:rStyle w:val="HideTWBExt"/>
          <w:b w:val="0"/>
        </w:rPr>
        <w:t>&lt;TitreType&gt;</w:t>
      </w:r>
      <w:r w:rsidRPr="00B56AE7">
        <w:t>ΓΝΩΜΟΔΟΤΗΣΗ</w:t>
      </w:r>
      <w:r w:rsidRPr="00B56AE7">
        <w:rPr>
          <w:rStyle w:val="HideTWBExt"/>
          <w:b w:val="0"/>
        </w:rPr>
        <w:t>&lt;/TitreType&gt;</w:t>
      </w:r>
    </w:p>
    <w:p w:rsidR="002E2F2E" w:rsidRPr="00B56AE7" w:rsidRDefault="00434026">
      <w:pPr>
        <w:pStyle w:val="CoverNormal24a"/>
      </w:pPr>
      <w:r w:rsidRPr="00B56AE7">
        <w:rPr>
          <w:rStyle w:val="HideTWBExt"/>
        </w:rPr>
        <w:t>&lt;CommissionResp&gt;</w:t>
      </w:r>
      <w:r w:rsidRPr="00B56AE7">
        <w:t>της Επιτροπής Πολιτικών Ελευθεριών, Δικαιοσύνης και Εσωτερικών Υποθέσεων</w:t>
      </w:r>
      <w:r w:rsidRPr="00B56AE7">
        <w:rPr>
          <w:rStyle w:val="HideTWBExt"/>
        </w:rPr>
        <w:t>&lt;/CommissionResp&gt;</w:t>
      </w:r>
    </w:p>
    <w:p w:rsidR="002E2F2E" w:rsidRPr="00B56AE7" w:rsidRDefault="00434026">
      <w:pPr>
        <w:pStyle w:val="CoverNormal24a"/>
      </w:pPr>
      <w:r w:rsidRPr="00B56AE7">
        <w:rPr>
          <w:rStyle w:val="HideTWBExt"/>
        </w:rPr>
        <w:t>&lt;CommissionInt&gt;</w:t>
      </w:r>
      <w:r w:rsidRPr="00B56AE7">
        <w:t>προς την Επιτροπή Ελέγχου του Προϋπολογισμού</w:t>
      </w:r>
      <w:r w:rsidRPr="00B56AE7">
        <w:rPr>
          <w:rStyle w:val="HideTWBExt"/>
        </w:rPr>
        <w:t>&lt;/CommissionInt&gt;</w:t>
      </w:r>
    </w:p>
    <w:p w:rsidR="002E2F2E" w:rsidRPr="00B56AE7" w:rsidRDefault="00434026">
      <w:pPr>
        <w:pStyle w:val="CoverNormal"/>
      </w:pPr>
      <w:r w:rsidRPr="00B56AE7">
        <w:rPr>
          <w:rStyle w:val="HideTWBExt"/>
        </w:rPr>
        <w:t>&lt;Titre&gt;</w:t>
      </w:r>
      <w:r w:rsidRPr="00B56AE7">
        <w:t>σχετικά με την απαλλαγή όσον αφορά την εκτέλεση του πρ</w:t>
      </w:r>
      <w:r w:rsidRPr="00B56AE7">
        <w:t>οϋπολογισμού του Οργανισμού της Ευρωπαϊκής Ένωσης για τη Συνεργασία στον Τομέα της Ποινικής Δικαιοσύνης (Eurojust) για το οικονομικό έτος 2022</w:t>
      </w:r>
      <w:r w:rsidRPr="00B56AE7">
        <w:rPr>
          <w:rStyle w:val="HideTWBExt"/>
        </w:rPr>
        <w:t>&lt;/Titre&gt;</w:t>
      </w:r>
    </w:p>
    <w:p w:rsidR="002E2F2E" w:rsidRPr="00B56AE7" w:rsidRDefault="00434026">
      <w:pPr>
        <w:pStyle w:val="CoverNormal24a"/>
      </w:pPr>
      <w:r w:rsidRPr="00B56AE7">
        <w:rPr>
          <w:rStyle w:val="HideTWBExt"/>
        </w:rPr>
        <w:t>&lt;DocRef&gt;</w:t>
      </w:r>
      <w:r w:rsidRPr="00B56AE7">
        <w:t>(2023/2168(DEC))</w:t>
      </w:r>
      <w:r w:rsidRPr="00B56AE7">
        <w:rPr>
          <w:rStyle w:val="HideTWBExt"/>
        </w:rPr>
        <w:t>&lt;/DocRef&gt;</w:t>
      </w:r>
    </w:p>
    <w:p w:rsidR="002E2F2E" w:rsidRPr="00B56AE7" w:rsidRDefault="00434026">
      <w:pPr>
        <w:pStyle w:val="CoverNormal24a"/>
      </w:pPr>
      <w:r w:rsidRPr="00B56AE7">
        <w:t xml:space="preserve">Συντάκτης γνωμοδότησης: </w:t>
      </w:r>
      <w:r w:rsidRPr="00B56AE7">
        <w:rPr>
          <w:rStyle w:val="HideTWBExt"/>
        </w:rPr>
        <w:t>&lt;Depute&gt;</w:t>
      </w:r>
      <w:r w:rsidRPr="00B56AE7">
        <w:t>Tomáš Zdechovský</w:t>
      </w:r>
      <w:r w:rsidRPr="00B56AE7">
        <w:rPr>
          <w:rStyle w:val="HideTWBExt"/>
        </w:rPr>
        <w:t>&lt;/Depute&gt;</w:t>
      </w:r>
    </w:p>
    <w:p w:rsidR="00A72C35" w:rsidRPr="00B56AE7" w:rsidRDefault="00A72C35" w:rsidP="00A72C35">
      <w:pPr>
        <w:pStyle w:val="CoverNormal"/>
      </w:pPr>
    </w:p>
    <w:p w:rsidR="002E2F2E" w:rsidRPr="00B56AE7" w:rsidRDefault="00434026" w:rsidP="00E856D2">
      <w:pPr>
        <w:widowControl/>
        <w:tabs>
          <w:tab w:val="center" w:pos="4677"/>
        </w:tabs>
      </w:pPr>
      <w:r w:rsidRPr="00B56AE7">
        <w:br w:type="page"/>
      </w:r>
      <w:r w:rsidRPr="00B56AE7">
        <w:lastRenderedPageBreak/>
        <w:t>PA_NonLeg</w:t>
      </w:r>
    </w:p>
    <w:p w:rsidR="002E2F2E" w:rsidRPr="00B56AE7" w:rsidRDefault="00434026">
      <w:pPr>
        <w:pStyle w:val="PageHeadingNotTOC"/>
      </w:pPr>
      <w:r w:rsidRPr="00B56AE7">
        <w:br w:type="page"/>
      </w:r>
      <w:r w:rsidRPr="00B56AE7">
        <w:lastRenderedPageBreak/>
        <w:t>ΠΡΟΤΑΣΕΙΣ</w:t>
      </w:r>
    </w:p>
    <w:p w:rsidR="002E2F2E" w:rsidRPr="00B56AE7" w:rsidRDefault="00434026" w:rsidP="008313E7">
      <w:pPr>
        <w:pStyle w:val="Normal12a"/>
      </w:pPr>
      <w:r w:rsidRPr="00B56AE7">
        <w:t>Η Επιτροπή Πολιτικών Ελευθεριών, Δικαιοσύνης και Εσωτερικών Υποθέσεων καλεί την Επιτροπή Ελέγχου του Προϋπολογισμού, που είναι αρμόδια επί της ουσίας, να συμπεριλάβει στην πρόταση ψηφίσματός της τις ακόλουθες προτάσεις:</w:t>
      </w:r>
    </w:p>
    <w:p w:rsidR="002E2F2E" w:rsidRPr="00B56AE7" w:rsidRDefault="00434026" w:rsidP="004607D0">
      <w:pPr>
        <w:pStyle w:val="NormalHanging12a"/>
        <w:jc w:val="both"/>
      </w:pPr>
      <w:bookmarkStart w:id="1" w:name="restart"/>
      <w:r w:rsidRPr="00B56AE7">
        <w:t>1.</w:t>
      </w:r>
      <w:r w:rsidRPr="00B56AE7">
        <w:tab/>
        <w:t>εκφράζει την ικανοποίησ</w:t>
      </w:r>
      <w:r w:rsidRPr="00B56AE7">
        <w:t>ή του για το γεγονός ότι το Ελεγκτικό Συνέδριο χαρακτήρισε νόμιμες και κανονικές, από κάθε ουσιώδη πλευρά, τις υποκείμενες πράξεις των ετήσιων λογαριασμών του Οργανισμού της Ευρωπαϊκής Ένωσης για τη Συνεργασία στον Τομέα της Ποινικής Δικαιοσύνης (Eurojust)</w:t>
      </w:r>
      <w:r w:rsidRPr="00B56AE7">
        <w:t xml:space="preserve"> για το οικονομικό έτος 2022·</w:t>
      </w:r>
    </w:p>
    <w:bookmarkEnd w:id="1"/>
    <w:p w:rsidR="00324866" w:rsidRPr="00B56AE7" w:rsidRDefault="00434026" w:rsidP="004607D0">
      <w:pPr>
        <w:pStyle w:val="NormalHanging12a"/>
        <w:jc w:val="both"/>
      </w:pPr>
      <w:r w:rsidRPr="00B56AE7">
        <w:t>2.</w:t>
      </w:r>
      <w:r w:rsidRPr="00B56AE7">
        <w:tab/>
        <w:t xml:space="preserve">σημειώνει μια εν εξελίξει παρατήρηση από το 2020 σχετικά με τη νομιμότητα και κανονικότητα των πράξεων που βασίζονται στην υπογραφή σύμβασης-πλαισίου με μία μόνο εταιρεία για τη μίσθωση οχημάτων, η οποία είχε ως αποτέλεσμα </w:t>
      </w:r>
      <w:r w:rsidRPr="00B56AE7">
        <w:t>παράτυπες πληρωμές ύψους 59 281 EUR για την περίοδο αναφοράς· σημειώνει ότι η σύμβαση πρόκειται να λήξει το 2024 και ότι τυχόν μεταγενέστερες ειδικές συμβάσεις έχουν εκδοθεί βάσει αυτής της σύμβασης-πλαισίου· καλεί την Eurojust να λάβει πλήρως υπόψη αυτή τ</w:t>
      </w:r>
      <w:r w:rsidRPr="00B56AE7">
        <w:t>ην παρατήρηση, εφαρμόζοντας όλες τις συστάσεις του Ελεγκτικού Συνεδρίου και να αναφέρει στην αρμόδια για την απαλλαγή αρχή την πρόοδο που έχει επιτευχθεί·</w:t>
      </w:r>
    </w:p>
    <w:p w:rsidR="00D86729" w:rsidRPr="00B56AE7" w:rsidRDefault="00434026" w:rsidP="004607D0">
      <w:pPr>
        <w:pStyle w:val="NormalHanging12a"/>
        <w:jc w:val="both"/>
      </w:pPr>
      <w:r w:rsidRPr="00B56AE7">
        <w:t>3.</w:t>
      </w:r>
      <w:r w:rsidRPr="00B56AE7">
        <w:tab/>
        <w:t>επισημαίνει περαιτέρω την παρατήρηση του Ελεγκτικού Συνεδρίου ότι η Eurojust δεν τήρησε τις προθεσ</w:t>
      </w:r>
      <w:r w:rsidRPr="00B56AE7">
        <w:t>μίες για τις πληρωμές που ορίζονται στο άρθρο 116 του δημοσιονομικού κανονισμού· λαμβάνει γνώση της απάντησης της Eurojust, σύμφωνα με την οποία αυτή έπρεπε να αντιμετωπίσει μια περίοδο προσαρμογής σε ένα νέο δημοσιονομικό και χρηματοπιστωτικό σύστημα SUMM</w:t>
      </w:r>
      <w:r w:rsidRPr="00B56AE7">
        <w:t>A που βρισκόταν σε πιλοτική φάση, γεγονός που προκάλεσε καθυστερήσεις και τεχνικές δυσκολίες στη διεκπεραίωση των συναλλαγών· υπενθυμίζει ότι οι μεταφορές πιστώσεων της Eurojust βρίσκονται σε επίπεδα σημαντικά χαμηλότερα από τα όρια·</w:t>
      </w:r>
    </w:p>
    <w:p w:rsidR="00324866" w:rsidRPr="00B56AE7" w:rsidRDefault="00434026" w:rsidP="004607D0">
      <w:pPr>
        <w:pStyle w:val="NormalHanging12a"/>
        <w:jc w:val="both"/>
      </w:pPr>
      <w:r w:rsidRPr="00B56AE7">
        <w:t>4.</w:t>
      </w:r>
      <w:r w:rsidRPr="00B56AE7">
        <w:tab/>
        <w:t>εκφράζει την ικανοπ</w:t>
      </w:r>
      <w:r w:rsidRPr="00B56AE7">
        <w:t>οίησή του για το γεγονός ότι αριθμός των υποθέσεων που διεκπεραιώνει η Eurojust αυξάνεται σταθερά (το 2022 κατά 14 %) και για το ότι οργανώθηκαν 528 συνεδριάσεις συντονισμού και 22 κέντρα συντονισμού, καθώς και για το ότι η Eurojust στήριξε 265 κοινές ομάδ</w:t>
      </w:r>
      <w:r w:rsidRPr="00B56AE7">
        <w:t>ες έρευνας, διευκόλυνε την εκτέλεση 1 262 ευρωπαϊκών ενταλμάτων σύλληψης και κατέστησε δυνατή τη χρήση 5 415 ευρωπαϊκών εντολών έρευνας· σημειώνει ότι οι υποθέσεις που εξέτασε η Eurojust το 2022 αφορούσαν πάνω από το τριπλάσιο του αριθμού των θυμάτων σε σύ</w:t>
      </w:r>
      <w:r w:rsidRPr="00B56AE7">
        <w:t xml:space="preserve">γκριση με το 2021· </w:t>
      </w:r>
    </w:p>
    <w:p w:rsidR="00324866" w:rsidRPr="00B56AE7" w:rsidRDefault="00434026" w:rsidP="004607D0">
      <w:pPr>
        <w:pStyle w:val="NormalHanging12a"/>
        <w:jc w:val="both"/>
      </w:pPr>
      <w:r w:rsidRPr="00B56AE7">
        <w:t>5.</w:t>
      </w:r>
      <w:r w:rsidRPr="00B56AE7">
        <w:tab/>
        <w:t xml:space="preserve">εκτιμά τη διακρατική συνεργασία μεταξύ των δικαστικών αρχών που διευκολύνεται από την Eurojust και τη στενή συνεργασία με όλους τους παράγοντες της αλυσίδας ποινικής δικαιοσύνης, η οποία συνέβαλε στη σύλληψη περισσότερων από 4 000 </w:t>
      </w:r>
      <w:r w:rsidRPr="00B56AE7">
        <w:t>υπόπτων, στην κατάσχεση και/ή δέσμευση περιουσιακών στοιχείων εγκληματικής προέλευσης αξίας σχεδόν 3 δισ. EUR και στην κατάσχεση ναρκωτικών αξίας σχεδόν 12 δισ. EUR·</w:t>
      </w:r>
    </w:p>
    <w:p w:rsidR="00324866" w:rsidRPr="00B56AE7" w:rsidRDefault="00434026" w:rsidP="004607D0">
      <w:pPr>
        <w:pStyle w:val="NormalHanging12a"/>
        <w:jc w:val="both"/>
      </w:pPr>
      <w:r w:rsidRPr="00B56AE7">
        <w:t>6.</w:t>
      </w:r>
      <w:r w:rsidRPr="00B56AE7">
        <w:tab/>
        <w:t>σημειώνει ότι, σε ταχεία απόκριση στη ρωσική εισβολή στην Ουκρανία, η εντολή της Euroju</w:t>
      </w:r>
      <w:r w:rsidRPr="00B56AE7">
        <w:t xml:space="preserve">st επεκτάθηκε ώστε να περιλαμβάνει τη διατήρηση, την ανάλυση και την αποθήκευση αποδεικτικών στοιχείων σχετικά με βασικά διεθνή εγκλήματα και τη δημιουργία δικαστικής βάσης δεδομένων για τη συλλογή και την ανάλυση βασικών αποδεικτικών στοιχείων για διεθνή </w:t>
      </w:r>
      <w:r w:rsidRPr="00B56AE7">
        <w:t>εγκλήματα·</w:t>
      </w:r>
    </w:p>
    <w:p w:rsidR="00324866" w:rsidRPr="00B56AE7" w:rsidRDefault="00434026" w:rsidP="004607D0">
      <w:pPr>
        <w:pStyle w:val="NormalHanging12a"/>
        <w:jc w:val="both"/>
      </w:pPr>
      <w:r w:rsidRPr="00B56AE7">
        <w:lastRenderedPageBreak/>
        <w:t>7.</w:t>
      </w:r>
      <w:r w:rsidRPr="00B56AE7">
        <w:tab/>
        <w:t xml:space="preserve">εκφράζει την ικανοποίησή του για τις προσπάθειες της Eurojust να στηρίξει την ψηφιοποίηση της δικαιοσύνης και την εφαρμογή του νέου συστήματος διαχείρισης υποθέσεων της Eurojust· </w:t>
      </w:r>
    </w:p>
    <w:p w:rsidR="0025230A" w:rsidRPr="00B56AE7" w:rsidRDefault="00434026" w:rsidP="00855820">
      <w:pPr>
        <w:pStyle w:val="NormalHanging12a"/>
        <w:ind w:left="560" w:hanging="560"/>
      </w:pPr>
      <w:r w:rsidRPr="00B56AE7">
        <w:t>8.</w:t>
      </w:r>
      <w:r w:rsidRPr="00B56AE7">
        <w:tab/>
        <w:t>εκφράζει την ικανοποίησή του για τη συνεχιζόμενη συνεργασία</w:t>
      </w:r>
      <w:r w:rsidRPr="00B56AE7">
        <w:t xml:space="preserve"> της Eurojust με άλλους οργανισμούς ΔΕΥ και άλλα ενδιαφερόμενα μέρη· επικροτεί την κίνηση 14 υποθέσεων με τη συμμετοχή της Ευρωπαϊκής Εισαγγελίας, και τη στενή συνεργασία με την Ευρωπαϊκή Υπηρεσία Καταπολέμησης της Απάτης (OLAF), τον Οργανισμό της Ευρωπαϊκ</w:t>
      </w:r>
      <w:r w:rsidRPr="00B56AE7">
        <w:t>ής Ένωσης για τη Συνεργασία στον Τομέα της Επιβολής του Νόμου (Ευρωπόλ), τον Ευρωπαίο Επόπτη Προστασίας Δεδομένων (ΕΕΠΔ) και τον Οργανισμό της Ευρωπαϊκής Ένωσης για τη Λειτουργική Διαχείριση Συστημάτων ΤΠ Μεγάλης Κλίμακας στον Χώρο Ελευθερίας, Ασφάλειας κα</w:t>
      </w:r>
      <w:r w:rsidRPr="00B56AE7">
        <w:t>ι Δικαιοσύνης (eu-LISA), και εκφράζει την ικανοποίησή του για το γεγονός ότι η Eurojust συνέχισε να συνεργάζεται με το Ευρωπαϊκό Δικαστικό Δίκτυο (ΕΔΔ), με τον αριθμό των υποθέσεων που παραπέμφθηκαν στο ΕΔΔ να ανέρχεται σε 44 το 2021· εκφράζει επίσης την ι</w:t>
      </w:r>
      <w:r w:rsidRPr="00B56AE7">
        <w:t>κανοποίησή του για την εξάπλωση των σημείων επαφής της Eurojust σε περισσότερες από 60 χώρες·</w:t>
      </w:r>
    </w:p>
    <w:p w:rsidR="00855820" w:rsidRPr="00B56AE7" w:rsidRDefault="00434026" w:rsidP="00855820">
      <w:r w:rsidRPr="00B56AE7">
        <w:br w:type="page"/>
      </w:r>
    </w:p>
    <w:p w:rsidR="00855820" w:rsidRPr="00B56AE7" w:rsidRDefault="00434026" w:rsidP="00855820">
      <w:pPr>
        <w:pStyle w:val="PageHeadingNotTOC"/>
      </w:pPr>
      <w:bookmarkStart w:id="2" w:name="ProcPageAD"/>
      <w:r w:rsidRPr="00B56AE7">
        <w:lastRenderedPageBreak/>
        <w:t>ΠΛΗΡΟΦΟΡΙΕΣ ΓΙΑ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E0E8E" w:rsidRPr="00B56A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b/>
                <w:bCs/>
                <w:color w:val="000000"/>
                <w:sz w:val="20"/>
              </w:rPr>
            </w:pPr>
            <w:r w:rsidRPr="00B56AE7">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55820" w:rsidRPr="00B56AE7" w:rsidRDefault="00434026">
            <w:pPr>
              <w:autoSpaceDE w:val="0"/>
              <w:autoSpaceDN w:val="0"/>
              <w:adjustRightInd w:val="0"/>
              <w:rPr>
                <w:color w:val="000000"/>
                <w:sz w:val="20"/>
              </w:rPr>
            </w:pPr>
            <w:r w:rsidRPr="00B56AE7">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55820" w:rsidRPr="00B56AE7" w:rsidRDefault="0085582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55820" w:rsidRPr="00B56AE7" w:rsidRDefault="0085582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55820" w:rsidRPr="00B56AE7" w:rsidRDefault="00855820">
            <w:pPr>
              <w:autoSpaceDE w:val="0"/>
              <w:autoSpaceDN w:val="0"/>
              <w:adjustRightInd w:val="0"/>
              <w:rPr>
                <w:rFonts w:ascii="sans-serif" w:hAnsi="sans-serif" w:cs="sans-serif"/>
                <w:color w:val="000000"/>
                <w:szCs w:val="24"/>
              </w:rPr>
            </w:pPr>
          </w:p>
        </w:tc>
      </w:tr>
      <w:tr w:rsidR="00AE0E8E" w:rsidRPr="00B56A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b/>
                <w:bCs/>
                <w:color w:val="000000"/>
                <w:sz w:val="20"/>
              </w:rPr>
            </w:pPr>
            <w:r w:rsidRPr="00B56AE7">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55820" w:rsidRPr="00B56AE7" w:rsidRDefault="00434026">
            <w:pPr>
              <w:autoSpaceDE w:val="0"/>
              <w:autoSpaceDN w:val="0"/>
              <w:adjustRightInd w:val="0"/>
              <w:rPr>
                <w:color w:val="000000"/>
                <w:sz w:val="20"/>
              </w:rPr>
            </w:pPr>
            <w:r w:rsidRPr="00B56AE7">
              <w:rPr>
                <w:color w:val="000000"/>
                <w:sz w:val="20"/>
              </w:rPr>
              <w:t>+:</w:t>
            </w:r>
          </w:p>
          <w:p w:rsidR="00855820" w:rsidRPr="00B56AE7" w:rsidRDefault="00434026">
            <w:pPr>
              <w:autoSpaceDE w:val="0"/>
              <w:autoSpaceDN w:val="0"/>
              <w:adjustRightInd w:val="0"/>
              <w:rPr>
                <w:color w:val="000000"/>
                <w:sz w:val="20"/>
              </w:rPr>
            </w:pPr>
            <w:r w:rsidRPr="00B56AE7">
              <w:rPr>
                <w:color w:val="000000"/>
                <w:sz w:val="20"/>
              </w:rPr>
              <w:t>–:</w:t>
            </w:r>
          </w:p>
          <w:p w:rsidR="00855820" w:rsidRPr="00B56AE7" w:rsidRDefault="00434026">
            <w:pPr>
              <w:autoSpaceDE w:val="0"/>
              <w:autoSpaceDN w:val="0"/>
              <w:adjustRightInd w:val="0"/>
              <w:rPr>
                <w:color w:val="000000"/>
                <w:sz w:val="20"/>
              </w:rPr>
            </w:pPr>
            <w:r w:rsidRPr="00B56AE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color w:val="000000"/>
                <w:sz w:val="20"/>
              </w:rPr>
            </w:pPr>
            <w:r w:rsidRPr="00B56AE7">
              <w:rPr>
                <w:color w:val="000000"/>
                <w:sz w:val="20"/>
              </w:rPr>
              <w:t>51</w:t>
            </w:r>
          </w:p>
          <w:p w:rsidR="00855820" w:rsidRPr="00B56AE7" w:rsidRDefault="00434026">
            <w:pPr>
              <w:autoSpaceDE w:val="0"/>
              <w:autoSpaceDN w:val="0"/>
              <w:adjustRightInd w:val="0"/>
              <w:rPr>
                <w:color w:val="000000"/>
                <w:sz w:val="20"/>
              </w:rPr>
            </w:pPr>
            <w:r w:rsidRPr="00B56AE7">
              <w:rPr>
                <w:color w:val="000000"/>
                <w:sz w:val="20"/>
              </w:rPr>
              <w:t>2</w:t>
            </w:r>
          </w:p>
          <w:p w:rsidR="00855820" w:rsidRPr="00B56AE7" w:rsidRDefault="00434026">
            <w:pPr>
              <w:autoSpaceDE w:val="0"/>
              <w:autoSpaceDN w:val="0"/>
              <w:adjustRightInd w:val="0"/>
              <w:rPr>
                <w:color w:val="000000"/>
                <w:sz w:val="20"/>
              </w:rPr>
            </w:pPr>
            <w:r w:rsidRPr="00B56AE7">
              <w:rPr>
                <w:color w:val="000000"/>
                <w:sz w:val="20"/>
              </w:rPr>
              <w:t>2</w:t>
            </w:r>
          </w:p>
        </w:tc>
      </w:tr>
      <w:tr w:rsidR="00AE0E8E" w:rsidRPr="00B56AE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b/>
                <w:bCs/>
                <w:color w:val="000000"/>
                <w:sz w:val="20"/>
              </w:rPr>
            </w:pPr>
            <w:r w:rsidRPr="00B56AE7">
              <w:rPr>
                <w:b/>
                <w:color w:val="000000"/>
                <w:sz w:val="20"/>
              </w:rPr>
              <w:t xml:space="preserve">Βουλευτές παρόντες </w:t>
            </w:r>
            <w:r w:rsidRPr="00B56AE7">
              <w:rPr>
                <w:b/>
                <w:color w:val="000000"/>
                <w:sz w:val="20"/>
              </w:rPr>
              <w:t>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color w:val="000000"/>
                <w:sz w:val="20"/>
              </w:rPr>
            </w:pPr>
            <w:r w:rsidRPr="00B56AE7">
              <w:rPr>
                <w:color w:val="000000"/>
                <w:sz w:val="20"/>
              </w:rPr>
              <w:t>Magdalena Adamowicz, Abir Al-Sahlani, Katarina Barley, Pietro Bartolo, Theresa Bielowski, Patrick Breyer, Saskia Bricmont, Jorge Buxadé Villalba, Damien Carême, Patricia Chagnon, Lena Düpont, Lucia Ďuriš Nicholsonová, Cornelia Ern</w:t>
            </w:r>
            <w:r w:rsidRPr="00B56AE7">
              <w:rPr>
                <w:color w:val="000000"/>
                <w:sz w:val="20"/>
              </w:rPr>
              <w:t xml:space="preserve">st, Nicolaus Fest, Maria Grapini, Sylvie Guillaume, Andrzej Halicki, Evin Incir, Sophia in ‘t Veld, Patryk Jaki, Marina Kaljurand, Assita Kanko, Łukasz Kohut, Moritz Körner, Alice Kuhnke, Jeroen Lenaers, Juan Fernando López Aguilar, Erik Marquardt, Javier </w:t>
            </w:r>
            <w:r w:rsidRPr="00B56AE7">
              <w:rPr>
                <w:color w:val="000000"/>
                <w:sz w:val="20"/>
              </w:rPr>
              <w:t>Moreno Sánchez, Maite Pagazaurtundúa, Diana Riba i Giner, Isabel Santos, Birgit Sippel, Vincenzo Sofo, Tineke Strik, Milan Uhrík, Tom Vandendriessche, Elissavet Vozemberg-Vrionidi, Elena Yoncheva, Javier Zarzalejos</w:t>
            </w:r>
          </w:p>
        </w:tc>
      </w:tr>
      <w:tr w:rsidR="00AE0E8E" w:rsidRPr="00B56A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b/>
                <w:bCs/>
                <w:color w:val="000000"/>
                <w:sz w:val="20"/>
              </w:rPr>
            </w:pPr>
            <w:r w:rsidRPr="00B56AE7">
              <w:rPr>
                <w:b/>
                <w:color w:val="000000"/>
                <w:sz w:val="20"/>
              </w:rPr>
              <w:t>Αναπληρωτές παρόντες κατά την τελική ψηφ</w:t>
            </w:r>
            <w:r w:rsidRPr="00B56AE7">
              <w:rPr>
                <w:b/>
                <w:color w:val="000000"/>
                <w:sz w:val="20"/>
              </w:rPr>
              <w:t>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color w:val="000000"/>
                <w:sz w:val="20"/>
              </w:rPr>
            </w:pPr>
            <w:r w:rsidRPr="00B56AE7">
              <w:rPr>
                <w:color w:val="000000"/>
                <w:sz w:val="20"/>
              </w:rPr>
              <w:t>Cyrus Engerer, José Gusmão, Beata Kempa, Leopoldo López Gil, Janina Ochojska, Anne-Sophie Pelletier, Bergur Løkke Rasmussen, Róża Thun und Hohenstein, Maria Walsh, Tomáš Zdechovský</w:t>
            </w:r>
          </w:p>
        </w:tc>
      </w:tr>
      <w:tr w:rsidR="00AE0E8E" w:rsidRPr="00B56AE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b/>
                <w:bCs/>
                <w:color w:val="000000"/>
                <w:sz w:val="20"/>
              </w:rPr>
            </w:pPr>
            <w:r w:rsidRPr="00B56AE7">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55820" w:rsidRPr="00B56AE7" w:rsidRDefault="00434026">
            <w:pPr>
              <w:autoSpaceDE w:val="0"/>
              <w:autoSpaceDN w:val="0"/>
              <w:adjustRightInd w:val="0"/>
              <w:rPr>
                <w:color w:val="000000"/>
                <w:sz w:val="20"/>
              </w:rPr>
            </w:pPr>
            <w:r w:rsidRPr="00B56AE7">
              <w:rPr>
                <w:color w:val="000000"/>
                <w:sz w:val="20"/>
              </w:rPr>
              <w:t>Andrus Ansip, Hildegard Bentele, Maria da Graça Carvalho, Marisa Matias, Caroline Nagtegaal</w:t>
            </w:r>
          </w:p>
        </w:tc>
      </w:tr>
    </w:tbl>
    <w:p w:rsidR="00855820" w:rsidRPr="00B56AE7" w:rsidRDefault="00855820"/>
    <w:bookmarkEnd w:id="2"/>
    <w:p w:rsidR="000E5BA4" w:rsidRPr="00B56AE7" w:rsidRDefault="000E5BA4" w:rsidP="00855820">
      <w:pPr>
        <w:sectPr w:rsidR="000E5BA4" w:rsidRPr="00B56AE7" w:rsidSect="00B56A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E5BA4" w:rsidRPr="00B56AE7" w:rsidRDefault="00434026" w:rsidP="002B2C72">
      <w:pPr>
        <w:pStyle w:val="PageHeadingNotTOC"/>
        <w:rPr>
          <w:noProof/>
        </w:rPr>
      </w:pPr>
      <w:bookmarkStart w:id="3" w:name="FootprintPageAD"/>
      <w:r w:rsidRPr="00B56AE7">
        <w:lastRenderedPageBreak/>
        <w:t>ΠΑΡΑΡΤΗΜΑ: ΟΝΤΟΤΗΤΕΣ Η ΠΡΟΣΩΠΑ</w:t>
      </w:r>
      <w:r w:rsidRPr="00B56AE7">
        <w:br/>
        <w:t>ΠΟΥ ΚΑΤΕΘΕΣΑΝ ΤΙΣ ΑΠΟΨΕΙΣ ΤΟΥΣ ΣΤΟΝ ΣΥΝΤΑΚΤΗ ΤΗΣ ΓΝΩΜΟΔΟΤΗΣΗΣ</w:t>
      </w:r>
    </w:p>
    <w:p w:rsidR="000E5BA4" w:rsidRPr="00B56AE7" w:rsidRDefault="00434026" w:rsidP="00037518">
      <w:pPr>
        <w:pStyle w:val="Normal24a"/>
      </w:pPr>
      <w:r w:rsidRPr="00B56AE7">
        <w:rPr>
          <w:rStyle w:val="HideTWBExt"/>
        </w:rPr>
        <w:t>&lt;FootprintIntro&gt;</w:t>
      </w:r>
      <w:r w:rsidRPr="00B56AE7">
        <w:t>Στο συντάκτη της γνωμοδότησης κατατέθηκαν</w:t>
      </w:r>
      <w:r w:rsidRPr="00B56AE7">
        <w:t xml:space="preserve"> εισηγήσεις από τις ακόλουθες οντότητες ή τα ακόλουθα πρόσωπα κατά την εκπόνηση της γνωμοδότησης:</w:t>
      </w:r>
      <w:r w:rsidRPr="00B56AE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E0E8E" w:rsidRPr="00B56AE7" w:rsidTr="00F42F07">
        <w:tc>
          <w:tcPr>
            <w:tcW w:w="9286" w:type="dxa"/>
            <w:shd w:val="clear" w:color="auto" w:fill="auto"/>
          </w:tcPr>
          <w:p w:rsidR="000E5BA4" w:rsidRPr="00B56AE7" w:rsidRDefault="00434026" w:rsidP="000E5BA4">
            <w:pPr>
              <w:pStyle w:val="NormalBoldCenter"/>
            </w:pPr>
            <w:r w:rsidRPr="00B56AE7">
              <w:t>Οντότητα και/ή πρόσωπο</w:t>
            </w:r>
          </w:p>
        </w:tc>
      </w:tr>
      <w:tr w:rsidR="00AE0E8E" w:rsidRPr="00B56AE7" w:rsidTr="00F42F07">
        <w:tc>
          <w:tcPr>
            <w:tcW w:w="9286" w:type="dxa"/>
            <w:shd w:val="clear" w:color="auto" w:fill="auto"/>
          </w:tcPr>
          <w:p w:rsidR="000E5BA4" w:rsidRPr="00B56AE7" w:rsidRDefault="00434026" w:rsidP="000E5BA4">
            <w:r w:rsidRPr="00B56AE7">
              <w:t>Οργανισμός της Ευρωπαϊκής Ένωσης για τη Συνεργασία στον Τομέα της Ποινικής Δικαιοσύνης (Eurojust)</w:t>
            </w:r>
          </w:p>
        </w:tc>
      </w:tr>
    </w:tbl>
    <w:p w:rsidR="000E5BA4" w:rsidRPr="00B56AE7" w:rsidRDefault="000E5BA4" w:rsidP="00AD5932"/>
    <w:p w:rsidR="000E5BA4" w:rsidRPr="00B56AE7" w:rsidRDefault="00434026" w:rsidP="004E1B62">
      <w:pPr>
        <w:rPr>
          <w:szCs w:val="24"/>
        </w:rPr>
      </w:pPr>
      <w:r w:rsidRPr="00B56AE7">
        <w:t xml:space="preserve">Ο ανωτέρω </w:t>
      </w:r>
      <w:r w:rsidRPr="00B56AE7">
        <w:t>κατάλογος συντάσσεται υπό την αποκλειστική ευθύνη του συντάκτη της γνωμοδότησης.</w:t>
      </w:r>
    </w:p>
    <w:p w:rsidR="000E5BA4" w:rsidRPr="00B56AE7" w:rsidRDefault="000E5BA4" w:rsidP="000E5BA4"/>
    <w:bookmarkEnd w:id="3"/>
    <w:p w:rsidR="000E5BA4" w:rsidRPr="00B56AE7" w:rsidRDefault="000E5BA4" w:rsidP="00855820">
      <w:pPr>
        <w:sectPr w:rsidR="000E5BA4" w:rsidRPr="00B56AE7" w:rsidSect="000E5B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55820" w:rsidRPr="00B56AE7" w:rsidRDefault="00434026" w:rsidP="00855820">
      <w:pPr>
        <w:pStyle w:val="PageHeadingNotTOC"/>
      </w:pPr>
      <w:bookmarkStart w:id="4" w:name="RollCallPageAD"/>
      <w:r w:rsidRPr="00B56AE7">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E8E" w:rsidRPr="00B56AE7" w:rsidTr="008920AC">
        <w:trPr>
          <w:cantSplit/>
        </w:trPr>
        <w:tc>
          <w:tcPr>
            <w:tcW w:w="1701" w:type="dxa"/>
            <w:shd w:val="pct10" w:color="000000" w:fill="FFFFFF"/>
            <w:vAlign w:val="center"/>
          </w:tcPr>
          <w:p w:rsidR="00855820" w:rsidRPr="00B56AE7" w:rsidRDefault="00434026" w:rsidP="003858C5">
            <w:pPr>
              <w:pStyle w:val="RollCallVotes"/>
            </w:pPr>
            <w:r w:rsidRPr="00B56AE7">
              <w:t>51</w:t>
            </w:r>
          </w:p>
        </w:tc>
        <w:tc>
          <w:tcPr>
            <w:tcW w:w="7371" w:type="dxa"/>
            <w:shd w:val="pct10" w:color="000000" w:fill="FFFFFF"/>
          </w:tcPr>
          <w:p w:rsidR="00855820" w:rsidRPr="00B56AE7" w:rsidRDefault="00434026" w:rsidP="003858C5">
            <w:pPr>
              <w:pStyle w:val="RollCallSymbols14pt"/>
            </w:pPr>
            <w:r w:rsidRPr="00B56AE7">
              <w:t>+</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ECR</w:t>
            </w:r>
          </w:p>
        </w:tc>
        <w:tc>
          <w:tcPr>
            <w:tcW w:w="7371" w:type="dxa"/>
            <w:shd w:val="clear" w:color="auto" w:fill="FFFFFF"/>
          </w:tcPr>
          <w:p w:rsidR="00855820" w:rsidRPr="00B56AE7" w:rsidRDefault="00434026" w:rsidP="003858C5">
            <w:pPr>
              <w:pStyle w:val="RollCallTable"/>
            </w:pPr>
            <w:r w:rsidRPr="00B56AE7">
              <w:t>Jorge Buxadé Villalba, Patryk Jaki, Assita Kanko, Beata Kempa</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ID</w:t>
            </w:r>
          </w:p>
        </w:tc>
        <w:tc>
          <w:tcPr>
            <w:tcW w:w="7371" w:type="dxa"/>
            <w:shd w:val="clear" w:color="auto" w:fill="FFFFFF"/>
          </w:tcPr>
          <w:p w:rsidR="00855820" w:rsidRPr="00B56AE7" w:rsidRDefault="00434026" w:rsidP="003858C5">
            <w:pPr>
              <w:pStyle w:val="RollCallTable"/>
            </w:pPr>
            <w:r w:rsidRPr="00B56AE7">
              <w:t xml:space="preserve">Tom </w:t>
            </w:r>
            <w:r w:rsidRPr="00B56AE7">
              <w:t>Vandendriessche</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PPE</w:t>
            </w:r>
          </w:p>
        </w:tc>
        <w:tc>
          <w:tcPr>
            <w:tcW w:w="7371" w:type="dxa"/>
            <w:shd w:val="clear" w:color="auto" w:fill="FFFFFF"/>
          </w:tcPr>
          <w:p w:rsidR="00855820" w:rsidRPr="00B56AE7" w:rsidRDefault="00434026" w:rsidP="003858C5">
            <w:pPr>
              <w:pStyle w:val="RollCallTable"/>
            </w:pPr>
            <w:r w:rsidRPr="00B56AE7">
              <w:t>Magdalena Adamowicz, Hildegard Bentele, Maria da Graça Carvalho, Lena Düpont, Andrzej Halicki, Jeroen Lenaers, Leopoldo López Gil, Janina Ochojska, Elissavet Vozemberg-Vrionidi, Maria Walsh, Javier Zarzalejos, Tomáš Zdechovský</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Renew</w:t>
            </w:r>
          </w:p>
        </w:tc>
        <w:tc>
          <w:tcPr>
            <w:tcW w:w="7371" w:type="dxa"/>
            <w:shd w:val="clear" w:color="auto" w:fill="FFFFFF"/>
          </w:tcPr>
          <w:p w:rsidR="00855820" w:rsidRPr="00B56AE7" w:rsidRDefault="00434026" w:rsidP="003858C5">
            <w:pPr>
              <w:pStyle w:val="RollCallTable"/>
            </w:pPr>
            <w:r w:rsidRPr="00B56AE7">
              <w:t>A</w:t>
            </w:r>
            <w:r w:rsidRPr="00B56AE7">
              <w:t>bir Al-Sahlani, Andrus Ansip, Lucia Ďuriš Nicholsonová, Sophia in 't Veld, Moritz Körner, Caroline Nagtegaal, Maite Pagazaurtundúa, Bergur Løkke Rasmussen, Róża Thun und Hohenstein</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S&amp;D</w:t>
            </w:r>
          </w:p>
        </w:tc>
        <w:tc>
          <w:tcPr>
            <w:tcW w:w="7371" w:type="dxa"/>
            <w:shd w:val="clear" w:color="auto" w:fill="FFFFFF"/>
          </w:tcPr>
          <w:p w:rsidR="00855820" w:rsidRPr="00B56AE7" w:rsidRDefault="00434026" w:rsidP="003858C5">
            <w:pPr>
              <w:pStyle w:val="RollCallTable"/>
            </w:pPr>
            <w:r w:rsidRPr="00B56AE7">
              <w:t>Katarina Barley, Pietro Bartolo, Theresa Bielowski, Cyrus Engerer, Mar</w:t>
            </w:r>
            <w:r w:rsidRPr="00B56AE7">
              <w:t>ia Grapini, Sylvie Guillaume, Evin Incir, Marina Kaljurand, Łukasz Kohut, Juan Fernando López Aguilar, Javier Moreno Sánchez, Isabel Santos, Birgit Sippel, Elena Yoncheva</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The Left</w:t>
            </w:r>
          </w:p>
        </w:tc>
        <w:tc>
          <w:tcPr>
            <w:tcW w:w="7371" w:type="dxa"/>
            <w:shd w:val="clear" w:color="auto" w:fill="FFFFFF"/>
          </w:tcPr>
          <w:p w:rsidR="00855820" w:rsidRPr="00B56AE7" w:rsidRDefault="00434026" w:rsidP="003858C5">
            <w:pPr>
              <w:pStyle w:val="RollCallTable"/>
            </w:pPr>
            <w:r w:rsidRPr="00B56AE7">
              <w:t>Cornelia Ernst, José Gusmão, Marisa Matias, Anne-Sophie Pelletier</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Verts/AL</w:t>
            </w:r>
            <w:r w:rsidRPr="00B56AE7">
              <w:t>E</w:t>
            </w:r>
          </w:p>
        </w:tc>
        <w:tc>
          <w:tcPr>
            <w:tcW w:w="7371" w:type="dxa"/>
            <w:shd w:val="clear" w:color="auto" w:fill="FFFFFF"/>
          </w:tcPr>
          <w:p w:rsidR="00855820" w:rsidRPr="00B56AE7" w:rsidRDefault="00434026" w:rsidP="003858C5">
            <w:pPr>
              <w:pStyle w:val="RollCallTable"/>
            </w:pPr>
            <w:r w:rsidRPr="00B56AE7">
              <w:t>Patrick Breyer, Saskia Bricmont, Damien Carême, Alice Kuhnke, Erik Marquardt, Diana Riba i Giner, Tineke Strik</w:t>
            </w:r>
          </w:p>
        </w:tc>
      </w:tr>
    </w:tbl>
    <w:p w:rsidR="00855820" w:rsidRPr="00B56AE7" w:rsidRDefault="0085582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E8E" w:rsidRPr="00B56AE7" w:rsidTr="008920AC">
        <w:trPr>
          <w:cantSplit/>
        </w:trPr>
        <w:tc>
          <w:tcPr>
            <w:tcW w:w="1701" w:type="dxa"/>
            <w:shd w:val="pct10" w:color="000000" w:fill="FFFFFF"/>
            <w:vAlign w:val="center"/>
          </w:tcPr>
          <w:p w:rsidR="00855820" w:rsidRPr="00B56AE7" w:rsidRDefault="00434026" w:rsidP="003858C5">
            <w:pPr>
              <w:pStyle w:val="RollCallVotes"/>
            </w:pPr>
            <w:r w:rsidRPr="00B56AE7">
              <w:t>2</w:t>
            </w:r>
          </w:p>
        </w:tc>
        <w:tc>
          <w:tcPr>
            <w:tcW w:w="7371" w:type="dxa"/>
            <w:shd w:val="pct10" w:color="000000" w:fill="FFFFFF"/>
          </w:tcPr>
          <w:p w:rsidR="00855820" w:rsidRPr="00B56AE7" w:rsidRDefault="00434026" w:rsidP="003858C5">
            <w:pPr>
              <w:pStyle w:val="RollCallSymbols14pt"/>
            </w:pPr>
            <w:r w:rsidRPr="00B56AE7">
              <w:t>-</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ID</w:t>
            </w:r>
          </w:p>
        </w:tc>
        <w:tc>
          <w:tcPr>
            <w:tcW w:w="7371" w:type="dxa"/>
            <w:shd w:val="clear" w:color="auto" w:fill="FFFFFF"/>
          </w:tcPr>
          <w:p w:rsidR="00855820" w:rsidRPr="00B56AE7" w:rsidRDefault="00434026" w:rsidP="003858C5">
            <w:pPr>
              <w:pStyle w:val="RollCallTable"/>
            </w:pPr>
            <w:r w:rsidRPr="00B56AE7">
              <w:t>Nicolaus Fest</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NI</w:t>
            </w:r>
          </w:p>
        </w:tc>
        <w:tc>
          <w:tcPr>
            <w:tcW w:w="7371" w:type="dxa"/>
            <w:shd w:val="clear" w:color="auto" w:fill="FFFFFF"/>
          </w:tcPr>
          <w:p w:rsidR="00855820" w:rsidRPr="00B56AE7" w:rsidRDefault="00434026" w:rsidP="003858C5">
            <w:pPr>
              <w:pStyle w:val="RollCallTable"/>
            </w:pPr>
            <w:r w:rsidRPr="00B56AE7">
              <w:t>Milan Uhrík</w:t>
            </w:r>
          </w:p>
        </w:tc>
      </w:tr>
    </w:tbl>
    <w:p w:rsidR="00855820" w:rsidRPr="00B56AE7" w:rsidRDefault="0085582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E8E" w:rsidRPr="00B56AE7" w:rsidTr="008920AC">
        <w:trPr>
          <w:cantSplit/>
        </w:trPr>
        <w:tc>
          <w:tcPr>
            <w:tcW w:w="1701" w:type="dxa"/>
            <w:shd w:val="pct10" w:color="000000" w:fill="FFFFFF"/>
            <w:vAlign w:val="center"/>
          </w:tcPr>
          <w:p w:rsidR="00855820" w:rsidRPr="00B56AE7" w:rsidRDefault="00434026" w:rsidP="003858C5">
            <w:pPr>
              <w:pStyle w:val="RollCallVotes"/>
            </w:pPr>
            <w:r w:rsidRPr="00B56AE7">
              <w:t>2</w:t>
            </w:r>
          </w:p>
        </w:tc>
        <w:tc>
          <w:tcPr>
            <w:tcW w:w="7371" w:type="dxa"/>
            <w:shd w:val="pct10" w:color="000000" w:fill="FFFFFF"/>
          </w:tcPr>
          <w:p w:rsidR="00855820" w:rsidRPr="00B56AE7" w:rsidRDefault="00434026" w:rsidP="003858C5">
            <w:pPr>
              <w:pStyle w:val="RollCallSymbols14pt"/>
            </w:pPr>
            <w:r w:rsidRPr="00B56AE7">
              <w:t>0</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ECR</w:t>
            </w:r>
          </w:p>
        </w:tc>
        <w:tc>
          <w:tcPr>
            <w:tcW w:w="7371" w:type="dxa"/>
            <w:shd w:val="clear" w:color="auto" w:fill="FFFFFF"/>
          </w:tcPr>
          <w:p w:rsidR="00855820" w:rsidRPr="00B56AE7" w:rsidRDefault="00434026" w:rsidP="003858C5">
            <w:pPr>
              <w:pStyle w:val="RollCallTable"/>
            </w:pPr>
            <w:r w:rsidRPr="00B56AE7">
              <w:t>Vincenzo Sofo</w:t>
            </w:r>
          </w:p>
        </w:tc>
      </w:tr>
      <w:tr w:rsidR="00AE0E8E" w:rsidRPr="00B56AE7" w:rsidTr="008920AC">
        <w:trPr>
          <w:cantSplit/>
        </w:trPr>
        <w:tc>
          <w:tcPr>
            <w:tcW w:w="1701" w:type="dxa"/>
            <w:shd w:val="clear" w:color="auto" w:fill="FFFFFF"/>
          </w:tcPr>
          <w:p w:rsidR="00855820" w:rsidRPr="00B56AE7" w:rsidRDefault="00434026" w:rsidP="003858C5">
            <w:pPr>
              <w:pStyle w:val="RollCallTable"/>
            </w:pPr>
            <w:r w:rsidRPr="00B56AE7">
              <w:t>ID</w:t>
            </w:r>
          </w:p>
        </w:tc>
        <w:tc>
          <w:tcPr>
            <w:tcW w:w="7371" w:type="dxa"/>
            <w:shd w:val="clear" w:color="auto" w:fill="FFFFFF"/>
          </w:tcPr>
          <w:p w:rsidR="00855820" w:rsidRPr="00B56AE7" w:rsidRDefault="00434026" w:rsidP="003858C5">
            <w:pPr>
              <w:pStyle w:val="RollCallTable"/>
            </w:pPr>
            <w:r w:rsidRPr="00B56AE7">
              <w:t>Patricia Chagnon</w:t>
            </w:r>
          </w:p>
        </w:tc>
      </w:tr>
    </w:tbl>
    <w:p w:rsidR="00855820" w:rsidRPr="00B56AE7" w:rsidRDefault="00855820" w:rsidP="00147FBF">
      <w:pPr>
        <w:pStyle w:val="Normal12a"/>
      </w:pPr>
    </w:p>
    <w:p w:rsidR="00855820" w:rsidRPr="00B56AE7" w:rsidRDefault="00434026" w:rsidP="00B735E3">
      <w:r w:rsidRPr="00B56AE7">
        <w:t>Υπόμνημα των χρησιμοποιούμενων συμβόλων:</w:t>
      </w:r>
    </w:p>
    <w:p w:rsidR="00855820" w:rsidRPr="00B56AE7" w:rsidRDefault="00434026" w:rsidP="003858C5">
      <w:pPr>
        <w:pStyle w:val="RollCallTabs"/>
      </w:pPr>
      <w:r w:rsidRPr="00B56AE7">
        <w:t>+</w:t>
      </w:r>
      <w:r w:rsidRPr="00B56AE7">
        <w:tab/>
        <w:t>:</w:t>
      </w:r>
      <w:r w:rsidRPr="00B56AE7">
        <w:tab/>
        <w:t>υπέρ</w:t>
      </w:r>
    </w:p>
    <w:p w:rsidR="00855820" w:rsidRPr="00B56AE7" w:rsidRDefault="00434026" w:rsidP="003858C5">
      <w:pPr>
        <w:pStyle w:val="RollCallTabs"/>
      </w:pPr>
      <w:r w:rsidRPr="00B56AE7">
        <w:t>-</w:t>
      </w:r>
      <w:r w:rsidRPr="00B56AE7">
        <w:tab/>
        <w:t>:</w:t>
      </w:r>
      <w:r w:rsidRPr="00B56AE7">
        <w:tab/>
      </w:r>
      <w:r w:rsidRPr="00B56AE7">
        <w:t>κατά</w:t>
      </w:r>
    </w:p>
    <w:p w:rsidR="00855820" w:rsidRPr="00B56AE7" w:rsidRDefault="00434026" w:rsidP="003858C5">
      <w:pPr>
        <w:pStyle w:val="RollCallTabs"/>
      </w:pPr>
      <w:r w:rsidRPr="00B56AE7">
        <w:t>0</w:t>
      </w:r>
      <w:r w:rsidRPr="00B56AE7">
        <w:tab/>
        <w:t>:</w:t>
      </w:r>
      <w:r w:rsidRPr="00B56AE7">
        <w:tab/>
        <w:t>αποχή</w:t>
      </w:r>
    </w:p>
    <w:p w:rsidR="00855820" w:rsidRPr="00B56AE7" w:rsidRDefault="00855820" w:rsidP="00207509"/>
    <w:bookmarkEnd w:id="4"/>
    <w:p w:rsidR="002E6F98" w:rsidRPr="00B56AE7" w:rsidRDefault="002E6F98" w:rsidP="00855820"/>
    <w:sectPr w:rsidR="002E6F98" w:rsidRPr="00B56AE7" w:rsidSect="000E5B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56AE7" w:rsidRDefault="00434026">
      <w:r w:rsidRPr="00B56AE7">
        <w:separator/>
      </w:r>
    </w:p>
  </w:endnote>
  <w:endnote w:type="continuationSeparator" w:id="0">
    <w:p w:rsidR="00000000" w:rsidRPr="00B56AE7" w:rsidRDefault="00434026">
      <w:r w:rsidRPr="00B56A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AE7" w:rsidRPr="00B56AE7" w:rsidRDefault="00B56AE7" w:rsidP="00B56AE7">
    <w:pPr>
      <w:pStyle w:val="EPFooter"/>
    </w:pPr>
    <w:r w:rsidRPr="00B56AE7">
      <w:t>PE</w:t>
    </w:r>
    <w:r w:rsidRPr="00B56AE7">
      <w:rPr>
        <w:rStyle w:val="HideTWBExt"/>
      </w:rPr>
      <w:t>&lt;NoPE&gt;</w:t>
    </w:r>
    <w:r w:rsidRPr="00B56AE7">
      <w:t>756.199</w:t>
    </w:r>
    <w:r w:rsidRPr="00B56AE7">
      <w:rPr>
        <w:rStyle w:val="HideTWBExt"/>
      </w:rPr>
      <w:t>&lt;/NoPE&gt;&lt;Version&gt;</w:t>
    </w:r>
    <w:r w:rsidRPr="00B56AE7">
      <w:t>v03-00</w:t>
    </w:r>
    <w:r w:rsidRPr="00B56AE7">
      <w:rPr>
        <w:rStyle w:val="HideTWBExt"/>
      </w:rPr>
      <w:t>&lt;/Version&gt;</w:t>
    </w:r>
    <w:r w:rsidRPr="00B56AE7">
      <w:tab/>
    </w:r>
    <w:r w:rsidRPr="00B56AE7">
      <w:fldChar w:fldCharType="begin"/>
    </w:r>
    <w:r w:rsidRPr="00B56AE7">
      <w:instrText xml:space="preserve"> PAGE  \* MERGEFORMAT </w:instrText>
    </w:r>
    <w:r w:rsidRPr="00B56AE7">
      <w:fldChar w:fldCharType="separate"/>
    </w:r>
    <w:r w:rsidR="00434026">
      <w:rPr>
        <w:noProof/>
      </w:rPr>
      <w:t>7</w:t>
    </w:r>
    <w:r w:rsidRPr="00B56AE7">
      <w:fldChar w:fldCharType="end"/>
    </w:r>
    <w:r w:rsidRPr="00B56AE7">
      <w:t>/</w:t>
    </w:r>
    <w:fldSimple w:instr=" NUMPAGES  \* MERGEFORMAT ">
      <w:r w:rsidR="00434026">
        <w:rPr>
          <w:noProof/>
        </w:rPr>
        <w:t>7</w:t>
      </w:r>
    </w:fldSimple>
    <w:r w:rsidRPr="00B56AE7">
      <w:tab/>
    </w:r>
    <w:r w:rsidRPr="00B56AE7">
      <w:rPr>
        <w:rStyle w:val="HideTWBExt"/>
      </w:rPr>
      <w:t>&lt;PathFdR&gt;</w:t>
    </w:r>
    <w:r w:rsidRPr="00B56AE7">
      <w:t>AD\1295231EL.docx</w:t>
    </w:r>
    <w:r w:rsidRPr="00B56AE7">
      <w:rPr>
        <w:rStyle w:val="HideTWBExt"/>
      </w:rPr>
      <w:t>&lt;/PathFdR&gt;</w:t>
    </w:r>
  </w:p>
  <w:p w:rsidR="002E2F2E" w:rsidRPr="00B56AE7" w:rsidRDefault="00B56AE7" w:rsidP="00B56AE7">
    <w:pPr>
      <w:pStyle w:val="EPFooter2"/>
    </w:pPr>
    <w:r w:rsidRPr="00B56AE7">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AE7" w:rsidRPr="00B56AE7" w:rsidRDefault="00B56AE7" w:rsidP="00B56AE7">
    <w:pPr>
      <w:pStyle w:val="EPFooter"/>
    </w:pPr>
    <w:r w:rsidRPr="00B56AE7">
      <w:rPr>
        <w:rStyle w:val="HideTWBExt"/>
      </w:rPr>
      <w:t>&lt;PathFdR&gt;</w:t>
    </w:r>
    <w:r w:rsidRPr="00B56AE7">
      <w:t>AD\1295231EL.docx</w:t>
    </w:r>
    <w:r w:rsidRPr="00B56AE7">
      <w:rPr>
        <w:rStyle w:val="HideTWBExt"/>
      </w:rPr>
      <w:t>&lt;/PathFdR&gt;</w:t>
    </w:r>
    <w:r w:rsidRPr="00B56AE7">
      <w:tab/>
    </w:r>
    <w:r w:rsidRPr="00B56AE7">
      <w:fldChar w:fldCharType="begin"/>
    </w:r>
    <w:r w:rsidRPr="00B56AE7">
      <w:instrText xml:space="preserve"> PAGE  \* MERGEFORMAT </w:instrText>
    </w:r>
    <w:r w:rsidRPr="00B56AE7">
      <w:fldChar w:fldCharType="separate"/>
    </w:r>
    <w:r w:rsidR="00434026">
      <w:rPr>
        <w:noProof/>
      </w:rPr>
      <w:t>7</w:t>
    </w:r>
    <w:r w:rsidRPr="00B56AE7">
      <w:fldChar w:fldCharType="end"/>
    </w:r>
    <w:r w:rsidRPr="00B56AE7">
      <w:t>/</w:t>
    </w:r>
    <w:fldSimple w:instr=" NUMPAGES  \* MERGEFORMAT ">
      <w:r w:rsidR="00434026">
        <w:rPr>
          <w:noProof/>
        </w:rPr>
        <w:t>7</w:t>
      </w:r>
    </w:fldSimple>
    <w:r w:rsidRPr="00B56AE7">
      <w:tab/>
      <w:t>PE</w:t>
    </w:r>
    <w:r w:rsidRPr="00B56AE7">
      <w:rPr>
        <w:rStyle w:val="HideTWBExt"/>
      </w:rPr>
      <w:t>&lt;NoPE&gt;</w:t>
    </w:r>
    <w:r w:rsidRPr="00B56AE7">
      <w:t>756.199</w:t>
    </w:r>
    <w:r w:rsidRPr="00B56AE7">
      <w:rPr>
        <w:rStyle w:val="HideTWBExt"/>
      </w:rPr>
      <w:t>&lt;/NoPE&gt;&lt;Version&gt;</w:t>
    </w:r>
    <w:r w:rsidRPr="00B56AE7">
      <w:t>v03-00</w:t>
    </w:r>
    <w:r w:rsidRPr="00B56AE7">
      <w:rPr>
        <w:rStyle w:val="HideTWBExt"/>
      </w:rPr>
      <w:t>&lt;/Version&gt;</w:t>
    </w:r>
  </w:p>
  <w:p w:rsidR="002E2F2E" w:rsidRPr="00B56AE7" w:rsidRDefault="00B56AE7" w:rsidP="00B56AE7">
    <w:pPr>
      <w:pStyle w:val="EPFooter2"/>
    </w:pPr>
    <w:r w:rsidRPr="00B56AE7">
      <w:tab/>
    </w:r>
    <w:r w:rsidRPr="00B56AE7">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AE7" w:rsidRPr="00B56AE7" w:rsidRDefault="00B56AE7" w:rsidP="00B56AE7">
    <w:pPr>
      <w:pStyle w:val="EPFooter"/>
    </w:pPr>
    <w:r w:rsidRPr="00B56AE7">
      <w:rPr>
        <w:rStyle w:val="HideTWBExt"/>
      </w:rPr>
      <w:t>&lt;PathFdR&gt;</w:t>
    </w:r>
    <w:r w:rsidRPr="00B56AE7">
      <w:t>AD\1295231EL.docx</w:t>
    </w:r>
    <w:r w:rsidRPr="00B56AE7">
      <w:rPr>
        <w:rStyle w:val="HideTWBExt"/>
      </w:rPr>
      <w:t>&lt;/PathFdR&gt;</w:t>
    </w:r>
    <w:r w:rsidRPr="00B56AE7">
      <w:tab/>
    </w:r>
    <w:r w:rsidRPr="00B56AE7">
      <w:tab/>
      <w:t>PE</w:t>
    </w:r>
    <w:r w:rsidRPr="00B56AE7">
      <w:rPr>
        <w:rStyle w:val="HideTWBExt"/>
      </w:rPr>
      <w:t>&lt;NoPE&gt;</w:t>
    </w:r>
    <w:r w:rsidRPr="00B56AE7">
      <w:t>756.199</w:t>
    </w:r>
    <w:r w:rsidRPr="00B56AE7">
      <w:rPr>
        <w:rStyle w:val="HideTWBExt"/>
      </w:rPr>
      <w:t>&lt;/NoPE&gt;&lt;Version&gt;</w:t>
    </w:r>
    <w:r w:rsidRPr="00B56AE7">
      <w:t>v03-00</w:t>
    </w:r>
    <w:r w:rsidRPr="00B56AE7">
      <w:rPr>
        <w:rStyle w:val="HideTWBExt"/>
      </w:rPr>
      <w:t>&lt;/Version&gt;</w:t>
    </w:r>
  </w:p>
  <w:p w:rsidR="002E2F2E" w:rsidRPr="00B56AE7" w:rsidRDefault="00B56AE7" w:rsidP="00B56AE7">
    <w:pPr>
      <w:pStyle w:val="EPFooter2"/>
    </w:pPr>
    <w:r w:rsidRPr="00B56AE7">
      <w:t>EL</w:t>
    </w:r>
    <w:r w:rsidRPr="00B56AE7">
      <w:tab/>
    </w:r>
    <w:r w:rsidRPr="00B56AE7">
      <w:rPr>
        <w:b w:val="0"/>
        <w:i/>
        <w:color w:val="C0C0C0"/>
        <w:sz w:val="22"/>
      </w:rPr>
      <w:t>Ενωμένη στην πολυμορφία</w:t>
    </w:r>
    <w:r w:rsidRPr="00B56AE7">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56AE7" w:rsidRDefault="00434026">
      <w:r w:rsidRPr="00B56AE7">
        <w:separator/>
      </w:r>
    </w:p>
  </w:footnote>
  <w:footnote w:type="continuationSeparator" w:id="0">
    <w:p w:rsidR="00000000" w:rsidRPr="00B56AE7" w:rsidRDefault="00434026">
      <w:r w:rsidRPr="00B56A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026" w:rsidRDefault="00434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026" w:rsidRDefault="00434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026" w:rsidRDefault="00434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01848 HideTWBInt;}{_x000d__x000a_\s18\ql \fi-567\li567\ri0\sa240\nowidctlpar\wrapdefault\aspalpha\aspnum\faauto\adjustright\rin0\lin567\itap0 \rtlch\fcs1 \af0\afs20\alang1025 \ltrch\fcs0 \fs24\lang2057\langfe2057\cgrid\langnp2057\langfenp2057 _x000d__x000a_\sbasedon0 \snext18 \spriority0 \styrsid3501848 NormalHanging12a;}}{\*\rsidtbl \rsid24658\rsid223860\rsid735077\rsid1718133\rsid2892074\rsid3501848\rsid3565327\rsid4666813\rsid6641733\rsid7823322\rsid9636012\rsid10377208\rsid11215221\rsid11549030_x000d__x000a_\rsid1174712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18}{\revtim\yr2024\mo1\dy22\hr10\min18}{\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018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747120 \chftnsep _x000d__x000a_\par }}{\*\ftnsepc \ltrpar \pard\plain \ltrpar\ql \li0\ri0\widctlpar\wrapdefault\aspalpha\aspnum\faauto\adjustright\rin0\lin0\itap0 \rtlch\fcs1 \af0\afs20\alang1025 \ltrch\fcs0 \fs24\lang2057\langfe2057\cgrid\langnp2057\langfenp2057 {\rtlch\fcs1 \af0 _x000d__x000a_\ltrch\fcs0 \insrsid11747120 \chftnsepc _x000d__x000a_\par }}{\*\aftnsep \ltrpar \pard\plain \ltrpar\ql \li0\ri0\widctlpar\wrapdefault\aspalpha\aspnum\faauto\adjustright\rin0\lin0\itap0 \rtlch\fcs1 \af0\afs20\alang1025 \ltrch\fcs0 \fs24\lang2057\langfe2057\cgrid\langnp2057\langfenp2057 {\rtlch\fcs1 \af0 _x000d__x000a_\ltrch\fcs0 \insrsid11747120 \chftnsep _x000d__x000a_\par }}{\*\aftnsepc \ltrpar \pard\plain \ltrpar\ql \li0\ri0\widctlpar\wrapdefault\aspalpha\aspnum\faauto\adjustright\rin0\lin0\itap0 \rtlch\fcs1 \af0\afs20\alang1025 \ltrch\fcs0 \fs24\lang2057\langfe2057\cgrid\langnp2057\langfenp2057 {\rtlch\fcs1 \af0 _x000d__x000a_\ltrch\fcs0 \insrsid11747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3501848 \rtlch\fcs1 \af0\afs20\alang1025 \ltrch\fcs0 \fs24\lang2057\langfe2057\cgrid\langnp2057\langfenp2057 {\rtlch\fcs1 \af0 _x000d__x000a_\ltrch\fcs0 \insrsid3501848\charrsid13044652 {\*\bkmkstart restart}#}{\rtlch\fcs1 \af1 \ltrch\fcs0 \cs17\v\f1\fs20\cf15\insrsid3501848\charrsid13044652 NRMSG}{\rtlch\fcs1 \af0 \ltrch\fcs0 \insrsid3501848\charrsid13044652 #.\tab ##}{\rtlch\fcs1 \af0 _x000d__x000a_\ltrch\fcs0 \insrsid35018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8_x000d__x000a_6af013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293646 NormalHanging12a;}}{\*\rsidtbl \rsid24658\rsid223860\rsid735077\rsid1718133\rsid2892074\rsid3565327\rsid4666813\rsid5133082\rsid6641733\rsid7823322_x000d__x000a_\rsid9636012\rsid10377208\rsid11215221\rsid11293646\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18}{\revtim\yr2024\mo1\dy22\hr10\min18}{\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3646\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5133082 \chftnsep _x000d__x000a_\par }}{\*\ftnsepc \ltrpar \pard\plain \ltrpar\ql \li0\ri0\widctlpar\wrapdefault\aspalpha\aspnum\faauto\adjustright\rin0\lin0\itap0 \rtlch\fcs1 \af0\afs20\alang1025 \ltrch\fcs0 \fs24\lang2057\langfe2057\cgrid\langnp2057\langfenp2057 {\rtlch\fcs1 \af0 _x000d__x000a_\ltrch\fcs0 \insrsid5133082 \chftnsepc _x000d__x000a_\par }}{\*\aftnsep \ltrpar \pard\plain \ltrpar\ql \li0\ri0\widctlpar\wrapdefault\aspalpha\aspnum\faauto\adjustright\rin0\lin0\itap0 \rtlch\fcs1 \af0\afs20\alang1025 \ltrch\fcs0 \fs24\lang2057\langfe2057\cgrid\langnp2057\langfenp2057 {\rtlch\fcs1 \af0 _x000d__x000a_\ltrch\fcs0 \insrsid5133082 \chftnsep _x000d__x000a_\par }}{\*\aftnsepc \ltrpar \pard\plain \ltrpar\ql \li0\ri0\widctlpar\wrapdefault\aspalpha\aspnum\faauto\adjustright\rin0\lin0\itap0 \rtlch\fcs1 \af0\afs20\alang1025 \ltrch\fcs0 \fs24\lang2057\langfe2057\cgrid\langnp2057\langfenp2057 {\rtlch\fcs1 \af0 _x000d__x000a_\ltrch\fcs0 \insrsid51330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293646 \rtlch\fcs1 \af0\afs20\alang1025 \ltrch\fcs0 \fs24\lang2057\langfe2057\cgrid\langnp2057\langfenp2057 {\rtlch\fcs1 \af0 _x000d__x000a_\ltrch\fcs0 \insrsid11293646\charrsid1525456 {\*\bkmkstart restart}[ZSUGGESTIONNR]\tab [ZSUGGESTIONTEXT]}{\rtlch\fcs1 \af0 \ltrch\fcs0 \insrsid1129364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f_x000d__x000a_11f313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9"/>
    <w:docVar w:name="TXTNRPROC" w:val="2023/2168"/>
    <w:docVar w:name="TXTPEorAP" w:val="PE"/>
    <w:docVar w:name="TXTROUTE" w:val="AD\1295231EN.docx"/>
    <w:docVar w:name="TXTTITLE" w:val="of the European Union Agency for Criminal Justice Cooperation (Eurojust) for the financial year 2022"/>
    <w:docVar w:name="TXTVERSION" w:val="03-00"/>
  </w:docVars>
  <w:rsids>
    <w:rsidRoot w:val="00603114"/>
    <w:rsid w:val="0002131B"/>
    <w:rsid w:val="00037518"/>
    <w:rsid w:val="000E5BA4"/>
    <w:rsid w:val="000E7EBF"/>
    <w:rsid w:val="00124F60"/>
    <w:rsid w:val="00135121"/>
    <w:rsid w:val="00140BE6"/>
    <w:rsid w:val="00147F4E"/>
    <w:rsid w:val="00147FBF"/>
    <w:rsid w:val="00163FEA"/>
    <w:rsid w:val="0016635E"/>
    <w:rsid w:val="001746D0"/>
    <w:rsid w:val="00187B3E"/>
    <w:rsid w:val="00196F8C"/>
    <w:rsid w:val="001B7393"/>
    <w:rsid w:val="001D2ED9"/>
    <w:rsid w:val="001F21C1"/>
    <w:rsid w:val="00207509"/>
    <w:rsid w:val="0025230A"/>
    <w:rsid w:val="002B2C72"/>
    <w:rsid w:val="002D28A7"/>
    <w:rsid w:val="002E2F2E"/>
    <w:rsid w:val="002E6F98"/>
    <w:rsid w:val="003210FC"/>
    <w:rsid w:val="00324866"/>
    <w:rsid w:val="00325BCB"/>
    <w:rsid w:val="00331944"/>
    <w:rsid w:val="00332AD9"/>
    <w:rsid w:val="00347D2C"/>
    <w:rsid w:val="003559F2"/>
    <w:rsid w:val="0037356F"/>
    <w:rsid w:val="003858C5"/>
    <w:rsid w:val="00390EB2"/>
    <w:rsid w:val="00396A0E"/>
    <w:rsid w:val="003E2402"/>
    <w:rsid w:val="00434026"/>
    <w:rsid w:val="004607D0"/>
    <w:rsid w:val="00463D09"/>
    <w:rsid w:val="004C28FB"/>
    <w:rsid w:val="004C44C0"/>
    <w:rsid w:val="004E1B62"/>
    <w:rsid w:val="0052544E"/>
    <w:rsid w:val="005940C3"/>
    <w:rsid w:val="00594C48"/>
    <w:rsid w:val="005B2F11"/>
    <w:rsid w:val="005C0BDF"/>
    <w:rsid w:val="005D60C6"/>
    <w:rsid w:val="00603114"/>
    <w:rsid w:val="006102E7"/>
    <w:rsid w:val="00640C1B"/>
    <w:rsid w:val="00657AFB"/>
    <w:rsid w:val="006D5BF7"/>
    <w:rsid w:val="00720390"/>
    <w:rsid w:val="007B0A3A"/>
    <w:rsid w:val="007C5BF1"/>
    <w:rsid w:val="008313E7"/>
    <w:rsid w:val="00854CAC"/>
    <w:rsid w:val="00855820"/>
    <w:rsid w:val="008A32C5"/>
    <w:rsid w:val="008C6203"/>
    <w:rsid w:val="008D61E7"/>
    <w:rsid w:val="008F7002"/>
    <w:rsid w:val="0099493F"/>
    <w:rsid w:val="00A16BEA"/>
    <w:rsid w:val="00A312B3"/>
    <w:rsid w:val="00A72C35"/>
    <w:rsid w:val="00AD5932"/>
    <w:rsid w:val="00AE0E8E"/>
    <w:rsid w:val="00AE180F"/>
    <w:rsid w:val="00B362F7"/>
    <w:rsid w:val="00B5456B"/>
    <w:rsid w:val="00B56AE7"/>
    <w:rsid w:val="00B735E3"/>
    <w:rsid w:val="00B74B53"/>
    <w:rsid w:val="00BC26E4"/>
    <w:rsid w:val="00BD1EAA"/>
    <w:rsid w:val="00C52739"/>
    <w:rsid w:val="00C67A4F"/>
    <w:rsid w:val="00C827FF"/>
    <w:rsid w:val="00C85D0F"/>
    <w:rsid w:val="00CD34AC"/>
    <w:rsid w:val="00CF0C3B"/>
    <w:rsid w:val="00D835D3"/>
    <w:rsid w:val="00D86729"/>
    <w:rsid w:val="00D92654"/>
    <w:rsid w:val="00DE19FF"/>
    <w:rsid w:val="00E23510"/>
    <w:rsid w:val="00E70AB1"/>
    <w:rsid w:val="00E81BA6"/>
    <w:rsid w:val="00E856D2"/>
    <w:rsid w:val="00E929A7"/>
    <w:rsid w:val="00EA3344"/>
    <w:rsid w:val="00F83A84"/>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47BFFC-A629-434B-BDDB-130F6720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324866"/>
    <w:pPr>
      <w:tabs>
        <w:tab w:val="center" w:pos="4513"/>
        <w:tab w:val="right" w:pos="9026"/>
      </w:tabs>
    </w:pPr>
  </w:style>
  <w:style w:type="character" w:customStyle="1" w:styleId="FooterChar">
    <w:name w:val="Footer Char"/>
    <w:basedOn w:val="DefaultParagraphFont"/>
    <w:link w:val="Footer"/>
    <w:semiHidden/>
    <w:rsid w:val="00324866"/>
    <w:rPr>
      <w:sz w:val="24"/>
    </w:rPr>
  </w:style>
  <w:style w:type="paragraph" w:styleId="BalloonText">
    <w:name w:val="Balloon Text"/>
    <w:basedOn w:val="Normal"/>
    <w:link w:val="BalloonTextChar"/>
    <w:semiHidden/>
    <w:unhideWhenUsed/>
    <w:rsid w:val="00D86729"/>
    <w:rPr>
      <w:rFonts w:ascii="Segoe UI" w:hAnsi="Segoe UI" w:cs="Segoe UI"/>
      <w:sz w:val="18"/>
      <w:szCs w:val="18"/>
    </w:rPr>
  </w:style>
  <w:style w:type="character" w:customStyle="1" w:styleId="BalloonTextChar">
    <w:name w:val="Balloon Text Char"/>
    <w:basedOn w:val="DefaultParagraphFont"/>
    <w:link w:val="BalloonText"/>
    <w:semiHidden/>
    <w:rsid w:val="00D86729"/>
    <w:rPr>
      <w:rFonts w:ascii="Segoe UI" w:hAnsi="Segoe UI" w:cs="Segoe UI"/>
      <w:sz w:val="18"/>
      <w:szCs w:val="18"/>
    </w:rPr>
  </w:style>
  <w:style w:type="paragraph" w:customStyle="1" w:styleId="RollCallSymbols14pt">
    <w:name w:val="RollCallSymbols14pt"/>
    <w:basedOn w:val="Normal"/>
    <w:rsid w:val="008558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55820"/>
    <w:pPr>
      <w:tabs>
        <w:tab w:val="center" w:pos="284"/>
        <w:tab w:val="left" w:pos="426"/>
      </w:tabs>
    </w:pPr>
    <w:rPr>
      <w:snapToGrid w:val="0"/>
      <w:lang w:eastAsia="en-US"/>
    </w:rPr>
  </w:style>
  <w:style w:type="paragraph" w:customStyle="1" w:styleId="RollCallVotes">
    <w:name w:val="RollCallVotes"/>
    <w:basedOn w:val="Normal"/>
    <w:rsid w:val="00855820"/>
    <w:pPr>
      <w:spacing w:before="120" w:after="120"/>
      <w:jc w:val="center"/>
    </w:pPr>
    <w:rPr>
      <w:b/>
      <w:bCs/>
      <w:snapToGrid w:val="0"/>
      <w:sz w:val="16"/>
      <w:lang w:eastAsia="en-US"/>
    </w:rPr>
  </w:style>
  <w:style w:type="paragraph" w:customStyle="1" w:styleId="RollCallTable">
    <w:name w:val="RollCallTable"/>
    <w:basedOn w:val="Normal"/>
    <w:rsid w:val="00855820"/>
    <w:pPr>
      <w:spacing w:before="120" w:after="120"/>
    </w:pPr>
    <w:rPr>
      <w:snapToGrid w:val="0"/>
      <w:sz w:val="16"/>
      <w:lang w:eastAsia="en-US"/>
    </w:rPr>
  </w:style>
  <w:style w:type="paragraph" w:customStyle="1" w:styleId="Normal24a">
    <w:name w:val="Normal24a"/>
    <w:basedOn w:val="Normal"/>
    <w:rsid w:val="000E5BA4"/>
    <w:pPr>
      <w:spacing w:after="480"/>
    </w:pPr>
  </w:style>
  <w:style w:type="paragraph" w:customStyle="1" w:styleId="NormalBoldCenter">
    <w:name w:val="NormalBoldCenter"/>
    <w:basedOn w:val="Normal"/>
    <w:rsid w:val="000E5BA4"/>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1068</Words>
  <Characters>6510</Characters>
  <Application>Microsoft Office Word</Application>
  <DocSecurity>0</DocSecurity>
  <Lines>173</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2024-02-08T13:14:00Z</dcterms:created>
  <dcterms:modified xsi:type="dcterms:W3CDTF">2024-02-08T13:14:00Z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1295231</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AD\1295231EL.docx</vt:lpwstr>
  </property>
  <property fmtid="{D5CDD505-2E9C-101B-9397-08002B2CF9AE}" pid="10" name="LastEdited with">
    <vt:lpwstr>9.17.1 Build [20240101]</vt:lpwstr>
  </property>
  <property fmtid="{D5CDD505-2E9C-101B-9397-08002B2CF9AE}" pid="11" name="PE number">
    <vt:lpwstr>756.199</vt:lpwstr>
  </property>
  <property fmtid="{D5CDD505-2E9C-101B-9397-08002B2CF9AE}" pid="12" name="SDLStudio">
    <vt:lpwstr/>
  </property>
  <property fmtid="{D5CDD505-2E9C-101B-9397-08002B2CF9AE}" pid="13" name="SendToEpades">
    <vt:lpwstr>OK - 2024/01/25 14:10</vt:lpwstr>
  </property>
  <property fmtid="{D5CDD505-2E9C-101B-9397-08002B2CF9AE}" pid="14" name="Bookout">
    <vt:lpwstr>OK - 2024/02/08 14:14</vt:lpwstr>
  </property>
</Properties>
</file>