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F6086E" w:rsidTr="00C85D0F">
        <w:trPr>
          <w:trHeight w:hRule="exact" w:val="1418"/>
        </w:trPr>
        <w:tc>
          <w:tcPr>
            <w:tcW w:w="6804" w:type="dxa"/>
            <w:shd w:val="clear" w:color="auto" w:fill="auto"/>
            <w:vAlign w:val="center"/>
          </w:tcPr>
          <w:p w:rsidR="00854CAC" w:rsidRPr="00F6086E" w:rsidRDefault="00F6086E" w:rsidP="00C85D0F">
            <w:pPr>
              <w:pStyle w:val="EPName"/>
            </w:pPr>
            <w:bookmarkStart w:id="0" w:name="_GoBack"/>
            <w:bookmarkEnd w:id="0"/>
            <w:r>
              <w:t>Parlamento europeo</w:t>
            </w:r>
          </w:p>
          <w:p w:rsidR="00854CAC" w:rsidRPr="00910A21" w:rsidRDefault="00910A21" w:rsidP="00910A21">
            <w:pPr>
              <w:pStyle w:val="EPTerm"/>
            </w:pPr>
            <w:r>
              <w:t>2019-2024</w:t>
            </w:r>
          </w:p>
        </w:tc>
        <w:tc>
          <w:tcPr>
            <w:tcW w:w="2268" w:type="dxa"/>
            <w:shd w:val="clear" w:color="auto" w:fill="auto"/>
          </w:tcPr>
          <w:p w:rsidR="00854CAC" w:rsidRPr="00F6086E" w:rsidRDefault="00854CAC" w:rsidP="00C85D0F">
            <w:pPr>
              <w:pStyle w:val="EPLogo"/>
            </w:pPr>
            <w:r w:rsidRPr="00F6086E">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F6086E" w:rsidRDefault="001746D0" w:rsidP="001746D0">
      <w:pPr>
        <w:pStyle w:val="LineTop"/>
      </w:pPr>
    </w:p>
    <w:p w:rsidR="001746D0" w:rsidRPr="00F6086E" w:rsidRDefault="001746D0" w:rsidP="001746D0">
      <w:pPr>
        <w:pStyle w:val="EPBody"/>
      </w:pPr>
      <w:r>
        <w:rPr>
          <w:rStyle w:val="HideTWBExt"/>
        </w:rPr>
        <w:t>&lt;</w:t>
      </w:r>
      <w:r>
        <w:rPr>
          <w:rStyle w:val="HideTWBExt"/>
          <w:i w:val="0"/>
        </w:rPr>
        <w:t>Commission</w:t>
      </w:r>
      <w:r>
        <w:rPr>
          <w:rStyle w:val="HideTWBExt"/>
        </w:rPr>
        <w:t>&gt;</w:t>
      </w:r>
      <w:r>
        <w:rPr>
          <w:rStyle w:val="HideTWBInt"/>
        </w:rPr>
        <w:t>{LIBE}</w:t>
      </w:r>
      <w:r>
        <w:t>Commissione per le libertà civili, la giustizia e gli affari interni</w:t>
      </w:r>
      <w:r>
        <w:rPr>
          <w:rStyle w:val="HideTWBExt"/>
        </w:rPr>
        <w:t>&lt;/</w:t>
      </w:r>
      <w:r>
        <w:rPr>
          <w:rStyle w:val="HideTWBExt"/>
          <w:i w:val="0"/>
        </w:rPr>
        <w:t>Commission</w:t>
      </w:r>
      <w:r>
        <w:rPr>
          <w:rStyle w:val="HideTWBExt"/>
        </w:rPr>
        <w:t>&gt;</w:t>
      </w:r>
    </w:p>
    <w:p w:rsidR="001746D0" w:rsidRPr="00F6086E" w:rsidRDefault="001746D0" w:rsidP="001746D0">
      <w:pPr>
        <w:pStyle w:val="LineBottom"/>
      </w:pPr>
    </w:p>
    <w:p w:rsidR="002E2F2E" w:rsidRPr="00F6086E" w:rsidRDefault="002E2F2E">
      <w:pPr>
        <w:pStyle w:val="CoverReference"/>
      </w:pPr>
      <w:r>
        <w:rPr>
          <w:rStyle w:val="HideTWBExt"/>
          <w:b w:val="0"/>
        </w:rPr>
        <w:t>&lt;RefProc&gt;</w:t>
      </w:r>
      <w:r>
        <w:t>2023/2168</w:t>
      </w:r>
      <w:r>
        <w:rPr>
          <w:rStyle w:val="HideTWBExt"/>
          <w:b w:val="0"/>
        </w:rPr>
        <w:t>&lt;/RefProc&gt;&lt;RefTypeProc&gt;</w:t>
      </w:r>
      <w:r>
        <w:t>(DEC)</w:t>
      </w:r>
      <w:r>
        <w:rPr>
          <w:rStyle w:val="HideTWBExt"/>
          <w:b w:val="0"/>
        </w:rPr>
        <w:t>&lt;/RefTypeProc&gt;</w:t>
      </w:r>
    </w:p>
    <w:p w:rsidR="002E2F2E" w:rsidRPr="00C92581" w:rsidRDefault="002E2F2E">
      <w:pPr>
        <w:pStyle w:val="CoverDate"/>
        <w:rPr>
          <w:lang w:val="fr-FR"/>
        </w:rPr>
      </w:pPr>
      <w:r w:rsidRPr="00C92581">
        <w:rPr>
          <w:rStyle w:val="HideTWBExt"/>
          <w:lang w:val="fr-FR"/>
        </w:rPr>
        <w:t>&lt;Date&gt;</w:t>
      </w:r>
      <w:r w:rsidRPr="00C92581">
        <w:rPr>
          <w:rStyle w:val="HideTWBInt"/>
          <w:lang w:val="fr-FR"/>
        </w:rPr>
        <w:t>{24/01/2024}</w:t>
      </w:r>
      <w:r w:rsidRPr="00C92581">
        <w:rPr>
          <w:lang w:val="fr-FR"/>
        </w:rPr>
        <w:t>24.1.2024</w:t>
      </w:r>
      <w:r w:rsidRPr="00C92581">
        <w:rPr>
          <w:rStyle w:val="HideTWBExt"/>
          <w:lang w:val="fr-FR"/>
        </w:rPr>
        <w:t>&lt;/Date&gt;</w:t>
      </w:r>
    </w:p>
    <w:p w:rsidR="002E2F2E" w:rsidRPr="00C92581" w:rsidRDefault="002E2F2E">
      <w:pPr>
        <w:pStyle w:val="CoverDocType24a"/>
        <w:rPr>
          <w:lang w:val="fr-FR"/>
        </w:rPr>
      </w:pPr>
      <w:r w:rsidRPr="00C92581">
        <w:rPr>
          <w:rStyle w:val="HideTWBExt"/>
          <w:b w:val="0"/>
          <w:lang w:val="fr-FR"/>
        </w:rPr>
        <w:t>&lt;TitreType&gt;</w:t>
      </w:r>
      <w:r w:rsidRPr="00C92581">
        <w:rPr>
          <w:lang w:val="fr-FR"/>
        </w:rPr>
        <w:t>PARERE</w:t>
      </w:r>
      <w:r w:rsidRPr="00C92581">
        <w:rPr>
          <w:rStyle w:val="HideTWBExt"/>
          <w:b w:val="0"/>
          <w:lang w:val="fr-FR"/>
        </w:rPr>
        <w:t>&lt;/TitreType&gt;</w:t>
      </w:r>
    </w:p>
    <w:p w:rsidR="002E2F2E" w:rsidRPr="00F6086E" w:rsidRDefault="002E2F2E">
      <w:pPr>
        <w:pStyle w:val="CoverNormal24a"/>
      </w:pPr>
      <w:r>
        <w:rPr>
          <w:rStyle w:val="HideTWBExt"/>
        </w:rPr>
        <w:t>&lt;CommissionResp&gt;</w:t>
      </w:r>
      <w:r>
        <w:t>della commissione per le libertà civili, la giustizia e gli affari interni</w:t>
      </w:r>
      <w:r>
        <w:rPr>
          <w:rStyle w:val="HideTWBExt"/>
        </w:rPr>
        <w:t>&lt;/CommissionResp&gt;</w:t>
      </w:r>
    </w:p>
    <w:p w:rsidR="002E2F2E" w:rsidRPr="00F6086E" w:rsidRDefault="002E2F2E">
      <w:pPr>
        <w:pStyle w:val="CoverNormal24a"/>
      </w:pPr>
      <w:r>
        <w:rPr>
          <w:rStyle w:val="HideTWBExt"/>
        </w:rPr>
        <w:t>&lt;CommissionInt&gt;</w:t>
      </w:r>
      <w:r>
        <w:t>destinato alla commissione per il controllo dei bilanci</w:t>
      </w:r>
      <w:r>
        <w:rPr>
          <w:rStyle w:val="HideTWBExt"/>
        </w:rPr>
        <w:t>&lt;/CommissionInt&gt;</w:t>
      </w:r>
    </w:p>
    <w:p w:rsidR="002E2F2E" w:rsidRPr="00F6086E" w:rsidRDefault="002E2F2E">
      <w:pPr>
        <w:pStyle w:val="CoverNormal"/>
      </w:pPr>
      <w:r>
        <w:rPr>
          <w:rStyle w:val="HideTWBExt"/>
        </w:rPr>
        <w:t>&lt;Titre&gt;</w:t>
      </w:r>
      <w:r>
        <w:t>sul discarico per l'esecuzione del bilancio dell'Agenzia dell'Unione europea per la cooperazione giudiziaria penale (Eurojust) per l'esercizio 2022</w:t>
      </w:r>
      <w:r>
        <w:rPr>
          <w:rStyle w:val="HideTWBExt"/>
        </w:rPr>
        <w:t>&lt;/Titre&gt;</w:t>
      </w:r>
    </w:p>
    <w:p w:rsidR="002E2F2E" w:rsidRPr="00F6086E" w:rsidRDefault="002E2F2E">
      <w:pPr>
        <w:pStyle w:val="CoverNormal24a"/>
      </w:pPr>
      <w:r>
        <w:rPr>
          <w:rStyle w:val="HideTWBExt"/>
        </w:rPr>
        <w:t>&lt;DocRef&gt;</w:t>
      </w:r>
      <w:r>
        <w:t>(2023/2168(DEC))</w:t>
      </w:r>
      <w:r>
        <w:rPr>
          <w:rStyle w:val="HideTWBExt"/>
        </w:rPr>
        <w:t>&lt;/DocRef&gt;</w:t>
      </w:r>
    </w:p>
    <w:p w:rsidR="002E2F2E" w:rsidRPr="00F6086E" w:rsidRDefault="00910A21">
      <w:pPr>
        <w:pStyle w:val="CoverNormal24a"/>
      </w:pPr>
      <w:r>
        <w:t xml:space="preserve">Relatore per parere: </w:t>
      </w:r>
      <w:r>
        <w:rPr>
          <w:rStyle w:val="HideTWBExt"/>
        </w:rPr>
        <w:t>&lt;Depute&gt;</w:t>
      </w:r>
      <w:r>
        <w:t>Tomáš Zdechovský</w:t>
      </w:r>
      <w:r>
        <w:rPr>
          <w:rStyle w:val="HideTWBExt"/>
        </w:rPr>
        <w:t>&lt;/Depute&gt;</w:t>
      </w:r>
    </w:p>
    <w:p w:rsidR="00A72C35" w:rsidRPr="00F6086E" w:rsidRDefault="00A72C35" w:rsidP="00A72C35">
      <w:pPr>
        <w:pStyle w:val="CoverNormal"/>
      </w:pPr>
    </w:p>
    <w:p w:rsidR="002E2F2E" w:rsidRPr="00F6086E" w:rsidRDefault="002E2F2E" w:rsidP="00E856D2">
      <w:pPr>
        <w:widowControl/>
        <w:tabs>
          <w:tab w:val="center" w:pos="4677"/>
        </w:tabs>
      </w:pPr>
      <w:r>
        <w:br w:type="page"/>
      </w:r>
      <w:r>
        <w:lastRenderedPageBreak/>
        <w:t>PA_NonLeg</w:t>
      </w:r>
    </w:p>
    <w:p w:rsidR="002E2F2E" w:rsidRPr="00F6086E" w:rsidRDefault="002E2F2E">
      <w:pPr>
        <w:pStyle w:val="PageHeadingNotTOC"/>
      </w:pPr>
      <w:r>
        <w:br w:type="page"/>
      </w:r>
      <w:r>
        <w:lastRenderedPageBreak/>
        <w:t>SUGGERIMENTI</w:t>
      </w:r>
    </w:p>
    <w:p w:rsidR="002E2F2E" w:rsidRPr="00F6086E" w:rsidRDefault="00F6086E" w:rsidP="008313E7">
      <w:pPr>
        <w:pStyle w:val="Normal12a"/>
      </w:pPr>
      <w:r>
        <w:t>La commissione per le libertà civili, la giustizia e gli affari interni invita la commissione per il controllo dei bilanci, competente per il merito, a includere nella proposta di risoluzione che approverà i seguenti suggerimenti:</w:t>
      </w:r>
    </w:p>
    <w:p w:rsidR="00742D86" w:rsidRPr="003559F2" w:rsidRDefault="00742D86" w:rsidP="00742D86">
      <w:pPr>
        <w:pStyle w:val="NormalHanging12a"/>
        <w:jc w:val="both"/>
      </w:pPr>
      <w:bookmarkStart w:id="1" w:name="restart"/>
      <w:r>
        <w:t>1.</w:t>
      </w:r>
      <w:r>
        <w:tab/>
        <w:t>si compiace del fatto che la Corte dei conti (la "Corte") abbia dichiarato legittime e regolari sotto tutti gli aspetti rilevanti le operazioni sottostanti i conti annuali dell'Agenzia dell'Unione europea per la cooperazione giudiziaria penale (Eurojust) per l'esercizio 2022;</w:t>
      </w:r>
    </w:p>
    <w:bookmarkEnd w:id="1"/>
    <w:p w:rsidR="00742D86" w:rsidRPr="003559F2" w:rsidRDefault="00742D86" w:rsidP="00742D86">
      <w:pPr>
        <w:pStyle w:val="NormalHanging12a"/>
        <w:jc w:val="both"/>
      </w:pPr>
      <w:r>
        <w:t>2.</w:t>
      </w:r>
      <w:r>
        <w:tab/>
        <w:t>prende atto di un'osservazione pendente dal 2020 sulla legittimità e regolarità delle transazioni basate sulla firma di un contratto quadro con un'unica società per il leasing di veicoli, che ha comportato un pagamento irregolare di 59 281 EUR per il periodo di riferimento; osserva che il contratto scadrà nel 2024 e che eventuali contratti specifici successivi sono stati redatti nell'ambito di tale contratto quadro; invita Eurojust a tenere pienamente conto di tale osservazione, attuando tutte le raccomandazioni della Corte e a riferire all'autorità di discarico in merito ai progressi compiuti;</w:t>
      </w:r>
    </w:p>
    <w:p w:rsidR="00742D86" w:rsidRPr="003559F2" w:rsidRDefault="00742D86" w:rsidP="00742D86">
      <w:pPr>
        <w:pStyle w:val="NormalHanging12a"/>
        <w:jc w:val="both"/>
      </w:pPr>
      <w:r>
        <w:t>3.</w:t>
      </w:r>
      <w:r>
        <w:tab/>
        <w:t>prende atto inoltre dell'osservazione della Corte secondo cui Eurojust non ha rispettato le scadenze dei termini per i pagamenti di cui all'articolo 116 del regolamento finanziario; prende atto della risposta di Eurojust che ha dovuto affrontare un periodo di adeguamento a un nuovo sistema finanziario e di bilancio SUMMA in fase pilota, che ha causato ritardi e difficoltà tecniche nel trattamento delle transazioni; ricorda che i riporti di Eurojust sono notevolmente inferiori ai livelli di soglia;</w:t>
      </w:r>
    </w:p>
    <w:p w:rsidR="00742D86" w:rsidRPr="003559F2" w:rsidRDefault="00742D86" w:rsidP="00742D86">
      <w:pPr>
        <w:pStyle w:val="NormalHanging12a"/>
        <w:jc w:val="both"/>
      </w:pPr>
      <w:r>
        <w:t>4.</w:t>
      </w:r>
      <w:r>
        <w:tab/>
        <w:t xml:space="preserve">accoglie con favore il fatto che l'attività operativa svolta da Eurojust sia in costante aumento, del 14 % nel 2022, che siano state organizzate 528 riunioni di coordinamento e 22 centri di coordinamento, e che Eurojust abbia sostenuto 265 squadre investigative comuni, abbia agevolato l'esecuzione di 1 262 mandati d'arresto europei e reso possibile il ricorso a 5 415 ordini europei d'indagine; osserva che i casi trattati da Eurojust nel 2022 hanno coinvolto più del triplo del numero di vittime rispetto al 2021; </w:t>
      </w:r>
    </w:p>
    <w:p w:rsidR="00742D86" w:rsidRPr="003559F2" w:rsidRDefault="00742D86" w:rsidP="00742D86">
      <w:pPr>
        <w:pStyle w:val="NormalHanging12a"/>
        <w:jc w:val="both"/>
      </w:pPr>
      <w:r>
        <w:t>5.</w:t>
      </w:r>
      <w:r>
        <w:tab/>
        <w:t>apprezza la cooperazione transnazionale tra le autorità giudiziarie agevolata da Eurojust e la stretta cooperazione con tutti gli attori della filiera della giustizia penale, che ha contribuito all'arresto di oltre 4 000 sospettati, al sequestro e/o al congelamento dei proventi di reato per un valore di quasi 3 miliardi di EUR e al sequestro di stupefacenti per un valore di quasi 12 miliardi di EUR;</w:t>
      </w:r>
    </w:p>
    <w:p w:rsidR="00742D86" w:rsidRPr="003559F2" w:rsidRDefault="00742D86" w:rsidP="00742D86">
      <w:pPr>
        <w:pStyle w:val="NormalHanging12a"/>
        <w:jc w:val="both"/>
      </w:pPr>
      <w:r>
        <w:t>6.</w:t>
      </w:r>
      <w:r>
        <w:tab/>
        <w:t>prende atto della risposta rapida all'invasione russa dell'Ucraina, il fatto che il mandato di Eurojust sia stato esteso al fine di includere la preservazione, l'analisi e la conservazione delle prove relative ai principali reati internazionali e la creazione di una banca dati giudiziaria per raccogliere e analizzare le prove dei principali reati internazionali;</w:t>
      </w:r>
    </w:p>
    <w:p w:rsidR="00742D86" w:rsidRPr="003559F2" w:rsidRDefault="00742D86" w:rsidP="00742D86">
      <w:pPr>
        <w:pStyle w:val="NormalHanging12a"/>
        <w:jc w:val="both"/>
      </w:pPr>
      <w:r>
        <w:t>7.</w:t>
      </w:r>
      <w:r>
        <w:tab/>
        <w:t xml:space="preserve">accoglie con favore gli sforzi di Eurojust volti a sostenere la digitalizzazione della giustizia e l'attuazione del nuovo sistema automatico di gestione dei fascicoli di Eurojust; </w:t>
      </w:r>
    </w:p>
    <w:p w:rsidR="00742D86" w:rsidRPr="003559F2" w:rsidRDefault="00742D86" w:rsidP="00742D86">
      <w:pPr>
        <w:pStyle w:val="NormalHanging12a"/>
        <w:ind w:left="560" w:hanging="560"/>
      </w:pPr>
      <w:r>
        <w:t>8.</w:t>
      </w:r>
      <w:r>
        <w:tab/>
        <w:t xml:space="preserve">accoglie con favore la regolare cooperazione tra Eurojust e altre agenzie che operano nel </w:t>
      </w:r>
      <w:r>
        <w:lastRenderedPageBreak/>
        <w:t>settore della giustizia e affari interni, così come con altre parti interessate; i 14 casi avviati che coinvolgono la Procura europea (EPPO), e la stretta cooperazione con l'Ufficio europeo per la lotta antifrode (OLAF), l'Agenzia dell'Unione europea per la cooperazione nell'attività di contrasto (Europol) e il Garante europeo della protezione dei dati (GEPD), eu-LISA, nonché il fatto che Eurojust continui a cooperare con la rete giudiziaria europea (RGE) portando a 44 il numero di casi deferiti all'RGE nel 2021; accoglie inoltre con favore l'aumento dei punti di contatto di Eurojust in oltre 60 paesi.</w:t>
      </w:r>
    </w:p>
    <w:p w:rsidR="00742D86" w:rsidRDefault="00742D86" w:rsidP="00CF4F72">
      <w:pPr>
        <w:sectPr w:rsidR="00742D86" w:rsidSect="00742D8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F4F72" w:rsidRPr="00CF4F72" w:rsidRDefault="00CF4F72" w:rsidP="00CF4F72"/>
    <w:p w:rsidR="00CF4F72" w:rsidRDefault="00CF4F72" w:rsidP="00CF4F72">
      <w:pPr>
        <w:pStyle w:val="PageHeadingNotTOC"/>
      </w:pPr>
      <w:bookmarkStart w:id="2" w:name="ProcPageAD"/>
      <w:r>
        <w:t>INFORMAZIONI SULL’APPROVAZIONE</w:t>
      </w:r>
      <w:r>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F4F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F4F72" w:rsidRDefault="00CF4F72">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F4F72" w:rsidRDefault="00CF4F7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F4F72" w:rsidRDefault="00CF4F7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rFonts w:ascii="sans-serif" w:hAnsi="sans-serif" w:cs="sans-serif"/>
                <w:color w:val="000000"/>
                <w:szCs w:val="24"/>
              </w:rPr>
            </w:pPr>
          </w:p>
        </w:tc>
      </w:tr>
      <w:tr w:rsidR="00CF4F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F4F72" w:rsidRDefault="00CF4F72">
            <w:pPr>
              <w:autoSpaceDE w:val="0"/>
              <w:autoSpaceDN w:val="0"/>
              <w:adjustRightInd w:val="0"/>
              <w:rPr>
                <w:color w:val="000000"/>
                <w:sz w:val="20"/>
              </w:rPr>
            </w:pPr>
            <w:r>
              <w:rPr>
                <w:color w:val="000000"/>
                <w:sz w:val="20"/>
              </w:rPr>
              <w:t>+:</w:t>
            </w:r>
          </w:p>
          <w:p w:rsidR="00CF4F72" w:rsidRDefault="00CF4F72">
            <w:pPr>
              <w:autoSpaceDE w:val="0"/>
              <w:autoSpaceDN w:val="0"/>
              <w:adjustRightInd w:val="0"/>
              <w:rPr>
                <w:color w:val="000000"/>
                <w:sz w:val="20"/>
              </w:rPr>
            </w:pPr>
            <w:r>
              <w:rPr>
                <w:color w:val="000000"/>
                <w:sz w:val="20"/>
              </w:rPr>
              <w:t>–:</w:t>
            </w:r>
          </w:p>
          <w:p w:rsidR="00CF4F72" w:rsidRDefault="00CF4F7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color w:val="000000"/>
                <w:sz w:val="20"/>
              </w:rPr>
            </w:pPr>
            <w:r>
              <w:rPr>
                <w:color w:val="000000"/>
                <w:sz w:val="20"/>
              </w:rPr>
              <w:t>51</w:t>
            </w:r>
          </w:p>
          <w:p w:rsidR="00CF4F72" w:rsidRDefault="00CF4F72">
            <w:pPr>
              <w:autoSpaceDE w:val="0"/>
              <w:autoSpaceDN w:val="0"/>
              <w:adjustRightInd w:val="0"/>
              <w:rPr>
                <w:color w:val="000000"/>
                <w:sz w:val="20"/>
              </w:rPr>
            </w:pPr>
            <w:r>
              <w:rPr>
                <w:color w:val="000000"/>
                <w:sz w:val="20"/>
              </w:rPr>
              <w:t>2</w:t>
            </w:r>
          </w:p>
          <w:p w:rsidR="00CF4F72" w:rsidRDefault="00CF4F72">
            <w:pPr>
              <w:autoSpaceDE w:val="0"/>
              <w:autoSpaceDN w:val="0"/>
              <w:adjustRightInd w:val="0"/>
              <w:rPr>
                <w:color w:val="000000"/>
                <w:sz w:val="20"/>
              </w:rPr>
            </w:pPr>
            <w:r>
              <w:rPr>
                <w:color w:val="000000"/>
                <w:sz w:val="20"/>
              </w:rPr>
              <w:t>2</w:t>
            </w:r>
          </w:p>
        </w:tc>
      </w:tr>
      <w:tr w:rsidR="00CF4F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b/>
                <w:bCs/>
                <w:color w:val="000000"/>
                <w:sz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Milan Uhrík, Tom Vandendriessche, Elissavet Vozemberg-Vrionidi, Elena Yoncheva, Javier Zarzalejos</w:t>
            </w:r>
          </w:p>
        </w:tc>
      </w:tr>
      <w:tr w:rsidR="00CF4F7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b/>
                <w:bCs/>
                <w:color w:val="000000"/>
                <w:sz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CF4F72" w:rsidRPr="00C925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F4F72" w:rsidRDefault="00CF4F72">
            <w:pPr>
              <w:autoSpaceDE w:val="0"/>
              <w:autoSpaceDN w:val="0"/>
              <w:adjustRightInd w:val="0"/>
              <w:rPr>
                <w:b/>
                <w:bCs/>
                <w:color w:val="000000"/>
                <w:sz w:val="20"/>
              </w:rPr>
            </w:pPr>
            <w:r>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F4F72" w:rsidRPr="00C92581" w:rsidRDefault="00CF4F72">
            <w:pPr>
              <w:autoSpaceDE w:val="0"/>
              <w:autoSpaceDN w:val="0"/>
              <w:adjustRightInd w:val="0"/>
              <w:rPr>
                <w:color w:val="000000"/>
                <w:sz w:val="20"/>
                <w:lang w:val="pt-PT"/>
              </w:rPr>
            </w:pPr>
            <w:r w:rsidRPr="00C92581">
              <w:rPr>
                <w:color w:val="000000"/>
                <w:sz w:val="20"/>
                <w:lang w:val="pt-PT"/>
              </w:rPr>
              <w:t>Andrus Ansip, Hildegard Bentele, Maria da Graça Carvalho, Marisa Matias, Caroline Nagtegaal</w:t>
            </w:r>
          </w:p>
        </w:tc>
      </w:tr>
    </w:tbl>
    <w:p w:rsidR="00CF4F72" w:rsidRPr="00C92581" w:rsidRDefault="00CF4F72">
      <w:pPr>
        <w:rPr>
          <w:lang w:val="pt-PT"/>
        </w:rPr>
      </w:pPr>
    </w:p>
    <w:bookmarkEnd w:id="2"/>
    <w:p w:rsidR="00742D86" w:rsidRPr="00C92581" w:rsidRDefault="00742D86" w:rsidP="00742D86">
      <w:pPr>
        <w:rPr>
          <w:lang w:val="pt-PT"/>
        </w:rPr>
        <w:sectPr w:rsidR="00742D86" w:rsidRPr="00C92581" w:rsidSect="00742D8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2D86" w:rsidRDefault="00742D86" w:rsidP="00742D86">
      <w:pPr>
        <w:pStyle w:val="PageHeadingNotTOC"/>
        <w:rPr>
          <w:noProof/>
        </w:rPr>
      </w:pPr>
      <w:bookmarkStart w:id="3" w:name="FootprintPageAD"/>
      <w:r>
        <w:lastRenderedPageBreak/>
        <w:t>ALLEGATO: ENTITÀ O PERSONE</w:t>
      </w:r>
      <w:r>
        <w:br/>
        <w:t>DA CUI IL RELATORE PER PARERE HA RICEVUTO CONTRIBUTI</w:t>
      </w:r>
    </w:p>
    <w:p w:rsidR="00742D86" w:rsidRPr="0099178F" w:rsidRDefault="00742D86" w:rsidP="00742D86">
      <w:pPr>
        <w:pStyle w:val="Normal24a"/>
      </w:pPr>
      <w:r>
        <w:rPr>
          <w:rStyle w:val="HideTWBExt"/>
        </w:rPr>
        <w:t>&lt;FootprintIntro&gt;</w:t>
      </w:r>
      <w:r>
        <w:t>Conformemente all'allegato I, articolo 8, del regolamento, il relatore per parere dichiara di aver ricevuto, nel corso dell'elaborazione del parere, contributi dalle seguenti entità o persone:</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42D86" w:rsidTr="00B3580C">
        <w:tc>
          <w:tcPr>
            <w:tcW w:w="9286" w:type="dxa"/>
            <w:shd w:val="clear" w:color="auto" w:fill="auto"/>
          </w:tcPr>
          <w:p w:rsidR="00742D86" w:rsidRDefault="00742D86" w:rsidP="00B3580C">
            <w:pPr>
              <w:pStyle w:val="NormalBoldCenter"/>
            </w:pPr>
            <w:r>
              <w:t>Entità e/o persona</w:t>
            </w:r>
          </w:p>
        </w:tc>
      </w:tr>
      <w:tr w:rsidR="00742D86" w:rsidRPr="00C92581" w:rsidTr="00B3580C">
        <w:tc>
          <w:tcPr>
            <w:tcW w:w="9286" w:type="dxa"/>
            <w:shd w:val="clear" w:color="auto" w:fill="auto"/>
          </w:tcPr>
          <w:p w:rsidR="00742D86" w:rsidRPr="00C92581" w:rsidRDefault="00742D86" w:rsidP="00B3580C">
            <w:pPr>
              <w:rPr>
                <w:lang w:val="en-GB"/>
              </w:rPr>
            </w:pPr>
            <w:r w:rsidRPr="00C92581">
              <w:rPr>
                <w:lang w:val="en-GB"/>
              </w:rPr>
              <w:t>European Union Agency for Criminal Justice Cooperation (Eurojust)</w:t>
            </w:r>
          </w:p>
        </w:tc>
      </w:tr>
    </w:tbl>
    <w:p w:rsidR="00742D86" w:rsidRPr="00C92581" w:rsidRDefault="00742D86" w:rsidP="00742D86">
      <w:pPr>
        <w:rPr>
          <w:lang w:val="en-GB"/>
        </w:rPr>
      </w:pPr>
    </w:p>
    <w:p w:rsidR="00742D86" w:rsidRDefault="00742D86" w:rsidP="00742D86">
      <w:pPr>
        <w:rPr>
          <w:szCs w:val="24"/>
        </w:rPr>
      </w:pPr>
      <w:r>
        <w:t>L'elenco che precede è compilato sotto l'esclusiva responsabilità del relatore per parere.</w:t>
      </w:r>
    </w:p>
    <w:p w:rsidR="00742D86" w:rsidRPr="002537B8" w:rsidRDefault="00742D86" w:rsidP="00742D86">
      <w:pPr>
        <w:widowControl/>
        <w:rPr>
          <w:szCs w:val="24"/>
        </w:rPr>
      </w:pPr>
      <w:r>
        <w:br w:type="page"/>
      </w:r>
    </w:p>
    <w:p w:rsidR="00742D86" w:rsidRPr="00742D86" w:rsidRDefault="00742D86" w:rsidP="00742D86"/>
    <w:bookmarkEnd w:id="3"/>
    <w:p w:rsidR="00742D86" w:rsidRPr="00742D86" w:rsidRDefault="00742D86" w:rsidP="00742D86"/>
    <w:p w:rsidR="00742D86" w:rsidRPr="0099178F" w:rsidRDefault="00742D86" w:rsidP="00C36610">
      <w:pPr>
        <w:pStyle w:val="PageHeadingNotTOC"/>
      </w:pPr>
      <w:bookmarkStart w:id="4" w:name="RollCallPageAD"/>
      <w:r>
        <w:t>VOTAZIONE FINALE PER APPELLO NOMINALE</w:t>
      </w:r>
      <w:r>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2D86" w:rsidRPr="003559F2" w:rsidTr="00B3580C">
        <w:trPr>
          <w:cantSplit/>
        </w:trPr>
        <w:tc>
          <w:tcPr>
            <w:tcW w:w="1701" w:type="dxa"/>
            <w:shd w:val="pct10" w:color="000000" w:fill="FFFFFF"/>
            <w:vAlign w:val="center"/>
          </w:tcPr>
          <w:p w:rsidR="00742D86" w:rsidRPr="003559F2" w:rsidRDefault="00742D86" w:rsidP="00B3580C">
            <w:pPr>
              <w:pStyle w:val="RollCallVotes"/>
            </w:pPr>
            <w:r>
              <w:t>51</w:t>
            </w:r>
          </w:p>
        </w:tc>
        <w:tc>
          <w:tcPr>
            <w:tcW w:w="7371" w:type="dxa"/>
            <w:shd w:val="pct10" w:color="000000" w:fill="FFFFFF"/>
          </w:tcPr>
          <w:p w:rsidR="00742D86" w:rsidRPr="003559F2" w:rsidRDefault="00742D86" w:rsidP="00B3580C">
            <w:pPr>
              <w:pStyle w:val="RollCallSymbols14pt"/>
            </w:pPr>
            <w:r>
              <w:t>+</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ECR</w:t>
            </w:r>
          </w:p>
        </w:tc>
        <w:tc>
          <w:tcPr>
            <w:tcW w:w="7371" w:type="dxa"/>
            <w:shd w:val="clear" w:color="auto" w:fill="FFFFFF"/>
          </w:tcPr>
          <w:p w:rsidR="00742D86" w:rsidRPr="003559F2" w:rsidRDefault="00742D86" w:rsidP="00B3580C">
            <w:pPr>
              <w:pStyle w:val="RollCallTable"/>
            </w:pPr>
            <w:r>
              <w:t>Jorge Buxadé Villalba, Patryk Jaki, Assita Kanko, Beata Kempa</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ID</w:t>
            </w:r>
          </w:p>
        </w:tc>
        <w:tc>
          <w:tcPr>
            <w:tcW w:w="7371" w:type="dxa"/>
            <w:shd w:val="clear" w:color="auto" w:fill="FFFFFF"/>
          </w:tcPr>
          <w:p w:rsidR="00742D86" w:rsidRPr="003559F2" w:rsidRDefault="00742D86" w:rsidP="00B3580C">
            <w:pPr>
              <w:pStyle w:val="RollCallTable"/>
            </w:pPr>
            <w:r>
              <w:t>Tom Vandendriessche</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PPE</w:t>
            </w:r>
          </w:p>
        </w:tc>
        <w:tc>
          <w:tcPr>
            <w:tcW w:w="7371" w:type="dxa"/>
            <w:shd w:val="clear" w:color="auto" w:fill="FFFFFF"/>
          </w:tcPr>
          <w:p w:rsidR="00742D86" w:rsidRPr="003559F2" w:rsidRDefault="00742D86" w:rsidP="00B3580C">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Renew</w:t>
            </w:r>
          </w:p>
        </w:tc>
        <w:tc>
          <w:tcPr>
            <w:tcW w:w="7371" w:type="dxa"/>
            <w:shd w:val="clear" w:color="auto" w:fill="FFFFFF"/>
          </w:tcPr>
          <w:p w:rsidR="00742D86" w:rsidRPr="003559F2" w:rsidRDefault="00742D86" w:rsidP="00B3580C">
            <w:pPr>
              <w:pStyle w:val="RollCallTable"/>
            </w:pPr>
            <w:r>
              <w:t>Abir Al-Sahlani, Andrus Ansip, Lucia Ďuriš Nicholsonová, Sophia in 't Veld, Moritz Körner, Caroline Nagtegaal, Maite Pagazaurtundúa, Bergur Løkke Rasmussen, Róża Thun und Hohenstein</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S&amp;D</w:t>
            </w:r>
          </w:p>
        </w:tc>
        <w:tc>
          <w:tcPr>
            <w:tcW w:w="7371" w:type="dxa"/>
            <w:shd w:val="clear" w:color="auto" w:fill="FFFFFF"/>
          </w:tcPr>
          <w:p w:rsidR="00742D86" w:rsidRPr="003559F2" w:rsidRDefault="00742D86" w:rsidP="00B3580C">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The Left</w:t>
            </w:r>
          </w:p>
        </w:tc>
        <w:tc>
          <w:tcPr>
            <w:tcW w:w="7371" w:type="dxa"/>
            <w:shd w:val="clear" w:color="auto" w:fill="FFFFFF"/>
          </w:tcPr>
          <w:p w:rsidR="00742D86" w:rsidRPr="003559F2" w:rsidRDefault="00742D86" w:rsidP="00B3580C">
            <w:pPr>
              <w:pStyle w:val="RollCallTable"/>
            </w:pPr>
            <w:r>
              <w:t>Cornelia Ernst, José Gusmão, Marisa Matias, Anne-Sophie Pelletier</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Verts/ALE</w:t>
            </w:r>
          </w:p>
        </w:tc>
        <w:tc>
          <w:tcPr>
            <w:tcW w:w="7371" w:type="dxa"/>
            <w:shd w:val="clear" w:color="auto" w:fill="FFFFFF"/>
          </w:tcPr>
          <w:p w:rsidR="00742D86" w:rsidRPr="003559F2" w:rsidRDefault="00742D86" w:rsidP="00B3580C">
            <w:pPr>
              <w:pStyle w:val="RollCallTable"/>
            </w:pPr>
            <w:r>
              <w:t>Patrick Breyer, Saskia Bricmont, Damien Carême, Alice Kuhnke, Erik Marquardt, Diana Riba i Giner, Tineke Strik</w:t>
            </w:r>
          </w:p>
        </w:tc>
      </w:tr>
    </w:tbl>
    <w:p w:rsidR="00742D86" w:rsidRPr="003559F2" w:rsidRDefault="00742D86" w:rsidP="00742D8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2D86" w:rsidRPr="003559F2" w:rsidTr="00B3580C">
        <w:trPr>
          <w:cantSplit/>
        </w:trPr>
        <w:tc>
          <w:tcPr>
            <w:tcW w:w="1701" w:type="dxa"/>
            <w:shd w:val="pct10" w:color="000000" w:fill="FFFFFF"/>
            <w:vAlign w:val="center"/>
          </w:tcPr>
          <w:p w:rsidR="00742D86" w:rsidRPr="003559F2" w:rsidRDefault="00742D86" w:rsidP="00B3580C">
            <w:pPr>
              <w:pStyle w:val="RollCallVotes"/>
            </w:pPr>
            <w:r>
              <w:t>2</w:t>
            </w:r>
          </w:p>
        </w:tc>
        <w:tc>
          <w:tcPr>
            <w:tcW w:w="7371" w:type="dxa"/>
            <w:shd w:val="pct10" w:color="000000" w:fill="FFFFFF"/>
          </w:tcPr>
          <w:p w:rsidR="00742D86" w:rsidRPr="003559F2" w:rsidRDefault="00742D86" w:rsidP="00B3580C">
            <w:pPr>
              <w:pStyle w:val="RollCallSymbols14pt"/>
            </w:pPr>
            <w:r>
              <w:t>-</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ID</w:t>
            </w:r>
          </w:p>
        </w:tc>
        <w:tc>
          <w:tcPr>
            <w:tcW w:w="7371" w:type="dxa"/>
            <w:shd w:val="clear" w:color="auto" w:fill="FFFFFF"/>
          </w:tcPr>
          <w:p w:rsidR="00742D86" w:rsidRPr="003559F2" w:rsidRDefault="00742D86" w:rsidP="00B3580C">
            <w:pPr>
              <w:pStyle w:val="RollCallTable"/>
            </w:pPr>
            <w:r>
              <w:t>Nicolaus Fest</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NI</w:t>
            </w:r>
          </w:p>
        </w:tc>
        <w:tc>
          <w:tcPr>
            <w:tcW w:w="7371" w:type="dxa"/>
            <w:shd w:val="clear" w:color="auto" w:fill="FFFFFF"/>
          </w:tcPr>
          <w:p w:rsidR="00742D86" w:rsidRPr="003559F2" w:rsidRDefault="00742D86" w:rsidP="00B3580C">
            <w:pPr>
              <w:pStyle w:val="RollCallTable"/>
            </w:pPr>
            <w:r>
              <w:t>Milan Uhrík</w:t>
            </w:r>
          </w:p>
        </w:tc>
      </w:tr>
    </w:tbl>
    <w:p w:rsidR="00742D86" w:rsidRPr="003559F2" w:rsidRDefault="00742D86" w:rsidP="00742D8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2D86" w:rsidRPr="003559F2" w:rsidTr="00B3580C">
        <w:trPr>
          <w:cantSplit/>
        </w:trPr>
        <w:tc>
          <w:tcPr>
            <w:tcW w:w="1701" w:type="dxa"/>
            <w:shd w:val="pct10" w:color="000000" w:fill="FFFFFF"/>
            <w:vAlign w:val="center"/>
          </w:tcPr>
          <w:p w:rsidR="00742D86" w:rsidRPr="003559F2" w:rsidRDefault="00742D86" w:rsidP="00B3580C">
            <w:pPr>
              <w:pStyle w:val="RollCallVotes"/>
            </w:pPr>
            <w:r>
              <w:t>2</w:t>
            </w:r>
          </w:p>
        </w:tc>
        <w:tc>
          <w:tcPr>
            <w:tcW w:w="7371" w:type="dxa"/>
            <w:shd w:val="pct10" w:color="000000" w:fill="FFFFFF"/>
          </w:tcPr>
          <w:p w:rsidR="00742D86" w:rsidRPr="003559F2" w:rsidRDefault="00742D86" w:rsidP="00B3580C">
            <w:pPr>
              <w:pStyle w:val="RollCallSymbols14pt"/>
            </w:pPr>
            <w:r>
              <w:t>0</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ECR</w:t>
            </w:r>
          </w:p>
        </w:tc>
        <w:tc>
          <w:tcPr>
            <w:tcW w:w="7371" w:type="dxa"/>
            <w:shd w:val="clear" w:color="auto" w:fill="FFFFFF"/>
          </w:tcPr>
          <w:p w:rsidR="00742D86" w:rsidRPr="003559F2" w:rsidRDefault="00742D86" w:rsidP="00B3580C">
            <w:pPr>
              <w:pStyle w:val="RollCallTable"/>
            </w:pPr>
            <w:r>
              <w:t>Vincenzo Sofo</w:t>
            </w:r>
          </w:p>
        </w:tc>
      </w:tr>
      <w:tr w:rsidR="00742D86" w:rsidRPr="003559F2" w:rsidTr="00B3580C">
        <w:trPr>
          <w:cantSplit/>
        </w:trPr>
        <w:tc>
          <w:tcPr>
            <w:tcW w:w="1701" w:type="dxa"/>
            <w:shd w:val="clear" w:color="auto" w:fill="FFFFFF"/>
          </w:tcPr>
          <w:p w:rsidR="00742D86" w:rsidRPr="003559F2" w:rsidRDefault="00742D86" w:rsidP="00B3580C">
            <w:pPr>
              <w:pStyle w:val="RollCallTable"/>
            </w:pPr>
            <w:r>
              <w:t>ID</w:t>
            </w:r>
          </w:p>
        </w:tc>
        <w:tc>
          <w:tcPr>
            <w:tcW w:w="7371" w:type="dxa"/>
            <w:shd w:val="clear" w:color="auto" w:fill="FFFFFF"/>
          </w:tcPr>
          <w:p w:rsidR="00742D86" w:rsidRPr="003559F2" w:rsidRDefault="00742D86" w:rsidP="00B3580C">
            <w:pPr>
              <w:pStyle w:val="RollCallTable"/>
            </w:pPr>
            <w:r>
              <w:t>Patricia Chagnon</w:t>
            </w:r>
          </w:p>
        </w:tc>
      </w:tr>
    </w:tbl>
    <w:p w:rsidR="00742D86" w:rsidRDefault="00742D86" w:rsidP="00147FBF">
      <w:pPr>
        <w:pStyle w:val="Normal12a"/>
      </w:pPr>
    </w:p>
    <w:p w:rsidR="00742D86" w:rsidRDefault="00742D86" w:rsidP="00B735E3">
      <w:r>
        <w:t>Significato dei simboli utilizzati:</w:t>
      </w:r>
    </w:p>
    <w:p w:rsidR="00742D86" w:rsidRDefault="00742D86" w:rsidP="003858C5">
      <w:pPr>
        <w:pStyle w:val="RollCallTabs"/>
      </w:pPr>
      <w:r>
        <w:t>+</w:t>
      </w:r>
      <w:r>
        <w:tab/>
        <w:t>:</w:t>
      </w:r>
      <w:r>
        <w:tab/>
        <w:t>favorevoli</w:t>
      </w:r>
    </w:p>
    <w:p w:rsidR="00742D86" w:rsidRDefault="00742D86" w:rsidP="003858C5">
      <w:pPr>
        <w:pStyle w:val="RollCallTabs"/>
      </w:pPr>
      <w:r>
        <w:t>-</w:t>
      </w:r>
      <w:r>
        <w:tab/>
        <w:t>:</w:t>
      </w:r>
      <w:r>
        <w:tab/>
        <w:t>contrari</w:t>
      </w:r>
    </w:p>
    <w:p w:rsidR="00742D86" w:rsidRDefault="00742D86" w:rsidP="003858C5">
      <w:pPr>
        <w:pStyle w:val="RollCallTabs"/>
      </w:pPr>
      <w:r>
        <w:t>0</w:t>
      </w:r>
      <w:r>
        <w:tab/>
        <w:t>:</w:t>
      </w:r>
      <w:r>
        <w:tab/>
        <w:t>astenuti</w:t>
      </w:r>
    </w:p>
    <w:p w:rsidR="00742D86" w:rsidRDefault="00742D86" w:rsidP="00207509"/>
    <w:bookmarkEnd w:id="4"/>
    <w:p w:rsidR="002E6F98" w:rsidRPr="00742D86" w:rsidRDefault="002E6F98" w:rsidP="00742D86"/>
    <w:sectPr w:rsidR="002E6F98" w:rsidRPr="00742D86" w:rsidSect="00742D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86E" w:rsidRPr="00F6086E" w:rsidRDefault="00F6086E">
      <w:r w:rsidRPr="00F6086E">
        <w:separator/>
      </w:r>
    </w:p>
  </w:endnote>
  <w:endnote w:type="continuationSeparator" w:id="0">
    <w:p w:rsidR="00F6086E" w:rsidRPr="00F6086E" w:rsidRDefault="00F6086E">
      <w:r w:rsidRPr="00F608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F72" w:rsidRPr="00C92581" w:rsidRDefault="00CF4F72" w:rsidP="00CF4F72">
    <w:pPr>
      <w:pStyle w:val="EPFooter"/>
      <w:rPr>
        <w:lang w:val="en-GB"/>
      </w:rPr>
    </w:pPr>
    <w:r w:rsidRPr="00C92581">
      <w:rPr>
        <w:lang w:val="en-GB"/>
      </w:rPr>
      <w:t>PE</w:t>
    </w:r>
    <w:r w:rsidRPr="00C92581">
      <w:rPr>
        <w:rStyle w:val="HideTWBExt"/>
        <w:lang w:val="en-GB"/>
      </w:rPr>
      <w:t>&lt;NoPE&gt;</w:t>
    </w:r>
    <w:r w:rsidRPr="00C92581">
      <w:rPr>
        <w:lang w:val="en-GB"/>
      </w:rPr>
      <w:t>756.199</w:t>
    </w:r>
    <w:r w:rsidRPr="00C92581">
      <w:rPr>
        <w:rStyle w:val="HideTWBExt"/>
        <w:lang w:val="en-GB"/>
      </w:rPr>
      <w:t>&lt;/NoPE&gt;&lt;Version&gt;</w:t>
    </w:r>
    <w:r w:rsidRPr="00C92581">
      <w:rPr>
        <w:lang w:val="en-GB"/>
      </w:rPr>
      <w:t>v02-00</w:t>
    </w:r>
    <w:r w:rsidRPr="00C92581">
      <w:rPr>
        <w:rStyle w:val="HideTWBExt"/>
        <w:lang w:val="en-GB"/>
      </w:rPr>
      <w:t>&lt;/Version&gt;</w:t>
    </w:r>
    <w:r w:rsidRPr="00C92581">
      <w:rPr>
        <w:lang w:val="en-GB"/>
      </w:rPr>
      <w:tab/>
    </w:r>
    <w:r>
      <w:fldChar w:fldCharType="begin"/>
    </w:r>
    <w:r w:rsidRPr="00C92581">
      <w:rPr>
        <w:lang w:val="en-GB"/>
      </w:rPr>
      <w:instrText xml:space="preserve"> PAGE  \* MERGEFORMAT </w:instrText>
    </w:r>
    <w:r>
      <w:fldChar w:fldCharType="separate"/>
    </w:r>
    <w:r w:rsidR="00C92581">
      <w:rPr>
        <w:noProof/>
        <w:lang w:val="en-GB"/>
      </w:rPr>
      <w:t>7</w:t>
    </w:r>
    <w:r>
      <w:fldChar w:fldCharType="end"/>
    </w:r>
    <w:r w:rsidRPr="00C92581">
      <w:rPr>
        <w:lang w:val="en-GB"/>
      </w:rPr>
      <w:t>/</w:t>
    </w:r>
    <w:r w:rsidR="00742D86">
      <w:fldChar w:fldCharType="begin"/>
    </w:r>
    <w:r w:rsidR="00742D86" w:rsidRPr="00C92581">
      <w:rPr>
        <w:lang w:val="en-GB"/>
      </w:rPr>
      <w:instrText xml:space="preserve"> NUMPAGES  \* MERGEFORMAT </w:instrText>
    </w:r>
    <w:r w:rsidR="00742D86">
      <w:fldChar w:fldCharType="separate"/>
    </w:r>
    <w:r w:rsidR="00C92581">
      <w:rPr>
        <w:noProof/>
        <w:lang w:val="en-GB"/>
      </w:rPr>
      <w:t>7</w:t>
    </w:r>
    <w:r w:rsidR="00742D86">
      <w:rPr>
        <w:noProof/>
      </w:rPr>
      <w:fldChar w:fldCharType="end"/>
    </w:r>
    <w:r w:rsidRPr="00C92581">
      <w:rPr>
        <w:lang w:val="en-GB"/>
      </w:rPr>
      <w:tab/>
    </w:r>
    <w:r w:rsidRPr="00C92581">
      <w:rPr>
        <w:rStyle w:val="HideTWBExt"/>
        <w:lang w:val="en-GB"/>
      </w:rPr>
      <w:t>&lt;PathFdR&gt;</w:t>
    </w:r>
    <w:r w:rsidRPr="00C92581">
      <w:rPr>
        <w:lang w:val="en-GB"/>
      </w:rPr>
      <w:t>AD\1295231IT.docx</w:t>
    </w:r>
    <w:r w:rsidRPr="00C92581">
      <w:rPr>
        <w:rStyle w:val="HideTWBExt"/>
        <w:lang w:val="en-GB"/>
      </w:rPr>
      <w:t>&lt;/PathFdR&gt;</w:t>
    </w:r>
  </w:p>
  <w:p w:rsidR="002E2F2E" w:rsidRPr="00C92581" w:rsidRDefault="00CF4F72" w:rsidP="00CF4F72">
    <w:pPr>
      <w:pStyle w:val="EPFooter2"/>
      <w:rPr>
        <w:lang w:val="en-GB"/>
      </w:rPr>
    </w:pPr>
    <w:r w:rsidRPr="00C92581">
      <w:rPr>
        <w:lang w:val="en-GB"/>
      </w:rP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F72" w:rsidRPr="00C92581" w:rsidRDefault="00CF4F72" w:rsidP="00CF4F72">
    <w:pPr>
      <w:pStyle w:val="EPFooter"/>
      <w:rPr>
        <w:lang w:val="en-GB"/>
      </w:rPr>
    </w:pPr>
    <w:r w:rsidRPr="00C92581">
      <w:rPr>
        <w:rStyle w:val="HideTWBExt"/>
        <w:lang w:val="en-GB"/>
      </w:rPr>
      <w:t>&lt;PathFdR&gt;</w:t>
    </w:r>
    <w:r w:rsidRPr="00C92581">
      <w:rPr>
        <w:lang w:val="en-GB"/>
      </w:rPr>
      <w:t>AD\1295231IT.docx</w:t>
    </w:r>
    <w:r w:rsidRPr="00C92581">
      <w:rPr>
        <w:rStyle w:val="HideTWBExt"/>
        <w:lang w:val="en-GB"/>
      </w:rPr>
      <w:t>&lt;/PathFdR&gt;</w:t>
    </w:r>
    <w:r w:rsidRPr="00C92581">
      <w:rPr>
        <w:lang w:val="en-GB"/>
      </w:rPr>
      <w:tab/>
    </w:r>
    <w:r>
      <w:fldChar w:fldCharType="begin"/>
    </w:r>
    <w:r w:rsidRPr="00C92581">
      <w:rPr>
        <w:lang w:val="en-GB"/>
      </w:rPr>
      <w:instrText xml:space="preserve"> PAGE  \* MERGEFORMAT </w:instrText>
    </w:r>
    <w:r>
      <w:fldChar w:fldCharType="separate"/>
    </w:r>
    <w:r w:rsidR="00C92581">
      <w:rPr>
        <w:noProof/>
        <w:lang w:val="en-GB"/>
      </w:rPr>
      <w:t>7</w:t>
    </w:r>
    <w:r>
      <w:fldChar w:fldCharType="end"/>
    </w:r>
    <w:r w:rsidRPr="00C92581">
      <w:rPr>
        <w:lang w:val="en-GB"/>
      </w:rPr>
      <w:t>/</w:t>
    </w:r>
    <w:r w:rsidR="00742D86">
      <w:fldChar w:fldCharType="begin"/>
    </w:r>
    <w:r w:rsidR="00742D86" w:rsidRPr="00C92581">
      <w:rPr>
        <w:lang w:val="en-GB"/>
      </w:rPr>
      <w:instrText xml:space="preserve"> NUMPAGES  \* MERGEFORMAT </w:instrText>
    </w:r>
    <w:r w:rsidR="00742D86">
      <w:fldChar w:fldCharType="separate"/>
    </w:r>
    <w:r w:rsidR="00C92581">
      <w:rPr>
        <w:noProof/>
        <w:lang w:val="en-GB"/>
      </w:rPr>
      <w:t>7</w:t>
    </w:r>
    <w:r w:rsidR="00742D86">
      <w:rPr>
        <w:noProof/>
      </w:rPr>
      <w:fldChar w:fldCharType="end"/>
    </w:r>
    <w:r w:rsidRPr="00C92581">
      <w:rPr>
        <w:lang w:val="en-GB"/>
      </w:rPr>
      <w:tab/>
      <w:t>PE</w:t>
    </w:r>
    <w:r w:rsidRPr="00C92581">
      <w:rPr>
        <w:rStyle w:val="HideTWBExt"/>
        <w:lang w:val="en-GB"/>
      </w:rPr>
      <w:t>&lt;NoPE&gt;</w:t>
    </w:r>
    <w:r w:rsidRPr="00C92581">
      <w:rPr>
        <w:lang w:val="en-GB"/>
      </w:rPr>
      <w:t>756.199</w:t>
    </w:r>
    <w:r w:rsidRPr="00C92581">
      <w:rPr>
        <w:rStyle w:val="HideTWBExt"/>
        <w:lang w:val="en-GB"/>
      </w:rPr>
      <w:t>&lt;/NoPE&gt;&lt;Version&gt;</w:t>
    </w:r>
    <w:r w:rsidRPr="00C92581">
      <w:rPr>
        <w:lang w:val="en-GB"/>
      </w:rPr>
      <w:t>v02-00</w:t>
    </w:r>
    <w:r w:rsidRPr="00C92581">
      <w:rPr>
        <w:rStyle w:val="HideTWBExt"/>
        <w:lang w:val="en-GB"/>
      </w:rPr>
      <w:t>&lt;/Version&gt;</w:t>
    </w:r>
  </w:p>
  <w:p w:rsidR="002E2F2E" w:rsidRPr="00C92581" w:rsidRDefault="00CF4F72" w:rsidP="00CF4F72">
    <w:pPr>
      <w:pStyle w:val="EPFooter2"/>
      <w:rPr>
        <w:lang w:val="en-GB"/>
      </w:rPr>
    </w:pPr>
    <w:r w:rsidRPr="00C92581">
      <w:rPr>
        <w:lang w:val="en-GB"/>
      </w:rPr>
      <w:tab/>
    </w:r>
    <w:r w:rsidRPr="00C92581">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F72" w:rsidRDefault="00CF4F72" w:rsidP="00CF4F72">
    <w:pPr>
      <w:pStyle w:val="EPFooter"/>
    </w:pPr>
    <w:r w:rsidRPr="00CF4F72">
      <w:rPr>
        <w:rStyle w:val="HideTWBExt"/>
      </w:rPr>
      <w:t>&lt;PathFdR&gt;</w:t>
    </w:r>
    <w:r>
      <w:t>AD\1295231IT.docx</w:t>
    </w:r>
    <w:r w:rsidRPr="00CF4F72">
      <w:rPr>
        <w:rStyle w:val="HideTWBExt"/>
      </w:rPr>
      <w:t>&lt;/PathFdR&gt;</w:t>
    </w:r>
    <w:r>
      <w:tab/>
    </w:r>
    <w:r>
      <w:tab/>
      <w:t>PE</w:t>
    </w:r>
    <w:r w:rsidRPr="00CF4F72">
      <w:rPr>
        <w:rStyle w:val="HideTWBExt"/>
      </w:rPr>
      <w:t>&lt;NoPE&gt;</w:t>
    </w:r>
    <w:r>
      <w:t>756.199</w:t>
    </w:r>
    <w:r w:rsidRPr="00CF4F72">
      <w:rPr>
        <w:rStyle w:val="HideTWBExt"/>
      </w:rPr>
      <w:t>&lt;/NoPE&gt;&lt;Version&gt;</w:t>
    </w:r>
    <w:r>
      <w:t>v02-00</w:t>
    </w:r>
    <w:r w:rsidRPr="00CF4F72">
      <w:rPr>
        <w:rStyle w:val="HideTWBExt"/>
      </w:rPr>
      <w:t>&lt;/Version&gt;</w:t>
    </w:r>
  </w:p>
  <w:p w:rsidR="002E2F2E" w:rsidRPr="00F6086E" w:rsidRDefault="00CF4F72" w:rsidP="00CF4F72">
    <w:pPr>
      <w:pStyle w:val="EPFooter2"/>
    </w:pPr>
    <w:r>
      <w:t>IT</w:t>
    </w:r>
    <w:r>
      <w:tab/>
    </w:r>
    <w:r w:rsidRPr="00CF4F72">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86E" w:rsidRPr="00F6086E" w:rsidRDefault="00F6086E">
      <w:r w:rsidRPr="00F6086E">
        <w:separator/>
      </w:r>
    </w:p>
  </w:footnote>
  <w:footnote w:type="continuationSeparator" w:id="0">
    <w:p w:rsidR="00F6086E" w:rsidRPr="00F6086E" w:rsidRDefault="00F6086E">
      <w:r w:rsidRPr="00F608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86" w:rsidRDefault="00742D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86" w:rsidRDefault="00742D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86" w:rsidRDefault="00742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AUTHORMFMNU" w:val=" 1"/>
    <w:docVar w:name="CJMNU" w:val="1"/>
    <w:docVar w:name="CODEMNU" w:val=" 7"/>
    <w:docVar w:name="COM2KEY" w:val="CONT"/>
    <w:docVar w:name="COMKEY" w:val="LIBE"/>
    <w:docVar w:name="CONTRIBUTIONMNU" w:val=" 1"/>
    <w:docVar w:name="FONCTIONMNU" w:val=" 1"/>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150832 HideTWBInt;}{_x000d__x000a_\s18\ql \fi-567\li567\ri0\sa240\nowidctlpar\wrapdefault\aspalpha\aspnum\faauto\adjustright\rin0\lin567\itap0 \rtlch\fcs1 \af0\afs20\alang1025 \ltrch\fcs0 \fs24\lang1040\langfe2057\cgrid\langnp1040\langfenp2057 _x000d__x000a_\sbasedon0 \snext18 \spriority0 \styrsid16150832 NormalHanging12a;}}{\*\rsidtbl \rsid24658\rsid223860\rsid735077\rsid1718133\rsid2892074\rsid3565327\rsid4666813\rsid6641733\rsid7090008\rsid7823322\rsid9636012\rsid10377208\rsid11215221\rsid11549030_x000d__x000a_\rsid12154954\rsid14382809\rsid14424199\rsid15204470\rsid15285974\rsid15950462\rsid16150832\rsid16324206\rsid16662270}{\mmathPr\mmathFont34\mbrkBin0\mbrkBinSub0\msmallFrac0\mdispDef1\mlMargin0\mrMargin0\mdefJc1\mwrapIndent1440\mintLim0\mnaryLim1}{\info_x000d__x000a_{\author anonimo}{\operator anonimo}{\creatim\yr2024\mo1\dy30\hr14\min47}{\revtim\yr2024\mo1\dy30\hr14\min47}{\version1}{\edmins0}{\nofpages1}{\nofwords2}{\nofchars16}{\nofcharsws17}{\vern109}}{\*\xmlnstbl {\xmlns1 http://schemas.microsoft.com/office/word_x000d__x000a_/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8\pgbrdrhead\pgbrdrfoot\splytwnine\ftnlytwnine\htmautsp\nolnhtadjtbl\useltbaln\alntblind\lytcalctblwd\lyttblrtgr\lnbrkrule\nobrkwrptbl\snaptogridincell\allowfieldendsel\wrppunct_x000d__x000a_\asianbrkrule\nojkernpunct\rsidroot16150832\newtblstyruls\nogrowautofit\usenormstyforlist\noindnmbrts\felnbrelev\nocxsptable\indrlsweleven\noafcnsttbl\afelev\utinl\hwelev\spltpgpar\notcvasp\notbrkcnstfrctbl\notvatxbx\krnprsnet\cachedcolbal _x000d__x000a_\nouicompat \fet0{\*\wgrffmtfilter 013f}\nofeaturethrottle1\ilfomacatclnup0{\*\template C:\\Users\\RCAPPE~1\\AppData\\Local\\Temp\\Blank1.dotx}{\*\ftnsep \ltrpar \pard\plain \ltrpar_x000d__x000a_\ql \li0\ri0\widctlpar\wrapdefault\aspalpha\aspnum\faauto\adjustright\rin0\lin0\itap0 \rtlch\fcs1 \af0\afs20\alang1025 \ltrch\fcs0 \fs24\lang2057\langfe2057\cgrid\langnp2057\langfenp2057 {\rtlch\fcs1 \af0 \ltrch\fcs0 \insrsid7090008 \chftnsep _x000d__x000a_\par }}{\*\ftnsepc \ltrpar \pard\plain \ltrpar\ql \li0\ri0\widctlpar\wrapdefault\aspalpha\aspnum\faauto\adjustright\rin0\lin0\itap0 \rtlch\fcs1 \af0\afs20\alang1025 \ltrch\fcs0 \fs24\lang2057\langfe2057\cgrid\langnp2057\langfenp2057 {\rtlch\fcs1 \af0 _x000d__x000a_\ltrch\fcs0 \insrsid7090008 \chftnsepc _x000d__x000a_\par }}{\*\aftnsep \ltrpar \pard\plain \ltrpar\ql \li0\ri0\widctlpar\wrapdefault\aspalpha\aspnum\faauto\adjustright\rin0\lin0\itap0 \rtlch\fcs1 \af0\afs20\alang1025 \ltrch\fcs0 \fs24\lang2057\langfe2057\cgrid\langnp2057\langfenp2057 {\rtlch\fcs1 \af0 _x000d__x000a_\ltrch\fcs0 \insrsid7090008 \chftnsep _x000d__x000a_\par }}{\*\aftnsepc \ltrpar \pard\plain \ltrpar\ql \li0\ri0\widctlpar\wrapdefault\aspalpha\aspnum\faauto\adjustright\rin0\lin0\itap0 \rtlch\fcs1 \af0\afs20\alang1025 \ltrch\fcs0 \fs24\lang2057\langfe2057\cgrid\langnp2057\langfenp2057 {\rtlch\fcs1 \af0 _x000d__x000a_\ltrch\fcs0 \insrsid70900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6150832 \rtlch\fcs1 \af0\afs20\alang1025 \ltrch\fcs0 \fs24\lang1040\langfe2057\cgrid\langnp1040\langfenp2057 {\rtlch\fcs1 \af0 _x000d__x000a_\ltrch\fcs0 \insrsid16150832\charrsid2032088 {\*\bkmkstart restart}#}{\rtlch\fcs1 \af1 \ltrch\fcs0 \cs17\v\f1\fs20\cf15\insrsid16150832\charrsid2032088 NRMSG}{\rtlch\fcs1 \af0 \ltrch\fcs0 \insrsid16150832\charrsid2032088 #.\tab #}{\rtlch\fcs1 \af1 _x000d__x000a_\ltrch\fcs0 \cs17\v\f1\fs20\cf15\insrsid16150832\charrsid2032088 TESTO}{\rtlch\fcs1 \af0 \ltrch\fcs0 \insrsid16150832\charrsid2032088 #}{\rtlch\fcs1 \af0 \ltrch\fcs0 \insrsid1615083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9_x000d__x000a_6bd182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4266532 NormalHanging12a;}}{\*\rsidtbl \rsid24658\rsid223860\rsid735077\rsid1718133\rsid2892074\rsid3565327\rsid4266532\rsid4666813\rsid5733445\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anonimo}{\operator anonimo}{\creatim\yr2024\mo1\dy30\hr14\min47}{\revtim\yr2024\mo1\dy30\hr14\min47}{\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8\pgbrdrhead\pgbrdrfoot\splytwnine\ftnlytwnine\htmautsp\nolnhtadjtbl\useltbaln\alntblind\lytcalctblwd\lyttblrtgr\lnbrkrule\nobrkwrptbl\snaptogridincell\allowfieldendsel\wrppunct_x000d__x000a_\asianbrkrule\nojkernpunct\rsidroot4266532\newtblstyruls\nogrowautofit\usenormstyforlist\noindnmbrts\felnbrelev\nocxsptable\indrlsweleven\noafcnsttbl\afelev\utinl\hwelev\spltpgpar\notcvasp\notbrkcnstfrctbl\notvatxbx\krnprsnet\cachedcolbal _x000d__x000a_\nouicompat \fet0{\*\wgrffmtfilter 013f}\nofeaturethrottle1\ilfomacatclnup0{\*\template C:\\Users\\RCAPPE~1\\AppData\\Local\\Temp\\Blank1.dotx}{\*\ftnsep \ltrpar \pard\plain \ltrpar_x000d__x000a_\ql \li0\ri0\widctlpar\wrapdefault\aspalpha\aspnum\faauto\adjustright\rin0\lin0\itap0 \rtlch\fcs1 \af0\afs20\alang1025 \ltrch\fcs0 \fs24\lang2057\langfe2057\cgrid\langnp2057\langfenp2057 {\rtlch\fcs1 \af0 \ltrch\fcs0 \insrsid5733445 \chftnsep _x000d__x000a_\par }}{\*\ftnsepc \ltrpar \pard\plain \ltrpar\ql \li0\ri0\widctlpar\wrapdefault\aspalpha\aspnum\faauto\adjustright\rin0\lin0\itap0 \rtlch\fcs1 \af0\afs20\alang1025 \ltrch\fcs0 \fs24\lang2057\langfe2057\cgrid\langnp2057\langfenp2057 {\rtlch\fcs1 \af0 _x000d__x000a_\ltrch\fcs0 \insrsid5733445 \chftnsepc _x000d__x000a_\par }}{\*\aftnsep \ltrpar \pard\plain \ltrpar\ql \li0\ri0\widctlpar\wrapdefault\aspalpha\aspnum\faauto\adjustright\rin0\lin0\itap0 \rtlch\fcs1 \af0\afs20\alang1025 \ltrch\fcs0 \fs24\lang2057\langfe2057\cgrid\langnp2057\langfenp2057 {\rtlch\fcs1 \af0 _x000d__x000a_\ltrch\fcs0 \insrsid5733445 \chftnsep _x000d__x000a_\par }}{\*\aftnsepc \ltrpar \pard\plain \ltrpar\ql \li0\ri0\widctlpar\wrapdefault\aspalpha\aspnum\faauto\adjustright\rin0\lin0\itap0 \rtlch\fcs1 \af0\afs20\alang1025 \ltrch\fcs0 \fs24\lang2057\langfe2057\cgrid\langnp2057\langfenp2057 {\rtlch\fcs1 \af0 _x000d__x000a_\ltrch\fcs0 \insrsid5733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4266532 \rtlch\fcs1 \af0\afs20\alang1025 \ltrch\fcs0 \fs24\lang2057\langfe2057\cgrid\langnp2057\langfenp2057 {\rtlch\fcs1 \af0 _x000d__x000a_\ltrch\fcs0 \insrsid4266532\charrsid1525456 {\*\bkmkstart restart}[ZSUGGESTIONNR]\tab [ZSUGGESTIONTEXT]}{\rtlch\fcs1 \af0 \ltrch\fcs0 \insrsid426653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c_x000d__x000a_a4d382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IT"/>
    <w:docVar w:name="TXTLANGUEMIN" w:val="it"/>
    <w:docVar w:name="TXTNRPE" w:val="756.199"/>
    <w:docVar w:name="TXTNRPROC" w:val="2023/2168"/>
    <w:docVar w:name="TXTPEorAP" w:val="PE"/>
    <w:docVar w:name="TXTROUTE" w:val="AD\1295231IT.docx"/>
    <w:docVar w:name="TXTVERSION" w:val="02-00"/>
  </w:docVars>
  <w:rsids>
    <w:rsidRoot w:val="00F6086E"/>
    <w:rsid w:val="000E7EBF"/>
    <w:rsid w:val="00124F60"/>
    <w:rsid w:val="00135121"/>
    <w:rsid w:val="00140BE6"/>
    <w:rsid w:val="00147F4E"/>
    <w:rsid w:val="0016635E"/>
    <w:rsid w:val="001746D0"/>
    <w:rsid w:val="001B7393"/>
    <w:rsid w:val="001D2ED9"/>
    <w:rsid w:val="001F21C1"/>
    <w:rsid w:val="002D28A7"/>
    <w:rsid w:val="002E2F2E"/>
    <w:rsid w:val="002E6F98"/>
    <w:rsid w:val="00325BCB"/>
    <w:rsid w:val="00331944"/>
    <w:rsid w:val="00332AD9"/>
    <w:rsid w:val="00347D2C"/>
    <w:rsid w:val="0037356F"/>
    <w:rsid w:val="00390EB2"/>
    <w:rsid w:val="00396A0E"/>
    <w:rsid w:val="003E2402"/>
    <w:rsid w:val="004C28FB"/>
    <w:rsid w:val="004C44C0"/>
    <w:rsid w:val="0052544E"/>
    <w:rsid w:val="005940C3"/>
    <w:rsid w:val="00594C48"/>
    <w:rsid w:val="005B2F11"/>
    <w:rsid w:val="005C0BDF"/>
    <w:rsid w:val="005D60C6"/>
    <w:rsid w:val="006102E7"/>
    <w:rsid w:val="00640C1B"/>
    <w:rsid w:val="00657AFB"/>
    <w:rsid w:val="006D5BF7"/>
    <w:rsid w:val="00742D86"/>
    <w:rsid w:val="008313E7"/>
    <w:rsid w:val="00854CAC"/>
    <w:rsid w:val="008A32C5"/>
    <w:rsid w:val="008C6203"/>
    <w:rsid w:val="008D61E7"/>
    <w:rsid w:val="008F7002"/>
    <w:rsid w:val="00910A21"/>
    <w:rsid w:val="0099493F"/>
    <w:rsid w:val="00A16BEA"/>
    <w:rsid w:val="00A312B3"/>
    <w:rsid w:val="00A72C35"/>
    <w:rsid w:val="00AE180F"/>
    <w:rsid w:val="00B362F7"/>
    <w:rsid w:val="00B5456B"/>
    <w:rsid w:val="00B74B53"/>
    <w:rsid w:val="00BC26E4"/>
    <w:rsid w:val="00BD1EAA"/>
    <w:rsid w:val="00C401C3"/>
    <w:rsid w:val="00C52739"/>
    <w:rsid w:val="00C827FF"/>
    <w:rsid w:val="00C92581"/>
    <w:rsid w:val="00CD34AC"/>
    <w:rsid w:val="00CF4F72"/>
    <w:rsid w:val="00D56272"/>
    <w:rsid w:val="00DE19FF"/>
    <w:rsid w:val="00E81BA6"/>
    <w:rsid w:val="00E856D2"/>
    <w:rsid w:val="00E929A7"/>
    <w:rsid w:val="00F6086E"/>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5DE74F0D-DEA7-453E-8622-B9052A149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910A21"/>
    <w:pPr>
      <w:tabs>
        <w:tab w:val="center" w:pos="4513"/>
        <w:tab w:val="right" w:pos="9026"/>
      </w:tabs>
    </w:pPr>
  </w:style>
  <w:style w:type="character" w:customStyle="1" w:styleId="FooterChar">
    <w:name w:val="Footer Char"/>
    <w:basedOn w:val="DefaultParagraphFont"/>
    <w:link w:val="Footer"/>
    <w:semiHidden/>
    <w:rsid w:val="00910A21"/>
    <w:rPr>
      <w:sz w:val="24"/>
      <w:lang w:val="it-IT"/>
    </w:rPr>
  </w:style>
  <w:style w:type="paragraph" w:customStyle="1" w:styleId="Normal24a">
    <w:name w:val="Normal24a"/>
    <w:basedOn w:val="Normal"/>
    <w:rsid w:val="00742D86"/>
    <w:pPr>
      <w:spacing w:after="480"/>
    </w:pPr>
  </w:style>
  <w:style w:type="paragraph" w:customStyle="1" w:styleId="NormalBoldCenter">
    <w:name w:val="NormalBoldCenter"/>
    <w:basedOn w:val="Normal"/>
    <w:rsid w:val="00742D86"/>
    <w:pPr>
      <w:jc w:val="center"/>
    </w:pPr>
    <w:rPr>
      <w:b/>
    </w:rPr>
  </w:style>
  <w:style w:type="paragraph" w:customStyle="1" w:styleId="RollCallSymbols14pt">
    <w:name w:val="RollCallSymbols14pt"/>
    <w:basedOn w:val="Normal"/>
    <w:rsid w:val="00742D8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42D86"/>
    <w:pPr>
      <w:tabs>
        <w:tab w:val="center" w:pos="284"/>
        <w:tab w:val="left" w:pos="426"/>
      </w:tabs>
    </w:pPr>
    <w:rPr>
      <w:snapToGrid w:val="0"/>
      <w:lang w:eastAsia="en-US"/>
    </w:rPr>
  </w:style>
  <w:style w:type="paragraph" w:customStyle="1" w:styleId="RollCallVotes">
    <w:name w:val="RollCallVotes"/>
    <w:basedOn w:val="Normal"/>
    <w:rsid w:val="00742D86"/>
    <w:pPr>
      <w:spacing w:before="120" w:after="120"/>
      <w:jc w:val="center"/>
    </w:pPr>
    <w:rPr>
      <w:b/>
      <w:bCs/>
      <w:snapToGrid w:val="0"/>
      <w:sz w:val="16"/>
      <w:lang w:eastAsia="en-US"/>
    </w:rPr>
  </w:style>
  <w:style w:type="paragraph" w:customStyle="1" w:styleId="RollCallTable">
    <w:name w:val="RollCallTable"/>
    <w:basedOn w:val="Normal"/>
    <w:rsid w:val="00742D8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6184</Characters>
  <Application>Microsoft Office Word</Application>
  <DocSecurity>0</DocSecurity>
  <Lines>160</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2024-02-01T16:53:00Z</dcterms:created>
  <dcterms:modified xsi:type="dcterms:W3CDTF">2024-02-01T16:53:00Z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1295231</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\\eiciLUXpr1\pdocep$\DocEP\TRANSFIL\IT\PA_NonLeg.IT(18/09/2023 10:08:02)</vt:lpwstr>
  </property>
  <property fmtid="{D5CDD505-2E9C-101B-9397-08002B2CF9AE}" pid="9" name="&lt;Model&gt;">
    <vt:lpwstr>PA_NonLeg</vt:lpwstr>
  </property>
  <property fmtid="{D5CDD505-2E9C-101B-9397-08002B2CF9AE}" pid="10" name="FooterPath">
    <vt:lpwstr>AD\1295231IT.docx</vt:lpwstr>
  </property>
  <property fmtid="{D5CDD505-2E9C-101B-9397-08002B2CF9AE}" pid="11" name="PE number">
    <vt:lpwstr>756.199</vt:lpwstr>
  </property>
  <property fmtid="{D5CDD505-2E9C-101B-9397-08002B2CF9AE}" pid="12" name="Bookout">
    <vt:lpwstr>OK - 2024/02/01 17:53</vt:lpwstr>
  </property>
  <property fmtid="{D5CDD505-2E9C-101B-9397-08002B2CF9AE}" pid="13" name="SDLStudio">
    <vt:lpwstr/>
  </property>
</Properties>
</file>