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121BF" w:rsidRPr="002412C9" w:rsidTr="00C85D0F">
        <w:trPr>
          <w:trHeight w:hRule="exact" w:val="1418"/>
        </w:trPr>
        <w:tc>
          <w:tcPr>
            <w:tcW w:w="6804" w:type="dxa"/>
            <w:shd w:val="clear" w:color="auto" w:fill="auto"/>
            <w:vAlign w:val="center"/>
          </w:tcPr>
          <w:p w:rsidR="00854CAC" w:rsidRPr="002412C9" w:rsidRDefault="00073311" w:rsidP="00C85D0F">
            <w:pPr>
              <w:pStyle w:val="EPName"/>
            </w:pPr>
            <w:bookmarkStart w:id="0" w:name="_GoBack"/>
            <w:bookmarkEnd w:id="0"/>
            <w:r w:rsidRPr="002412C9">
              <w:t>Europees Parlement</w:t>
            </w:r>
          </w:p>
          <w:p w:rsidR="00854CAC" w:rsidRPr="002412C9" w:rsidRDefault="00073311" w:rsidP="00324866">
            <w:pPr>
              <w:pStyle w:val="EPTerm"/>
            </w:pPr>
            <w:r w:rsidRPr="002412C9">
              <w:t>2019-2024</w:t>
            </w:r>
          </w:p>
        </w:tc>
        <w:tc>
          <w:tcPr>
            <w:tcW w:w="2268" w:type="dxa"/>
            <w:shd w:val="clear" w:color="auto" w:fill="auto"/>
          </w:tcPr>
          <w:p w:rsidR="00854CAC" w:rsidRPr="002412C9" w:rsidRDefault="00073311" w:rsidP="00C85D0F">
            <w:pPr>
              <w:pStyle w:val="EPLogo"/>
            </w:pPr>
            <w:r w:rsidRPr="002412C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2412C9" w:rsidRDefault="001746D0" w:rsidP="001746D0">
      <w:pPr>
        <w:pStyle w:val="LineTop"/>
      </w:pPr>
    </w:p>
    <w:p w:rsidR="001746D0" w:rsidRPr="002412C9" w:rsidRDefault="00073311" w:rsidP="001746D0">
      <w:pPr>
        <w:pStyle w:val="EPBody"/>
      </w:pPr>
      <w:r w:rsidRPr="002412C9">
        <w:rPr>
          <w:rStyle w:val="HideTWBExt"/>
        </w:rPr>
        <w:t>&lt;</w:t>
      </w:r>
      <w:r w:rsidRPr="002412C9">
        <w:rPr>
          <w:rStyle w:val="HideTWBExt"/>
          <w:i w:val="0"/>
        </w:rPr>
        <w:t>Commission</w:t>
      </w:r>
      <w:r w:rsidRPr="002412C9">
        <w:rPr>
          <w:rStyle w:val="HideTWBExt"/>
        </w:rPr>
        <w:t>&gt;</w:t>
      </w:r>
      <w:r w:rsidRPr="002412C9">
        <w:rPr>
          <w:rStyle w:val="HideTWBInt"/>
          <w:color w:val="auto"/>
        </w:rPr>
        <w:t>{LIBE}</w:t>
      </w:r>
      <w:r w:rsidRPr="002412C9">
        <w:t>Commissie burgerlijke vrijheden, justitie en binnenlandse zaken</w:t>
      </w:r>
      <w:r w:rsidRPr="002412C9">
        <w:rPr>
          <w:rStyle w:val="HideTWBExt"/>
        </w:rPr>
        <w:t>&lt;/</w:t>
      </w:r>
      <w:r w:rsidRPr="002412C9">
        <w:rPr>
          <w:rStyle w:val="HideTWBExt"/>
          <w:i w:val="0"/>
        </w:rPr>
        <w:t>Commission</w:t>
      </w:r>
      <w:r w:rsidRPr="002412C9">
        <w:rPr>
          <w:rStyle w:val="HideTWBExt"/>
        </w:rPr>
        <w:t>&gt;</w:t>
      </w:r>
    </w:p>
    <w:p w:rsidR="001746D0" w:rsidRPr="002412C9" w:rsidRDefault="001746D0" w:rsidP="001746D0">
      <w:pPr>
        <w:pStyle w:val="LineBottom"/>
      </w:pPr>
    </w:p>
    <w:p w:rsidR="002E2F2E" w:rsidRPr="002412C9" w:rsidRDefault="00073311">
      <w:pPr>
        <w:pStyle w:val="CoverReference"/>
      </w:pPr>
      <w:r w:rsidRPr="002412C9">
        <w:rPr>
          <w:rStyle w:val="HideTWBExt"/>
          <w:b w:val="0"/>
        </w:rPr>
        <w:t>&lt;RefProc&gt;</w:t>
      </w:r>
      <w:r w:rsidRPr="002412C9">
        <w:t>2023/2168</w:t>
      </w:r>
      <w:r w:rsidRPr="002412C9">
        <w:rPr>
          <w:rStyle w:val="HideTWBExt"/>
          <w:b w:val="0"/>
        </w:rPr>
        <w:t>&lt;/RefProc&gt;&lt;RefTypeProc&gt;</w:t>
      </w:r>
      <w:r w:rsidRPr="002412C9">
        <w:t>(DEC)</w:t>
      </w:r>
      <w:r w:rsidRPr="002412C9">
        <w:rPr>
          <w:rStyle w:val="HideTWBExt"/>
          <w:b w:val="0"/>
        </w:rPr>
        <w:t>&lt;/RefTypeProc&gt;</w:t>
      </w:r>
    </w:p>
    <w:p w:rsidR="002E2F2E" w:rsidRPr="002412C9" w:rsidRDefault="00073311">
      <w:pPr>
        <w:pStyle w:val="CoverDate"/>
      </w:pPr>
      <w:r w:rsidRPr="002412C9">
        <w:rPr>
          <w:rStyle w:val="HideTWBExt"/>
        </w:rPr>
        <w:t>&lt;Date&gt;</w:t>
      </w:r>
      <w:r w:rsidRPr="002412C9">
        <w:rPr>
          <w:rStyle w:val="HideTWBInt"/>
          <w:color w:val="auto"/>
        </w:rPr>
        <w:t>{24/01/2024}</w:t>
      </w:r>
      <w:r w:rsidRPr="002412C9">
        <w:t>24.1.2024</w:t>
      </w:r>
      <w:r w:rsidRPr="002412C9">
        <w:rPr>
          <w:rStyle w:val="HideTWBExt"/>
        </w:rPr>
        <w:t>&lt;/Date&gt;</w:t>
      </w:r>
    </w:p>
    <w:p w:rsidR="002E2F2E" w:rsidRPr="002412C9" w:rsidRDefault="00073311">
      <w:pPr>
        <w:pStyle w:val="CoverDocType24a"/>
      </w:pPr>
      <w:r w:rsidRPr="002412C9">
        <w:rPr>
          <w:rStyle w:val="HideTWBExt"/>
          <w:b w:val="0"/>
        </w:rPr>
        <w:t>&lt;TitreType&gt;</w:t>
      </w:r>
      <w:r w:rsidRPr="002412C9">
        <w:t>ADVIES</w:t>
      </w:r>
      <w:r w:rsidRPr="002412C9">
        <w:rPr>
          <w:rStyle w:val="HideTWBExt"/>
          <w:b w:val="0"/>
        </w:rPr>
        <w:t>&lt;/TitreType&gt;</w:t>
      </w:r>
    </w:p>
    <w:p w:rsidR="002E2F2E" w:rsidRPr="002412C9" w:rsidRDefault="00073311">
      <w:pPr>
        <w:pStyle w:val="CoverNormal24a"/>
      </w:pPr>
      <w:r w:rsidRPr="002412C9">
        <w:rPr>
          <w:rStyle w:val="HideTWBExt"/>
        </w:rPr>
        <w:t>&lt;CommissionResp&gt;</w:t>
      </w:r>
      <w:r w:rsidRPr="002412C9">
        <w:t>van de Commissie burgerlijke vrijheden, justitie en binnenlandse zaken</w:t>
      </w:r>
      <w:r w:rsidRPr="002412C9">
        <w:rPr>
          <w:rStyle w:val="HideTWBExt"/>
        </w:rPr>
        <w:t>&lt;/CommissionResp&gt;</w:t>
      </w:r>
    </w:p>
    <w:p w:rsidR="002E2F2E" w:rsidRPr="002412C9" w:rsidRDefault="00073311">
      <w:pPr>
        <w:pStyle w:val="CoverNormal24a"/>
      </w:pPr>
      <w:r w:rsidRPr="002412C9">
        <w:rPr>
          <w:rStyle w:val="HideTWBExt"/>
        </w:rPr>
        <w:t>&lt;CommissionInt&gt;</w:t>
      </w:r>
      <w:r w:rsidRPr="002412C9">
        <w:t>aan de Commissie begrotingscontrole</w:t>
      </w:r>
      <w:r w:rsidRPr="002412C9">
        <w:rPr>
          <w:rStyle w:val="HideTWBExt"/>
        </w:rPr>
        <w:t>&lt;/CommissionInt&gt;</w:t>
      </w:r>
    </w:p>
    <w:p w:rsidR="002E2F2E" w:rsidRPr="002412C9" w:rsidRDefault="00073311">
      <w:pPr>
        <w:pStyle w:val="CoverNormal"/>
      </w:pPr>
      <w:r w:rsidRPr="002412C9">
        <w:rPr>
          <w:rStyle w:val="HideTWBExt"/>
        </w:rPr>
        <w:t>&lt;Titre&gt;</w:t>
      </w:r>
      <w:r w:rsidRPr="002412C9">
        <w:t>over het verlenen van kwijting voor de uitvoering van de begroting van het Age</w:t>
      </w:r>
      <w:r w:rsidRPr="002412C9">
        <w:t>ntschap van de Europese Unie voor justitiële samenwerking in strafzaken (Eurojust) voor het begrotingsjaar 2022</w:t>
      </w:r>
      <w:r w:rsidRPr="002412C9">
        <w:rPr>
          <w:rStyle w:val="HideTWBExt"/>
        </w:rPr>
        <w:t>&lt;/Titre&gt;</w:t>
      </w:r>
    </w:p>
    <w:p w:rsidR="002E2F2E" w:rsidRPr="002412C9" w:rsidRDefault="00073311">
      <w:pPr>
        <w:pStyle w:val="CoverNormal24a"/>
      </w:pPr>
      <w:r w:rsidRPr="002412C9">
        <w:rPr>
          <w:rStyle w:val="HideTWBExt"/>
        </w:rPr>
        <w:t>&lt;DocRef&gt;</w:t>
      </w:r>
      <w:r w:rsidRPr="002412C9">
        <w:t>(2023/2168(DEC))</w:t>
      </w:r>
      <w:r w:rsidRPr="002412C9">
        <w:rPr>
          <w:rStyle w:val="HideTWBExt"/>
        </w:rPr>
        <w:t>&lt;/DocRef&gt;</w:t>
      </w:r>
    </w:p>
    <w:p w:rsidR="002E2F2E" w:rsidRPr="002412C9" w:rsidRDefault="00073311">
      <w:pPr>
        <w:pStyle w:val="CoverNormal24a"/>
      </w:pPr>
      <w:r w:rsidRPr="002412C9">
        <w:t xml:space="preserve">Rapporteur voor advies: </w:t>
      </w:r>
      <w:r w:rsidRPr="002412C9">
        <w:rPr>
          <w:rStyle w:val="HideTWBExt"/>
        </w:rPr>
        <w:t>&lt;Depute&gt;</w:t>
      </w:r>
      <w:r w:rsidRPr="002412C9">
        <w:t>Tomáš Zdechovský</w:t>
      </w:r>
      <w:r w:rsidRPr="002412C9">
        <w:rPr>
          <w:rStyle w:val="HideTWBExt"/>
        </w:rPr>
        <w:t>&lt;/Depute&gt;</w:t>
      </w:r>
    </w:p>
    <w:p w:rsidR="00A72C35" w:rsidRPr="002412C9" w:rsidRDefault="00A72C35" w:rsidP="00A72C35">
      <w:pPr>
        <w:pStyle w:val="CoverNormal"/>
      </w:pPr>
    </w:p>
    <w:p w:rsidR="002E2F2E" w:rsidRPr="002412C9" w:rsidRDefault="00073311" w:rsidP="00E856D2">
      <w:pPr>
        <w:widowControl/>
        <w:tabs>
          <w:tab w:val="center" w:pos="4677"/>
        </w:tabs>
      </w:pPr>
      <w:r w:rsidRPr="002412C9">
        <w:br w:type="page"/>
      </w:r>
      <w:r w:rsidRPr="002412C9">
        <w:lastRenderedPageBreak/>
        <w:t>PA_NonLeg</w:t>
      </w:r>
    </w:p>
    <w:p w:rsidR="002E2F2E" w:rsidRPr="002412C9" w:rsidRDefault="00073311">
      <w:pPr>
        <w:pStyle w:val="PageHeadingNotTOC"/>
      </w:pPr>
      <w:r w:rsidRPr="002412C9">
        <w:br w:type="page"/>
        <w:t>SUGGESTIES</w:t>
      </w:r>
    </w:p>
    <w:p w:rsidR="002E2F2E" w:rsidRPr="002412C9" w:rsidRDefault="00073311" w:rsidP="008313E7">
      <w:pPr>
        <w:pStyle w:val="Normal12a"/>
      </w:pPr>
      <w:r w:rsidRPr="002412C9">
        <w:t xml:space="preserve">De Commissie </w:t>
      </w:r>
      <w:r w:rsidRPr="002412C9">
        <w:t>burgerlijke vrijheden, justitie en binnenlandse zaken verzoekt de bevoegde Commissie begrotingscontrole onderstaande suggesties in haar ontwerpresolutie op te nemen:</w:t>
      </w:r>
    </w:p>
    <w:p w:rsidR="002E2F2E" w:rsidRPr="002412C9" w:rsidRDefault="00073311" w:rsidP="004607D0">
      <w:pPr>
        <w:pStyle w:val="NormalHanging12a"/>
        <w:jc w:val="both"/>
      </w:pPr>
      <w:bookmarkStart w:id="1" w:name="restart"/>
      <w:r w:rsidRPr="002412C9">
        <w:t>1.</w:t>
      </w:r>
      <w:r w:rsidRPr="002412C9">
        <w:tab/>
        <w:t>is ingenomen met het feit dat de Rekenkamer heeft verklaard dat de onderliggende verric</w:t>
      </w:r>
      <w:r w:rsidRPr="002412C9">
        <w:t>htingen bij de jaarrekening van het Agentschap van de Europese Unie voor justitiële samenwerking in strafzaken (Eurojust) voor het begrotingsjaar 2022 op alle materiële punten wettig en regelmatig zijn;</w:t>
      </w:r>
    </w:p>
    <w:bookmarkEnd w:id="1"/>
    <w:p w:rsidR="00324866" w:rsidRPr="002412C9" w:rsidRDefault="00073311" w:rsidP="004607D0">
      <w:pPr>
        <w:pStyle w:val="NormalHanging12a"/>
        <w:jc w:val="both"/>
      </w:pPr>
      <w:r w:rsidRPr="002412C9">
        <w:t>2.</w:t>
      </w:r>
      <w:r w:rsidRPr="002412C9">
        <w:tab/>
        <w:t>neemt kennis van een openstaande opmerking uit 202</w:t>
      </w:r>
      <w:r w:rsidRPr="002412C9">
        <w:t>0 over de wettigheid en regelmatigheid van verrichtingen op basis van de ondertekening van een kaderovereenkomst met één enkele onderneming voor de leasing van voertuigen, die resulteerde in een onregelmatige betaling van 59 281 EUR voor de verslagperiode;</w:t>
      </w:r>
      <w:r w:rsidRPr="002412C9">
        <w:t xml:space="preserve"> merkt op dat de overeenkomst in kwestie in 2024 afloopt en dat alle daaropvolgende specifieke overeenkomsten in het kader van deze kaderovereenkomst zijn gegund; verzoekt Eurojust volledig gevolg te geven aan deze opmerking door alle aanbevelingen van de </w:t>
      </w:r>
      <w:r w:rsidRPr="002412C9">
        <w:t>Rekenkamer uit te voeren en aan de kwijtingsautoriteit verslag uit te brengen over de geboekte vooruitgang;</w:t>
      </w:r>
    </w:p>
    <w:p w:rsidR="00D86729" w:rsidRPr="002412C9" w:rsidRDefault="00073311" w:rsidP="004607D0">
      <w:pPr>
        <w:pStyle w:val="NormalHanging12a"/>
        <w:jc w:val="both"/>
      </w:pPr>
      <w:r w:rsidRPr="002412C9">
        <w:t>3.</w:t>
      </w:r>
      <w:r w:rsidRPr="002412C9">
        <w:tab/>
        <w:t>neemt voorts kennis van de opmerking van de Rekenkamer dat Eurojust de in artikel 116 van het Financieel Reglement vastgestelde betalingstermijne</w:t>
      </w:r>
      <w:r w:rsidRPr="002412C9">
        <w:t>n niet in acht heeft genomen; wijst op het antwoord van Eurojust, dat zich moest aanpassen aan een nieuw budgettair en financieel systeem SUMMA, dat zich in de proeffase bevond, waardoor vertragingen en technische problemen bij de verwerking van de transac</w:t>
      </w:r>
      <w:r w:rsidRPr="002412C9">
        <w:t>ties ontstonden; herinnert eraan dat de overdrachten bij Eurojust aanzienlijk onder de vastgestelde drempels liggen;</w:t>
      </w:r>
    </w:p>
    <w:p w:rsidR="00324866" w:rsidRPr="002412C9" w:rsidRDefault="00073311" w:rsidP="004607D0">
      <w:pPr>
        <w:pStyle w:val="NormalHanging12a"/>
        <w:jc w:val="both"/>
      </w:pPr>
      <w:r w:rsidRPr="002412C9">
        <w:t>4.</w:t>
      </w:r>
      <w:r w:rsidRPr="002412C9">
        <w:tab/>
        <w:t>is ingenomen met het feit dat het aantal zaken dat Eurojust behandeld gestaag toeneemt, in 2022 met 14 %, dat er 528 coördinatievergader</w:t>
      </w:r>
      <w:r w:rsidRPr="002412C9">
        <w:t>ingen en 22 coördinatiecentra zijn georganiseerd, en dat Eurojust 265 gemeenschappelijke onderzoeksteams heeft ondersteund, de uitvoering van 1 262 Europese aanhoudingsbevelen heeft vergemakkelijkt en het gebruik van 5 415 Europese onderzoeksbevelen mogeli</w:t>
      </w:r>
      <w:r w:rsidRPr="002412C9">
        <w:t xml:space="preserve">jk heeft gemaakt; merkt op dat de zaken die Eurojust in 2022 heeft behandeld meer dan drie keer zoveel slachtoffers betroffen als in 2021; </w:t>
      </w:r>
    </w:p>
    <w:p w:rsidR="00324866" w:rsidRPr="002412C9" w:rsidRDefault="00073311" w:rsidP="004607D0">
      <w:pPr>
        <w:pStyle w:val="NormalHanging12a"/>
        <w:jc w:val="both"/>
      </w:pPr>
      <w:r w:rsidRPr="002412C9">
        <w:t>5.</w:t>
      </w:r>
      <w:r w:rsidRPr="002412C9">
        <w:tab/>
        <w:t xml:space="preserve">waardeert de door Eurojust gefaciliteerde transnationale samenwerking tussen justitiële autoriteiten en de nauwe </w:t>
      </w:r>
      <w:r w:rsidRPr="002412C9">
        <w:t xml:space="preserve">samenwerking met alle actoren in de strafrechtketen, die hebben bijgedragen tot de arrestatie van meer dan 4 000 verdachten, de inbeslagneming en/of bevriezing van criminele vermogensbestanddelen ter waarde van bijna 3 miljard EUR en de inbeslagneming van </w:t>
      </w:r>
      <w:r w:rsidRPr="002412C9">
        <w:t>drugs ter waarde van bijna 12 miljard EUR;</w:t>
      </w:r>
    </w:p>
    <w:p w:rsidR="00324866" w:rsidRPr="002412C9" w:rsidRDefault="00073311" w:rsidP="004607D0">
      <w:pPr>
        <w:pStyle w:val="NormalHanging12a"/>
        <w:jc w:val="both"/>
      </w:pPr>
      <w:r w:rsidRPr="002412C9">
        <w:t>6.</w:t>
      </w:r>
      <w:r w:rsidRPr="002412C9">
        <w:tab/>
        <w:t>wijst op de snelle reactie op de Russische invasie van Oekraïne, waarbij het mandaat van Eurojust is uitgebreid met het bewaren, analyseren en opslaan van bewijsmateriaal met betrekking tot internationale kernm</w:t>
      </w:r>
      <w:r w:rsidRPr="002412C9">
        <w:t>isdrijven en de oprichting van een justitiële gegevensbank voor het verzamelen en analyseren van bewijsmateriaal van internationale kernmisdrijven;</w:t>
      </w:r>
    </w:p>
    <w:p w:rsidR="00324866" w:rsidRPr="002412C9" w:rsidRDefault="00073311" w:rsidP="004607D0">
      <w:pPr>
        <w:pStyle w:val="NormalHanging12a"/>
        <w:jc w:val="both"/>
      </w:pPr>
      <w:r w:rsidRPr="002412C9">
        <w:t>7.</w:t>
      </w:r>
      <w:r w:rsidRPr="002412C9">
        <w:tab/>
        <w:t>is ingenomen met de inspanningen van Eurojust om de digitalisering van justitie en de tenuitvoerlegging v</w:t>
      </w:r>
      <w:r w:rsidRPr="002412C9">
        <w:t xml:space="preserve">an het nieuwe casemanagementsysteem van Eurojust te ondersteunen; </w:t>
      </w:r>
    </w:p>
    <w:p w:rsidR="0025230A" w:rsidRPr="002412C9" w:rsidRDefault="00073311" w:rsidP="00855820">
      <w:pPr>
        <w:pStyle w:val="NormalHanging12a"/>
        <w:ind w:left="560" w:hanging="560"/>
      </w:pPr>
      <w:r w:rsidRPr="002412C9">
        <w:t>8.</w:t>
      </w:r>
      <w:r w:rsidRPr="002412C9">
        <w:tab/>
        <w:t xml:space="preserve">is ingenomen met de voortgezette samenwerking van Eurojust met andere JBZ-instanties en andere belanghebbenden, zoals de 14 geopende zaken waarbij het Europees Openbaar Ministerie (EOM) </w:t>
      </w:r>
      <w:r w:rsidRPr="002412C9">
        <w:t xml:space="preserve">is betrokken, en de nauwe samenwerking met het Europees Bureau voor fraudebestrijding (OLAF), het Agentschap van de Europese Unie voor samenwerking op het gebied van rechtshandhaving (Europol), de Europese Toezichthouder voor gegevensbescherming (EDPS) en </w:t>
      </w:r>
      <w:r w:rsidRPr="002412C9">
        <w:t>eu-LISA, en is ingenomen met het feit dat Eurojust is blijven samenwerken met het Europees justitieel netwerk (EJN), waardoor het aantal naar het EJN doorverwezen zaken in 2021 op 44 is gebracht; is voorts ingenomen met de uitbreiding van het aantal Euroju</w:t>
      </w:r>
      <w:r w:rsidRPr="002412C9">
        <w:t>st-contactpunten naar meer dan 60 landen.</w:t>
      </w:r>
    </w:p>
    <w:p w:rsidR="00855820" w:rsidRPr="002412C9" w:rsidRDefault="00073311" w:rsidP="00855820">
      <w:r w:rsidRPr="002412C9">
        <w:br w:type="page"/>
      </w:r>
    </w:p>
    <w:p w:rsidR="00855820" w:rsidRPr="002412C9" w:rsidRDefault="00073311" w:rsidP="00855820">
      <w:pPr>
        <w:pStyle w:val="PageHeadingNotTOC"/>
      </w:pPr>
      <w:bookmarkStart w:id="2" w:name="ProcPageAD"/>
      <w:r w:rsidRPr="002412C9">
        <w:t>INFORMATIE OVER DE GOEDKEURING IN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121BF" w:rsidRPr="002412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b/>
                <w:bCs/>
                <w:color w:val="000000"/>
                <w:sz w:val="20"/>
              </w:rPr>
            </w:pPr>
            <w:r w:rsidRPr="002412C9">
              <w:rPr>
                <w:b/>
                <w:color w:val="000000"/>
                <w:sz w:val="20"/>
              </w:rPr>
              <w:t>Datum goedkeuring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55820" w:rsidRPr="002412C9" w:rsidRDefault="00073311">
            <w:pPr>
              <w:autoSpaceDE w:val="0"/>
              <w:autoSpaceDN w:val="0"/>
              <w:adjustRightInd w:val="0"/>
              <w:rPr>
                <w:color w:val="000000"/>
                <w:sz w:val="20"/>
              </w:rPr>
            </w:pPr>
            <w:r w:rsidRPr="002412C9">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55820" w:rsidRPr="002412C9" w:rsidRDefault="0085582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855820" w:rsidRPr="002412C9" w:rsidRDefault="00855820">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55820" w:rsidRPr="002412C9" w:rsidRDefault="00855820">
            <w:pPr>
              <w:autoSpaceDE w:val="0"/>
              <w:autoSpaceDN w:val="0"/>
              <w:adjustRightInd w:val="0"/>
              <w:rPr>
                <w:rFonts w:ascii="sans-serif" w:hAnsi="sans-serif" w:cs="sans-serif"/>
                <w:color w:val="000000"/>
                <w:szCs w:val="24"/>
              </w:rPr>
            </w:pPr>
          </w:p>
        </w:tc>
      </w:tr>
      <w:tr w:rsidR="00B121BF" w:rsidRPr="002412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b/>
                <w:bCs/>
                <w:color w:val="000000"/>
                <w:sz w:val="20"/>
              </w:rPr>
            </w:pPr>
            <w:r w:rsidRPr="002412C9">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855820" w:rsidRPr="002412C9" w:rsidRDefault="00073311">
            <w:pPr>
              <w:autoSpaceDE w:val="0"/>
              <w:autoSpaceDN w:val="0"/>
              <w:adjustRightInd w:val="0"/>
              <w:rPr>
                <w:color w:val="000000"/>
                <w:sz w:val="20"/>
              </w:rPr>
            </w:pPr>
            <w:r w:rsidRPr="002412C9">
              <w:rPr>
                <w:color w:val="000000"/>
                <w:sz w:val="20"/>
              </w:rPr>
              <w:t>+:</w:t>
            </w:r>
          </w:p>
          <w:p w:rsidR="00855820" w:rsidRPr="002412C9" w:rsidRDefault="00073311">
            <w:pPr>
              <w:autoSpaceDE w:val="0"/>
              <w:autoSpaceDN w:val="0"/>
              <w:adjustRightInd w:val="0"/>
              <w:rPr>
                <w:color w:val="000000"/>
                <w:sz w:val="20"/>
              </w:rPr>
            </w:pPr>
            <w:r w:rsidRPr="002412C9">
              <w:rPr>
                <w:color w:val="000000"/>
                <w:sz w:val="20"/>
              </w:rPr>
              <w:t>–:</w:t>
            </w:r>
          </w:p>
          <w:p w:rsidR="00855820" w:rsidRPr="002412C9" w:rsidRDefault="00073311">
            <w:pPr>
              <w:autoSpaceDE w:val="0"/>
              <w:autoSpaceDN w:val="0"/>
              <w:adjustRightInd w:val="0"/>
              <w:rPr>
                <w:color w:val="000000"/>
                <w:sz w:val="20"/>
              </w:rPr>
            </w:pPr>
            <w:r w:rsidRPr="002412C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color w:val="000000"/>
                <w:sz w:val="20"/>
              </w:rPr>
            </w:pPr>
            <w:r w:rsidRPr="002412C9">
              <w:rPr>
                <w:color w:val="000000"/>
                <w:sz w:val="20"/>
              </w:rPr>
              <w:t>51</w:t>
            </w:r>
          </w:p>
          <w:p w:rsidR="00855820" w:rsidRPr="002412C9" w:rsidRDefault="00073311">
            <w:pPr>
              <w:autoSpaceDE w:val="0"/>
              <w:autoSpaceDN w:val="0"/>
              <w:adjustRightInd w:val="0"/>
              <w:rPr>
                <w:color w:val="000000"/>
                <w:sz w:val="20"/>
              </w:rPr>
            </w:pPr>
            <w:r w:rsidRPr="002412C9">
              <w:rPr>
                <w:color w:val="000000"/>
                <w:sz w:val="20"/>
              </w:rPr>
              <w:t>2</w:t>
            </w:r>
          </w:p>
          <w:p w:rsidR="00855820" w:rsidRPr="002412C9" w:rsidRDefault="00073311">
            <w:pPr>
              <w:autoSpaceDE w:val="0"/>
              <w:autoSpaceDN w:val="0"/>
              <w:adjustRightInd w:val="0"/>
              <w:rPr>
                <w:color w:val="000000"/>
                <w:sz w:val="20"/>
              </w:rPr>
            </w:pPr>
            <w:r w:rsidRPr="002412C9">
              <w:rPr>
                <w:color w:val="000000"/>
                <w:sz w:val="20"/>
              </w:rPr>
              <w:t>2</w:t>
            </w:r>
          </w:p>
        </w:tc>
      </w:tr>
      <w:tr w:rsidR="00B121BF" w:rsidRPr="002412C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b/>
                <w:bCs/>
                <w:color w:val="000000"/>
                <w:sz w:val="20"/>
              </w:rPr>
            </w:pPr>
            <w:r w:rsidRPr="002412C9">
              <w:rPr>
                <w:b/>
                <w:color w:val="000000"/>
                <w:sz w:val="20"/>
              </w:rPr>
              <w:t>Bij de eindstemming 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color w:val="000000"/>
                <w:sz w:val="20"/>
              </w:rPr>
            </w:pPr>
            <w:r w:rsidRPr="002412C9">
              <w:rPr>
                <w:color w:val="000000"/>
                <w:sz w:val="20"/>
              </w:rPr>
              <w:t xml:space="preserve">Magdalena Adamowicz, Abir Al-Sahlani, Katarina </w:t>
            </w:r>
            <w:r w:rsidRPr="002412C9">
              <w:rPr>
                <w:color w:val="000000"/>
                <w:sz w:val="20"/>
              </w:rPr>
              <w:t>Barley, Pietro Bartolo, Theresa Bielowski, Patrick Breyer, Saskia Bricmont, Jorge Buxadé Villalba, Damien Carême, Patricia Chagnon, Lena Düpont, Lucia Ďuriš Nicholsonová, Cornelia Ernst, Nicolaus Fest, Maria Grapini, Sylvie Guillaume, Andrzej Halicki, Evin</w:t>
            </w:r>
            <w:r w:rsidRPr="002412C9">
              <w:rPr>
                <w:color w:val="000000"/>
                <w:sz w:val="20"/>
              </w:rPr>
              <w:t xml:space="preserve"> Incir, Sophia in ‘t Veld, Patryk Jaki, Marina Kaljurand, Assita Kanko, Łukasz Kohut, Moritz Körner, Alice Kuhnke, Jeroen Lenaers, Juan Fernando López Aguilar, Erik Marquardt, Javier Moreno Sánchez, Maite Pagazaurtundúa, Diana Riba i Giner, Isabel Santos, </w:t>
            </w:r>
            <w:r w:rsidRPr="002412C9">
              <w:rPr>
                <w:color w:val="000000"/>
                <w:sz w:val="20"/>
              </w:rPr>
              <w:t>Birgit Sippel, Vincenzo Sofo, Tineke Strik, Milan Uhrík, Tom Vandendriessche, Elissavet Vozemberg-Vrionidi, Elena Yoncheva, Javier Zarzalejos</w:t>
            </w:r>
          </w:p>
        </w:tc>
      </w:tr>
      <w:tr w:rsidR="00B121BF" w:rsidRPr="002412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b/>
                <w:bCs/>
                <w:color w:val="000000"/>
                <w:sz w:val="20"/>
              </w:rPr>
            </w:pPr>
            <w:r w:rsidRPr="002412C9">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color w:val="000000"/>
                <w:sz w:val="20"/>
              </w:rPr>
            </w:pPr>
            <w:r w:rsidRPr="002412C9">
              <w:rPr>
                <w:color w:val="000000"/>
                <w:sz w:val="20"/>
              </w:rPr>
              <w:t>Cyrus Engerer, José Gusmão, Beata Kempa, Leopoldo López Gil,</w:t>
            </w:r>
            <w:r w:rsidRPr="002412C9">
              <w:rPr>
                <w:color w:val="000000"/>
                <w:sz w:val="20"/>
              </w:rPr>
              <w:t xml:space="preserve"> Janina Ochojska, Anne-Sophie Pelletier, Bergur Løkke Rasmussen, Róża Thun und Hohenstein, Maria Walsh, Tomáš Zdechovský</w:t>
            </w:r>
          </w:p>
        </w:tc>
      </w:tr>
      <w:tr w:rsidR="00B121BF" w:rsidRPr="002412C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b/>
                <w:bCs/>
                <w:color w:val="000000"/>
                <w:sz w:val="20"/>
              </w:rPr>
            </w:pPr>
            <w:r w:rsidRPr="002412C9">
              <w:rPr>
                <w:b/>
                <w:color w:val="000000"/>
                <w:sz w:val="20"/>
              </w:rPr>
              <w:t>Bij de eindstemming aanwezige plaatsvervangers (art.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855820" w:rsidRPr="002412C9" w:rsidRDefault="00073311">
            <w:pPr>
              <w:autoSpaceDE w:val="0"/>
              <w:autoSpaceDN w:val="0"/>
              <w:adjustRightInd w:val="0"/>
              <w:rPr>
                <w:color w:val="000000"/>
                <w:sz w:val="20"/>
              </w:rPr>
            </w:pPr>
            <w:r w:rsidRPr="002412C9">
              <w:rPr>
                <w:color w:val="000000"/>
                <w:sz w:val="20"/>
              </w:rPr>
              <w:t xml:space="preserve">Andrus Ansip, Hildegard Bentele, Maria da Graça Carvalho, Marisa </w:t>
            </w:r>
            <w:r w:rsidRPr="002412C9">
              <w:rPr>
                <w:color w:val="000000"/>
                <w:sz w:val="20"/>
              </w:rPr>
              <w:t>Matias, Caroline Nagtegaal</w:t>
            </w:r>
          </w:p>
        </w:tc>
      </w:tr>
    </w:tbl>
    <w:p w:rsidR="00855820" w:rsidRPr="002412C9" w:rsidRDefault="00855820"/>
    <w:bookmarkEnd w:id="2"/>
    <w:p w:rsidR="000E5BA4" w:rsidRPr="002412C9" w:rsidRDefault="000E5BA4" w:rsidP="00855820">
      <w:pPr>
        <w:sectPr w:rsidR="000E5BA4" w:rsidRPr="002412C9" w:rsidSect="002412C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E5BA4" w:rsidRPr="002412C9" w:rsidRDefault="00073311" w:rsidP="002B2C72">
      <w:pPr>
        <w:pStyle w:val="PageHeadingNotTOC"/>
        <w:rPr>
          <w:noProof/>
        </w:rPr>
      </w:pPr>
      <w:bookmarkStart w:id="3" w:name="FootprintPageAD"/>
      <w:r w:rsidRPr="002412C9">
        <w:t>BIJLAGE: ENTITEITEN WAARVAN OF PERSONEN VAN WIE DE RAPPORTEUR INPUT HEEFT ONTVANGEN</w:t>
      </w:r>
    </w:p>
    <w:p w:rsidR="000E5BA4" w:rsidRPr="002412C9" w:rsidRDefault="00073311" w:rsidP="00037518">
      <w:pPr>
        <w:pStyle w:val="Normal24a"/>
      </w:pPr>
      <w:r w:rsidRPr="002412C9">
        <w:rPr>
          <w:rStyle w:val="HideTWBExt"/>
        </w:rPr>
        <w:t>&lt;FootprintIntro&gt;</w:t>
      </w:r>
      <w:r w:rsidRPr="002412C9">
        <w:t>De rapporteur heeft bij de opstelling van het advies informatie ontvangen van de volgende entiteiten of personen:</w:t>
      </w:r>
      <w:r w:rsidRPr="002412C9">
        <w:rPr>
          <w:rStyle w:val="HideTWBExt"/>
        </w:rPr>
        <w:t>&lt;/FootprintI</w:t>
      </w:r>
      <w:r w:rsidRPr="002412C9">
        <w:rPr>
          <w:rStyle w:val="HideTWBExt"/>
        </w:rPr>
        <w:t>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121BF" w:rsidRPr="002412C9" w:rsidTr="00F42F07">
        <w:tc>
          <w:tcPr>
            <w:tcW w:w="9286" w:type="dxa"/>
            <w:shd w:val="clear" w:color="auto" w:fill="auto"/>
          </w:tcPr>
          <w:p w:rsidR="000E5BA4" w:rsidRPr="002412C9" w:rsidRDefault="00073311" w:rsidP="000E5BA4">
            <w:pPr>
              <w:pStyle w:val="NormalBoldCenter"/>
            </w:pPr>
            <w:r w:rsidRPr="002412C9">
              <w:t>Entiteit en/of persoon</w:t>
            </w:r>
          </w:p>
        </w:tc>
      </w:tr>
      <w:tr w:rsidR="00B121BF" w:rsidRPr="002412C9" w:rsidTr="00F42F07">
        <w:tc>
          <w:tcPr>
            <w:tcW w:w="9286" w:type="dxa"/>
            <w:shd w:val="clear" w:color="auto" w:fill="auto"/>
          </w:tcPr>
          <w:p w:rsidR="000E5BA4" w:rsidRPr="002412C9" w:rsidRDefault="00073311" w:rsidP="000E5BA4">
            <w:r w:rsidRPr="002412C9">
              <w:t>Agentschap van de Europese Unie voor justitiële samenwerking in strafzaken (Eurojust)</w:t>
            </w:r>
          </w:p>
        </w:tc>
      </w:tr>
    </w:tbl>
    <w:p w:rsidR="000E5BA4" w:rsidRPr="002412C9" w:rsidRDefault="000E5BA4" w:rsidP="00AD5932"/>
    <w:p w:rsidR="000E5BA4" w:rsidRPr="002412C9" w:rsidRDefault="00073311" w:rsidP="004E1B62">
      <w:pPr>
        <w:rPr>
          <w:szCs w:val="24"/>
        </w:rPr>
      </w:pPr>
      <w:r w:rsidRPr="002412C9">
        <w:t>De bovenstaande lijst is opgesteld onder de exclusieve verantwoordelijkheid van de rapporteur voor advies.</w:t>
      </w:r>
    </w:p>
    <w:p w:rsidR="000E5BA4" w:rsidRPr="002412C9" w:rsidRDefault="000E5BA4" w:rsidP="000E5BA4"/>
    <w:bookmarkEnd w:id="3"/>
    <w:p w:rsidR="000E5BA4" w:rsidRPr="002412C9" w:rsidRDefault="000E5BA4" w:rsidP="00855820">
      <w:pPr>
        <w:sectPr w:rsidR="000E5BA4" w:rsidRPr="002412C9" w:rsidSect="000E5BA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55820" w:rsidRPr="002412C9" w:rsidRDefault="00073311" w:rsidP="00855820">
      <w:pPr>
        <w:pStyle w:val="PageHeadingNotTOC"/>
      </w:pPr>
      <w:bookmarkStart w:id="4" w:name="RollCallPageAD"/>
      <w:r w:rsidRPr="002412C9">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121BF" w:rsidRPr="002412C9" w:rsidTr="008920AC">
        <w:trPr>
          <w:cantSplit/>
        </w:trPr>
        <w:tc>
          <w:tcPr>
            <w:tcW w:w="1701" w:type="dxa"/>
            <w:shd w:val="pct10" w:color="000000" w:fill="FFFFFF"/>
            <w:vAlign w:val="center"/>
          </w:tcPr>
          <w:p w:rsidR="00855820" w:rsidRPr="002412C9" w:rsidRDefault="00073311" w:rsidP="003858C5">
            <w:pPr>
              <w:pStyle w:val="RollCallVotes"/>
            </w:pPr>
            <w:r w:rsidRPr="002412C9">
              <w:t>51</w:t>
            </w:r>
          </w:p>
        </w:tc>
        <w:tc>
          <w:tcPr>
            <w:tcW w:w="7371" w:type="dxa"/>
            <w:shd w:val="pct10" w:color="000000" w:fill="FFFFFF"/>
          </w:tcPr>
          <w:p w:rsidR="00855820" w:rsidRPr="002412C9" w:rsidRDefault="00073311" w:rsidP="003858C5">
            <w:pPr>
              <w:pStyle w:val="RollCallSymbols14pt"/>
            </w:pPr>
            <w:r w:rsidRPr="002412C9">
              <w:t>+</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ECR</w:t>
            </w:r>
          </w:p>
        </w:tc>
        <w:tc>
          <w:tcPr>
            <w:tcW w:w="7371" w:type="dxa"/>
            <w:shd w:val="clear" w:color="auto" w:fill="FFFFFF"/>
          </w:tcPr>
          <w:p w:rsidR="00855820" w:rsidRPr="002412C9" w:rsidRDefault="00073311" w:rsidP="003858C5">
            <w:pPr>
              <w:pStyle w:val="RollCallTable"/>
            </w:pPr>
            <w:r w:rsidRPr="002412C9">
              <w:t>Jorge Buxadé Villalba, Patryk Jaki, Assita Kanko, Beata Kempa</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ID</w:t>
            </w:r>
          </w:p>
        </w:tc>
        <w:tc>
          <w:tcPr>
            <w:tcW w:w="7371" w:type="dxa"/>
            <w:shd w:val="clear" w:color="auto" w:fill="FFFFFF"/>
          </w:tcPr>
          <w:p w:rsidR="00855820" w:rsidRPr="002412C9" w:rsidRDefault="00073311" w:rsidP="003858C5">
            <w:pPr>
              <w:pStyle w:val="RollCallTable"/>
            </w:pPr>
            <w:r w:rsidRPr="002412C9">
              <w:t>Tom Vandendriessche</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PPE</w:t>
            </w:r>
          </w:p>
        </w:tc>
        <w:tc>
          <w:tcPr>
            <w:tcW w:w="7371" w:type="dxa"/>
            <w:shd w:val="clear" w:color="auto" w:fill="FFFFFF"/>
          </w:tcPr>
          <w:p w:rsidR="00855820" w:rsidRPr="002412C9" w:rsidRDefault="00073311" w:rsidP="003858C5">
            <w:pPr>
              <w:pStyle w:val="RollCallTable"/>
            </w:pPr>
            <w:r w:rsidRPr="002412C9">
              <w:t xml:space="preserve">Magdalena Adamowicz, Hildegard Bentele, Maria da Graça Carvalho, Lena Düpont, Andrzej Halicki, Jeroen </w:t>
            </w:r>
            <w:r w:rsidRPr="002412C9">
              <w:t>Lenaers, Leopoldo López Gil, Janina Ochojska, Elissavet Vozemberg-Vrionidi, Maria Walsh, Javier Zarzalejos, Tomáš Zdechovský</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Renew</w:t>
            </w:r>
          </w:p>
        </w:tc>
        <w:tc>
          <w:tcPr>
            <w:tcW w:w="7371" w:type="dxa"/>
            <w:shd w:val="clear" w:color="auto" w:fill="FFFFFF"/>
          </w:tcPr>
          <w:p w:rsidR="00855820" w:rsidRPr="002412C9" w:rsidRDefault="00073311" w:rsidP="003858C5">
            <w:pPr>
              <w:pStyle w:val="RollCallTable"/>
            </w:pPr>
            <w:r w:rsidRPr="002412C9">
              <w:t>Abir Al-Sahlani, Andrus Ansip, Lucia Ďuriš Nicholsonová, Sophia in 't Veld, Moritz Körner, Caroline Nagtegaal, Maite Pagazau</w:t>
            </w:r>
            <w:r w:rsidRPr="002412C9">
              <w:t>rtundúa, Bergur Løkke Rasmussen, Róża Thun und Hohenstein</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S&amp;D</w:t>
            </w:r>
          </w:p>
        </w:tc>
        <w:tc>
          <w:tcPr>
            <w:tcW w:w="7371" w:type="dxa"/>
            <w:shd w:val="clear" w:color="auto" w:fill="FFFFFF"/>
          </w:tcPr>
          <w:p w:rsidR="00855820" w:rsidRPr="002412C9" w:rsidRDefault="00073311" w:rsidP="003858C5">
            <w:pPr>
              <w:pStyle w:val="RollCallTable"/>
            </w:pPr>
            <w:r w:rsidRPr="002412C9">
              <w:t>Katarina Barley, Pietro Bartolo, Theresa Bielowski, Cyrus Engerer, Maria Grapini, Sylvie Guillaume, Evin Incir, Marina Kaljurand, Łukasz Kohut, Juan Fernando López Aguilar, Javier Moreno Sánche</w:t>
            </w:r>
            <w:r w:rsidRPr="002412C9">
              <w:t>z, Isabel Santos, Birgit Sippel, Elena Yoncheva</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The Left</w:t>
            </w:r>
          </w:p>
        </w:tc>
        <w:tc>
          <w:tcPr>
            <w:tcW w:w="7371" w:type="dxa"/>
            <w:shd w:val="clear" w:color="auto" w:fill="FFFFFF"/>
          </w:tcPr>
          <w:p w:rsidR="00855820" w:rsidRPr="002412C9" w:rsidRDefault="00073311" w:rsidP="003858C5">
            <w:pPr>
              <w:pStyle w:val="RollCallTable"/>
            </w:pPr>
            <w:r w:rsidRPr="002412C9">
              <w:t>Cornelia Ernst, José Gusmão, Marisa Matias, Anne-Sophie Pelletier</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Verts/ALE</w:t>
            </w:r>
          </w:p>
        </w:tc>
        <w:tc>
          <w:tcPr>
            <w:tcW w:w="7371" w:type="dxa"/>
            <w:shd w:val="clear" w:color="auto" w:fill="FFFFFF"/>
          </w:tcPr>
          <w:p w:rsidR="00855820" w:rsidRPr="002412C9" w:rsidRDefault="00073311" w:rsidP="003858C5">
            <w:pPr>
              <w:pStyle w:val="RollCallTable"/>
            </w:pPr>
            <w:r w:rsidRPr="002412C9">
              <w:t>Patrick Breyer, Saskia Bricmont, Damien Carême, Alice Kuhnke, Erik Marquardt, Diana Riba i Giner, Tineke Strik</w:t>
            </w:r>
          </w:p>
        </w:tc>
      </w:tr>
    </w:tbl>
    <w:p w:rsidR="00855820" w:rsidRPr="002412C9" w:rsidRDefault="0085582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121BF" w:rsidRPr="002412C9" w:rsidTr="008920AC">
        <w:trPr>
          <w:cantSplit/>
        </w:trPr>
        <w:tc>
          <w:tcPr>
            <w:tcW w:w="1701" w:type="dxa"/>
            <w:shd w:val="pct10" w:color="000000" w:fill="FFFFFF"/>
            <w:vAlign w:val="center"/>
          </w:tcPr>
          <w:p w:rsidR="00855820" w:rsidRPr="002412C9" w:rsidRDefault="00073311" w:rsidP="003858C5">
            <w:pPr>
              <w:pStyle w:val="RollCallVotes"/>
            </w:pPr>
            <w:r w:rsidRPr="002412C9">
              <w:t>2</w:t>
            </w:r>
          </w:p>
        </w:tc>
        <w:tc>
          <w:tcPr>
            <w:tcW w:w="7371" w:type="dxa"/>
            <w:shd w:val="pct10" w:color="000000" w:fill="FFFFFF"/>
          </w:tcPr>
          <w:p w:rsidR="00855820" w:rsidRPr="002412C9" w:rsidRDefault="00073311" w:rsidP="003858C5">
            <w:pPr>
              <w:pStyle w:val="RollCallSymbols14pt"/>
            </w:pPr>
            <w:r w:rsidRPr="002412C9">
              <w:t>-</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ID</w:t>
            </w:r>
          </w:p>
        </w:tc>
        <w:tc>
          <w:tcPr>
            <w:tcW w:w="7371" w:type="dxa"/>
            <w:shd w:val="clear" w:color="auto" w:fill="FFFFFF"/>
          </w:tcPr>
          <w:p w:rsidR="00855820" w:rsidRPr="002412C9" w:rsidRDefault="00073311" w:rsidP="003858C5">
            <w:pPr>
              <w:pStyle w:val="RollCallTable"/>
            </w:pPr>
            <w:r w:rsidRPr="002412C9">
              <w:t>Nicolaus Fest</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NI</w:t>
            </w:r>
          </w:p>
        </w:tc>
        <w:tc>
          <w:tcPr>
            <w:tcW w:w="7371" w:type="dxa"/>
            <w:shd w:val="clear" w:color="auto" w:fill="FFFFFF"/>
          </w:tcPr>
          <w:p w:rsidR="00855820" w:rsidRPr="002412C9" w:rsidRDefault="00073311" w:rsidP="003858C5">
            <w:pPr>
              <w:pStyle w:val="RollCallTable"/>
            </w:pPr>
            <w:r w:rsidRPr="002412C9">
              <w:t>Milan Uhrík</w:t>
            </w:r>
          </w:p>
        </w:tc>
      </w:tr>
    </w:tbl>
    <w:p w:rsidR="00855820" w:rsidRPr="002412C9" w:rsidRDefault="00855820"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121BF" w:rsidRPr="002412C9" w:rsidTr="008920AC">
        <w:trPr>
          <w:cantSplit/>
        </w:trPr>
        <w:tc>
          <w:tcPr>
            <w:tcW w:w="1701" w:type="dxa"/>
            <w:shd w:val="pct10" w:color="000000" w:fill="FFFFFF"/>
            <w:vAlign w:val="center"/>
          </w:tcPr>
          <w:p w:rsidR="00855820" w:rsidRPr="002412C9" w:rsidRDefault="00073311" w:rsidP="003858C5">
            <w:pPr>
              <w:pStyle w:val="RollCallVotes"/>
            </w:pPr>
            <w:r w:rsidRPr="002412C9">
              <w:t>2</w:t>
            </w:r>
          </w:p>
        </w:tc>
        <w:tc>
          <w:tcPr>
            <w:tcW w:w="7371" w:type="dxa"/>
            <w:shd w:val="pct10" w:color="000000" w:fill="FFFFFF"/>
          </w:tcPr>
          <w:p w:rsidR="00855820" w:rsidRPr="002412C9" w:rsidRDefault="00073311" w:rsidP="003858C5">
            <w:pPr>
              <w:pStyle w:val="RollCallSymbols14pt"/>
            </w:pPr>
            <w:r w:rsidRPr="002412C9">
              <w:t>0</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ECR</w:t>
            </w:r>
          </w:p>
        </w:tc>
        <w:tc>
          <w:tcPr>
            <w:tcW w:w="7371" w:type="dxa"/>
            <w:shd w:val="clear" w:color="auto" w:fill="FFFFFF"/>
          </w:tcPr>
          <w:p w:rsidR="00855820" w:rsidRPr="002412C9" w:rsidRDefault="00073311" w:rsidP="003858C5">
            <w:pPr>
              <w:pStyle w:val="RollCallTable"/>
            </w:pPr>
            <w:r w:rsidRPr="002412C9">
              <w:t>Vincenzo Sofo</w:t>
            </w:r>
          </w:p>
        </w:tc>
      </w:tr>
      <w:tr w:rsidR="00B121BF" w:rsidRPr="002412C9" w:rsidTr="008920AC">
        <w:trPr>
          <w:cantSplit/>
        </w:trPr>
        <w:tc>
          <w:tcPr>
            <w:tcW w:w="1701" w:type="dxa"/>
            <w:shd w:val="clear" w:color="auto" w:fill="FFFFFF"/>
          </w:tcPr>
          <w:p w:rsidR="00855820" w:rsidRPr="002412C9" w:rsidRDefault="00073311" w:rsidP="003858C5">
            <w:pPr>
              <w:pStyle w:val="RollCallTable"/>
            </w:pPr>
            <w:r w:rsidRPr="002412C9">
              <w:t>ID</w:t>
            </w:r>
          </w:p>
        </w:tc>
        <w:tc>
          <w:tcPr>
            <w:tcW w:w="7371" w:type="dxa"/>
            <w:shd w:val="clear" w:color="auto" w:fill="FFFFFF"/>
          </w:tcPr>
          <w:p w:rsidR="00855820" w:rsidRPr="002412C9" w:rsidRDefault="00073311" w:rsidP="003858C5">
            <w:pPr>
              <w:pStyle w:val="RollCallTable"/>
            </w:pPr>
            <w:r w:rsidRPr="002412C9">
              <w:t>Patricia Chagnon</w:t>
            </w:r>
          </w:p>
        </w:tc>
      </w:tr>
    </w:tbl>
    <w:p w:rsidR="00855820" w:rsidRPr="002412C9" w:rsidRDefault="00855820" w:rsidP="00147FBF">
      <w:pPr>
        <w:pStyle w:val="Normal12a"/>
      </w:pPr>
    </w:p>
    <w:p w:rsidR="00855820" w:rsidRPr="002412C9" w:rsidRDefault="00073311" w:rsidP="00B735E3">
      <w:r w:rsidRPr="002412C9">
        <w:t>Verklaring van de gebruikte tekens:</w:t>
      </w:r>
    </w:p>
    <w:p w:rsidR="00855820" w:rsidRPr="002412C9" w:rsidRDefault="00073311" w:rsidP="003858C5">
      <w:pPr>
        <w:pStyle w:val="RollCallTabs"/>
      </w:pPr>
      <w:r w:rsidRPr="002412C9">
        <w:t>+</w:t>
      </w:r>
      <w:r w:rsidRPr="002412C9">
        <w:tab/>
        <w:t>:</w:t>
      </w:r>
      <w:r w:rsidRPr="002412C9">
        <w:tab/>
        <w:t>voor</w:t>
      </w:r>
    </w:p>
    <w:p w:rsidR="00855820" w:rsidRPr="002412C9" w:rsidRDefault="00073311" w:rsidP="003858C5">
      <w:pPr>
        <w:pStyle w:val="RollCallTabs"/>
      </w:pPr>
      <w:r w:rsidRPr="002412C9">
        <w:t>-</w:t>
      </w:r>
      <w:r w:rsidRPr="002412C9">
        <w:tab/>
        <w:t>:</w:t>
      </w:r>
      <w:r w:rsidRPr="002412C9">
        <w:tab/>
        <w:t>tegen</w:t>
      </w:r>
    </w:p>
    <w:p w:rsidR="00855820" w:rsidRPr="002412C9" w:rsidRDefault="00073311" w:rsidP="003858C5">
      <w:pPr>
        <w:pStyle w:val="RollCallTabs"/>
      </w:pPr>
      <w:r w:rsidRPr="002412C9">
        <w:t>0</w:t>
      </w:r>
      <w:r w:rsidRPr="002412C9">
        <w:tab/>
        <w:t>:</w:t>
      </w:r>
      <w:r w:rsidRPr="002412C9">
        <w:tab/>
        <w:t>onthouding</w:t>
      </w:r>
    </w:p>
    <w:p w:rsidR="00855820" w:rsidRPr="002412C9" w:rsidRDefault="00855820" w:rsidP="00207509"/>
    <w:bookmarkEnd w:id="4"/>
    <w:p w:rsidR="002E6F98" w:rsidRPr="002412C9" w:rsidRDefault="002E6F98" w:rsidP="00855820"/>
    <w:sectPr w:rsidR="002E6F98" w:rsidRPr="002412C9" w:rsidSect="000E5BA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2412C9" w:rsidRDefault="00073311">
      <w:r w:rsidRPr="002412C9">
        <w:separator/>
      </w:r>
    </w:p>
  </w:endnote>
  <w:endnote w:type="continuationSeparator" w:id="0">
    <w:p w:rsidR="00000000" w:rsidRPr="002412C9" w:rsidRDefault="00073311">
      <w:r w:rsidRPr="002412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C9" w:rsidRPr="002412C9" w:rsidRDefault="002412C9" w:rsidP="002412C9">
    <w:pPr>
      <w:pStyle w:val="EPFooter"/>
    </w:pPr>
    <w:r w:rsidRPr="002412C9">
      <w:t>PE</w:t>
    </w:r>
    <w:r w:rsidRPr="002412C9">
      <w:rPr>
        <w:rStyle w:val="HideTWBExt"/>
      </w:rPr>
      <w:t>&lt;NoPE&gt;</w:t>
    </w:r>
    <w:r w:rsidRPr="002412C9">
      <w:t>756.199</w:t>
    </w:r>
    <w:r w:rsidRPr="002412C9">
      <w:rPr>
        <w:rStyle w:val="HideTWBExt"/>
      </w:rPr>
      <w:t>&lt;/NoPE&gt;&lt;Version&gt;</w:t>
    </w:r>
    <w:r w:rsidRPr="002412C9">
      <w:t>v03-00</w:t>
    </w:r>
    <w:r w:rsidRPr="002412C9">
      <w:rPr>
        <w:rStyle w:val="HideTWBExt"/>
      </w:rPr>
      <w:t>&lt;/Version&gt;</w:t>
    </w:r>
    <w:r w:rsidRPr="002412C9">
      <w:tab/>
    </w:r>
    <w:r w:rsidRPr="002412C9">
      <w:fldChar w:fldCharType="begin"/>
    </w:r>
    <w:r w:rsidRPr="002412C9">
      <w:instrText xml:space="preserve"> PAGE  \* MERGEFORMAT </w:instrText>
    </w:r>
    <w:r w:rsidRPr="002412C9">
      <w:fldChar w:fldCharType="separate"/>
    </w:r>
    <w:r w:rsidR="00073311">
      <w:rPr>
        <w:noProof/>
      </w:rPr>
      <w:t>7</w:t>
    </w:r>
    <w:r w:rsidRPr="002412C9">
      <w:fldChar w:fldCharType="end"/>
    </w:r>
    <w:r w:rsidRPr="002412C9">
      <w:t>/</w:t>
    </w:r>
    <w:fldSimple w:instr=" NUMPAGES  \* MERGEFORMAT ">
      <w:r w:rsidR="00073311">
        <w:rPr>
          <w:noProof/>
        </w:rPr>
        <w:t>7</w:t>
      </w:r>
    </w:fldSimple>
    <w:r w:rsidRPr="002412C9">
      <w:tab/>
    </w:r>
    <w:r w:rsidRPr="002412C9">
      <w:rPr>
        <w:rStyle w:val="HideTWBExt"/>
      </w:rPr>
      <w:t>&lt;PathFdR&gt;</w:t>
    </w:r>
    <w:r w:rsidRPr="002412C9">
      <w:t>AD\1295231NL.docx</w:t>
    </w:r>
    <w:r w:rsidRPr="002412C9">
      <w:rPr>
        <w:rStyle w:val="HideTWBExt"/>
      </w:rPr>
      <w:t>&lt;/PathFdR&gt;</w:t>
    </w:r>
  </w:p>
  <w:p w:rsidR="002E2F2E" w:rsidRPr="002412C9" w:rsidRDefault="002412C9" w:rsidP="002412C9">
    <w:pPr>
      <w:pStyle w:val="EPFooter2"/>
    </w:pPr>
    <w:r w:rsidRPr="002412C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C9" w:rsidRPr="002412C9" w:rsidRDefault="002412C9" w:rsidP="002412C9">
    <w:pPr>
      <w:pStyle w:val="EPFooter"/>
    </w:pPr>
    <w:r w:rsidRPr="002412C9">
      <w:rPr>
        <w:rStyle w:val="HideTWBExt"/>
      </w:rPr>
      <w:t>&lt;PathFdR&gt;</w:t>
    </w:r>
    <w:r w:rsidRPr="002412C9">
      <w:t>AD\1295231NL.docx</w:t>
    </w:r>
    <w:r w:rsidRPr="002412C9">
      <w:rPr>
        <w:rStyle w:val="HideTWBExt"/>
      </w:rPr>
      <w:t>&lt;/PathFdR&gt;</w:t>
    </w:r>
    <w:r w:rsidRPr="002412C9">
      <w:tab/>
    </w:r>
    <w:r w:rsidRPr="002412C9">
      <w:fldChar w:fldCharType="begin"/>
    </w:r>
    <w:r w:rsidRPr="002412C9">
      <w:instrText xml:space="preserve"> PAGE  \* MERGEFORMAT </w:instrText>
    </w:r>
    <w:r w:rsidRPr="002412C9">
      <w:fldChar w:fldCharType="separate"/>
    </w:r>
    <w:r w:rsidR="00073311">
      <w:rPr>
        <w:noProof/>
      </w:rPr>
      <w:t>7</w:t>
    </w:r>
    <w:r w:rsidRPr="002412C9">
      <w:fldChar w:fldCharType="end"/>
    </w:r>
    <w:r w:rsidRPr="002412C9">
      <w:t>/</w:t>
    </w:r>
    <w:fldSimple w:instr=" NUMPAGES  \* MERGEFORMAT ">
      <w:r w:rsidR="00073311">
        <w:rPr>
          <w:noProof/>
        </w:rPr>
        <w:t>7</w:t>
      </w:r>
    </w:fldSimple>
    <w:r w:rsidRPr="002412C9">
      <w:tab/>
      <w:t>PE</w:t>
    </w:r>
    <w:r w:rsidRPr="002412C9">
      <w:rPr>
        <w:rStyle w:val="HideTWBExt"/>
      </w:rPr>
      <w:t>&lt;NoPE&gt;</w:t>
    </w:r>
    <w:r w:rsidRPr="002412C9">
      <w:t>756.199</w:t>
    </w:r>
    <w:r w:rsidRPr="002412C9">
      <w:rPr>
        <w:rStyle w:val="HideTWBExt"/>
      </w:rPr>
      <w:t>&lt;/NoPE&gt;&lt;Version&gt;</w:t>
    </w:r>
    <w:r w:rsidRPr="002412C9">
      <w:t>v03-00</w:t>
    </w:r>
    <w:r w:rsidRPr="002412C9">
      <w:rPr>
        <w:rStyle w:val="HideTWBExt"/>
      </w:rPr>
      <w:t>&lt;/Version&gt;</w:t>
    </w:r>
  </w:p>
  <w:p w:rsidR="002E2F2E" w:rsidRPr="002412C9" w:rsidRDefault="002412C9" w:rsidP="002412C9">
    <w:pPr>
      <w:pStyle w:val="EPFooter2"/>
    </w:pPr>
    <w:r w:rsidRPr="002412C9">
      <w:tab/>
    </w:r>
    <w:r w:rsidRPr="002412C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12C9" w:rsidRPr="002412C9" w:rsidRDefault="002412C9" w:rsidP="002412C9">
    <w:pPr>
      <w:pStyle w:val="EPFooter"/>
    </w:pPr>
    <w:r w:rsidRPr="002412C9">
      <w:rPr>
        <w:rStyle w:val="HideTWBExt"/>
      </w:rPr>
      <w:t>&lt;PathFdR&gt;</w:t>
    </w:r>
    <w:r w:rsidRPr="002412C9">
      <w:t>AD\1295231NL.docx</w:t>
    </w:r>
    <w:r w:rsidRPr="002412C9">
      <w:rPr>
        <w:rStyle w:val="HideTWBExt"/>
      </w:rPr>
      <w:t>&lt;/PathFdR&gt;</w:t>
    </w:r>
    <w:r w:rsidRPr="002412C9">
      <w:tab/>
    </w:r>
    <w:r w:rsidRPr="002412C9">
      <w:tab/>
      <w:t>PE</w:t>
    </w:r>
    <w:r w:rsidRPr="002412C9">
      <w:rPr>
        <w:rStyle w:val="HideTWBExt"/>
      </w:rPr>
      <w:t>&lt;NoPE&gt;</w:t>
    </w:r>
    <w:r w:rsidRPr="002412C9">
      <w:t>756.199</w:t>
    </w:r>
    <w:r w:rsidRPr="002412C9">
      <w:rPr>
        <w:rStyle w:val="HideTWBExt"/>
      </w:rPr>
      <w:t>&lt;/NoPE&gt;&lt;Version&gt;</w:t>
    </w:r>
    <w:r w:rsidRPr="002412C9">
      <w:t>v03-00</w:t>
    </w:r>
    <w:r w:rsidRPr="002412C9">
      <w:rPr>
        <w:rStyle w:val="HideTWBExt"/>
      </w:rPr>
      <w:t>&lt;/Version&gt;</w:t>
    </w:r>
  </w:p>
  <w:p w:rsidR="002E2F2E" w:rsidRPr="002412C9" w:rsidRDefault="002412C9" w:rsidP="002412C9">
    <w:pPr>
      <w:pStyle w:val="EPFooter2"/>
    </w:pPr>
    <w:r w:rsidRPr="002412C9">
      <w:t>NL</w:t>
    </w:r>
    <w:r w:rsidRPr="002412C9">
      <w:tab/>
    </w:r>
    <w:r w:rsidRPr="002412C9">
      <w:rPr>
        <w:b w:val="0"/>
        <w:i/>
        <w:color w:val="C0C0C0"/>
        <w:sz w:val="22"/>
      </w:rPr>
      <w:t>In verscheidenheid verenigd</w:t>
    </w:r>
    <w:r w:rsidRPr="002412C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2412C9" w:rsidRDefault="00073311">
      <w:r w:rsidRPr="002412C9">
        <w:separator/>
      </w:r>
    </w:p>
  </w:footnote>
  <w:footnote w:type="continuationSeparator" w:id="0">
    <w:p w:rsidR="00000000" w:rsidRPr="002412C9" w:rsidRDefault="00073311">
      <w:r w:rsidRPr="002412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311" w:rsidRDefault="000733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311" w:rsidRDefault="000733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3311" w:rsidRDefault="000733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DOPTIONMNU" w:val=" 2"/>
    <w:docVar w:name="AMDOCDECMNU" w:val=" 1"/>
    <w:docVar w:name="CJMNU" w:val="1"/>
    <w:docVar w:name="CODEMNU" w:val=" 7"/>
    <w:docVar w:name="COM2KEY" w:val="CONT"/>
    <w:docVar w:name="COMKEY" w:val="LIBE"/>
    <w:docVar w:name="CONTRIBUTIONMNU" w:val=" 1"/>
    <w:docVar w:name="FONCTIONMNU" w:val=" 1"/>
    <w:docVar w:name="LastEditedSection" w:val=" 1"/>
    <w:docVar w:name="RepeatBlock-AmendEN" w:val="{\rtf1\adeflang1025\ansi\ansicpg1252\uc1\adeff0\deff0\stshfdbch0\stshfloch0\stshfhich0\stshfbi0\deflang1027\deflangfe102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336\fbidi \fswiss\fcharset238\fprq2 Arial CE;}{\f337\fbidi \fswiss\fcharset204\fprq2 Arial Cyr;}_x000d__x000a_{\f339\fbidi \fswiss\fcharset161\fprq2 Arial Greek;}{\f340\fbidi \fswiss\fcharset162\fprq2 Arial Tur;}{\f341\fbidi \fswiss\fcharset177\fprq2 Arial (Hebrew);}{\f342\fbidi \fswiss\fcharset178\fprq2 Arial (Arabic);}_x000d__x000a_{\f343\fbidi \fswiss\fcharset186\fprq2 Arial Baltic;}{\f344\fbidi \fswiss\fcharset163\fprq2 Arial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501848 HideTWBInt;}{_x000d__x000a_\s18\ql \fi-567\li567\ri0\sa240\nowidctlpar\wrapdefault\aspalpha\aspnum\faauto\adjustright\rin0\lin567\itap0 \rtlch\fcs1 \af0\afs20\alang1025 \ltrch\fcs0 \fs24\lang2057\langfe2057\cgrid\langnp2057\langfenp2057 _x000d__x000a_\sbasedon0 \snext18 \spriority0 \styrsid3501848 NormalHanging12a;}}{\*\rsidtbl \rsid24658\rsid223860\rsid735077\rsid1718133\rsid2892074\rsid3501848\rsid3565327\rsid4666813\rsid6641733\rsid7823322\rsid9636012\rsid10377208\rsid11215221\rsid11549030_x000d__x000a_\rsid11747120\rsid12154954\rsid14382809\rsid14424199\rsid15204470\rsid15285974\rsid15950462\rsid16324206\rsid16662270}{\mmathPr\mmathFont34\mbrkBin0\mbrkBinSub0\msmallFrac0\mdispDef1\mlMargin0\mrMargin0\mdefJc1\mwrapIndent1440\mintLim0\mnaryLim1}{\info_x000d__x000a_{\author CUADRAT SEIX Iban}{\operator CUADRAT SEIX Iban}{\creatim\yr2024\mo1\dy22\hr10\min18}{\revtim\yr2024\mo1\dy22\hr10\min18}{\version1}{\edmins0}{\nofpages1}{\nofwords1}{\nofchars12}{\nofcharsws12}{\vern109}}{\*\xmlnstbl {\xmlns1 http://schemas.micro_x000d__x000a_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501848\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11747120 \chftnsep _x000d__x000a_\par }}{\*\ftnsepc \ltrpar \pard\plain \ltrpar\ql \li0\ri0\widctlpar\wrapdefault\aspalpha\aspnum\faauto\adjustright\rin0\lin0\itap0 \rtlch\fcs1 \af0\afs20\alang1025 \ltrch\fcs0 \fs24\lang2057\langfe2057\cgrid\langnp2057\langfenp2057 {\rtlch\fcs1 \af0 _x000d__x000a_\ltrch\fcs0 \insrsid11747120 \chftnsepc _x000d__x000a_\par }}{\*\aftnsep \ltrpar \pard\plain \ltrpar\ql \li0\ri0\widctlpar\wrapdefault\aspalpha\aspnum\faauto\adjustright\rin0\lin0\itap0 \rtlch\fcs1 \af0\afs20\alang1025 \ltrch\fcs0 \fs24\lang2057\langfe2057\cgrid\langnp2057\langfenp2057 {\rtlch\fcs1 \af0 _x000d__x000a_\ltrch\fcs0 \insrsid11747120 \chftnsep _x000d__x000a_\par }}{\*\aftnsepc \ltrpar \pard\plain \ltrpar\ql \li0\ri0\widctlpar\wrapdefault\aspalpha\aspnum\faauto\adjustright\rin0\lin0\itap0 \rtlch\fcs1 \af0\afs20\alang1025 \ltrch\fcs0 \fs24\lang2057\langfe2057\cgrid\langnp2057\langfenp2057 {\rtlch\fcs1 \af0 _x000d__x000a_\ltrch\fcs0 \insrsid1174712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3501848 \rtlch\fcs1 \af0\afs20\alang1025 \ltrch\fcs0 \fs24\lang2057\langfe2057\cgrid\langnp2057\langfenp2057 {\rtlch\fcs1 \af0 _x000d__x000a_\ltrch\fcs0 \insrsid3501848\charrsid13044652 {\*\bkmkstart restart}#}{\rtlch\fcs1 \af1 \ltrch\fcs0 \cs17\v\f1\fs20\cf15\insrsid3501848\charrsid13044652 NRMSG}{\rtlch\fcs1 \af0 \ltrch\fcs0 \insrsid3501848\charrsid13044652 #.\tab ##}{\rtlch\fcs1 \af0 _x000d__x000a_\ltrch\fcs0 \insrsid3501848\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a8_x000d__x000a_6af013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27\deflangfe102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26\fbidi \froman\fcharset238\fprq2 Times New Roman CE;}{\f327\fbidi \froman\fcharset204\fprq2 Times New Roman Cyr;}_x000d__x000a_{\f329\fbidi \froman\fcharset161\fprq2 Times New Roman Greek;}{\f330\fbidi \froman\fcharset162\fprq2 Times New Roman Tur;}{\f331\fbidi \froman\fcharset177\fprq2 Times New Roman (Hebrew);}{\f332\fbidi \froman\fcharset178\fprq2 Times New Roman (Arabic);}_x000d__x000a_{\f333\fbidi \froman\fcharset186\fprq2 Times New Roman Baltic;}{\f334\fbidi \froman\fcharset163\fprq2 Times New Roman (Vietnamese);}{\f666\fbidi \froman\fcharset238\fprq2 Cambria Math CE;}{\f667\fbidi \froman\fcharset204\fprq2 Cambria Math Cyr;}_x000d__x000a_{\f669\fbidi \froman\fcharset161\fprq2 Cambria Math Greek;}{\f670\fbidi \froman\fcharset162\fprq2 Cambria Math Tur;}{\f673\fbidi \froman\fcharset186\fprq2 Cambria Math Baltic;}{\f67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lang2057\langfe2057\langnp2057\langfenp2057 }{\*\defpap _x000d__x000a_\ql \li0\ri0\widctlpar\wrapdefault\aspalpha\aspnum\faauto\adjustright\rin0\lin0\itap0 }\noqfpromote {\stylesheet{\ql \li0\ri0\widctlpar\wrapdefault\aspalpha\aspnum\faauto\adjustright\rin0\lin0\itap0 \rtlch\fcs1 \af0\afs20\alang1025 \ltrch\fcs0 _x000d__x000a_\fs24\lang2057\langfe2057\cgrid\langnp2057\langfenp2057 \snext0 \sqformat \spriority0 \styrsid7823322 Normal;}{\s1\ql \li0\ri0\sb240\keep\keepn\widctlpar\wrapdefault\aspalpha\aspnum\faauto\outlinelevel0\adjustright\rin0\lin0\itap0 \rtlch\fcs1 _x000d__x000a_\af31503\afs32\alang1025 \ltrch\fcs0 \fs32\cf17\lang2057\langfe2057\loch\f31502\hich\af31502\dbch\af31501\cgrid\langnp2057\langfenp2057 \sbasedon0 \snext0 \slink15 \ssemihidden \sqformat \spriority0 \styrsid223860 heading 1;}{\*\cs10 \additive _x000d__x000a_\ssemihidden \sunhideused \spriority1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1293646 NormalHanging12a;}}{\*\rsidtbl \rsid24658\rsid223860\rsid735077\rsid1718133\rsid2892074\rsid3565327\rsid4666813\rsid5133082\rsid6641733\rsid7823322_x000d__x000a_\rsid9636012\rsid10377208\rsid11215221\rsid11293646\rsid11549030\rsid12154954\rsid14382809\rsid14424199\rsid15204470\rsid15285974\rsid15950462\rsid16324206\rsid16662270}{\mmathPr\mmathFont34\mbrkBin0\mbrkBinSub0\msmallFrac0\mdispDef1\mlMargin0\mrMargin0_x000d__x000a_\mdefJc1\mwrapIndent1440\mintLim0\mnaryLim1}{\info{\author CUADRAT SEIX Iban}{\operator CUADRAT SEIX Iban}{\creatim\yr2024\mo1\dy22\hr10\min18}{\revtim\yr2024\mo1\dy22\hr10\min18}{\version1}{\edmins0}{\nofpages1}{\nofwords5}{\nofchars30}{\nofcharsws34}_x000d__x000a_{\vern109}}{\*\xmlnstbl {\xmlns1 http://schemas.microsoft.com/office/word/2003/wordml}}\paperw11906\paperh16838\margl1418\margr1418\margt1134\margb1418\gutter0\ltrsect _x000d__x000a_\facingp\widowctrl\ftnbj\aenddoc\ftnrestart\hyphhotz425\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293646\newtblstyruls\nogrowautofit\usenormstyforlist\noindnmbrts\felnbrelev\nocxsptable\indrlsweleven\noafcnsttbl\afelev\utinl\hwelev\spltpgpar\notcvasp\notbrkcnstfrctbl\notvatxbx\krnprsnet\cachedcolbal _x000d__x000a_\nouicompat \fet0{\*\wgrffmtfilter 013f}\nofeaturethrottle1\ilfomacatclnup0{\*\template C:\\Users\\icuadrat\\AppData\\Local\\Temp\\Blank1.dotx}{\*\ftnsep \ltrpar \pard\plain \ltrpar_x000d__x000a_\ql \li0\ri0\widctlpar\wrapdefault\aspalpha\aspnum\faauto\adjustright\rin0\lin0\itap0 \rtlch\fcs1 \af0\afs20\alang1025 \ltrch\fcs0 \fs24\lang2057\langfe2057\cgrid\langnp2057\langfenp2057 {\rtlch\fcs1 \af0 \ltrch\fcs0 \insrsid5133082 \chftnsep _x000d__x000a_\par }}{\*\ftnsepc \ltrpar \pard\plain \ltrpar\ql \li0\ri0\widctlpar\wrapdefault\aspalpha\aspnum\faauto\adjustright\rin0\lin0\itap0 \rtlch\fcs1 \af0\afs20\alang1025 \ltrch\fcs0 \fs24\lang2057\langfe2057\cgrid\langnp2057\langfenp2057 {\rtlch\fcs1 \af0 _x000d__x000a_\ltrch\fcs0 \insrsid5133082 \chftnsepc _x000d__x000a_\par }}{\*\aftnsep \ltrpar \pard\plain \ltrpar\ql \li0\ri0\widctlpar\wrapdefault\aspalpha\aspnum\faauto\adjustright\rin0\lin0\itap0 \rtlch\fcs1 \af0\afs20\alang1025 \ltrch\fcs0 \fs24\lang2057\langfe2057\cgrid\langnp2057\langfenp2057 {\rtlch\fcs1 \af0 _x000d__x000a_\ltrch\fcs0 \insrsid5133082 \chftnsep _x000d__x000a_\par }}{\*\aftnsepc \ltrpar \pard\plain \ltrpar\ql \li0\ri0\widctlpar\wrapdefault\aspalpha\aspnum\faauto\adjustright\rin0\lin0\itap0 \rtlch\fcs1 \af0\afs20\alang1025 \ltrch\fcs0 \fs24\lang2057\langfe2057\cgrid\langnp2057\langfenp2057 {\rtlch\fcs1 \af0 _x000d__x000a_\ltrch\fcs0 \insrsid513308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1293646 \rtlch\fcs1 \af0\afs20\alang1025 \ltrch\fcs0 \fs24\lang2057\langfe2057\cgrid\langnp2057\langfenp2057 {\rtlch\fcs1 \af0 _x000d__x000a_\ltrch\fcs0 \insrsid11293646\charrsid1525456 {\*\bkmkstart restart}[ZSUGGESTIONNR]\tab [ZSUGGESTIONTEXT]}{\rtlch\fcs1 \af0 \ltrch\fcs0 \insrsid11293646\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0f_x000d__x000a_11f3134d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EN"/>
    <w:docVar w:name="TXTLANGUEMIN" w:val="en"/>
    <w:docVar w:name="TXTNRPE" w:val="756.199"/>
    <w:docVar w:name="TXTNRPROC" w:val="2023/2168"/>
    <w:docVar w:name="TXTPEorAP" w:val="PE"/>
    <w:docVar w:name="TXTROUTE" w:val="AD\1295231EN.docx"/>
    <w:docVar w:name="TXTTITLE" w:val="of the European Union Agency for Criminal Justice Cooperation (Eurojust) for the financial year 2022"/>
    <w:docVar w:name="TXTVERSION" w:val="03-00"/>
  </w:docVars>
  <w:rsids>
    <w:rsidRoot w:val="00603114"/>
    <w:rsid w:val="0002131B"/>
    <w:rsid w:val="00037518"/>
    <w:rsid w:val="00073311"/>
    <w:rsid w:val="000E5BA4"/>
    <w:rsid w:val="000E7EBF"/>
    <w:rsid w:val="00124F60"/>
    <w:rsid w:val="00135121"/>
    <w:rsid w:val="00140BE6"/>
    <w:rsid w:val="00147F4E"/>
    <w:rsid w:val="00147FBF"/>
    <w:rsid w:val="00163FEA"/>
    <w:rsid w:val="0016635E"/>
    <w:rsid w:val="001746D0"/>
    <w:rsid w:val="00187B3E"/>
    <w:rsid w:val="00196F8C"/>
    <w:rsid w:val="001B7393"/>
    <w:rsid w:val="001D2ED9"/>
    <w:rsid w:val="001F21C1"/>
    <w:rsid w:val="00207509"/>
    <w:rsid w:val="002412C9"/>
    <w:rsid w:val="0025230A"/>
    <w:rsid w:val="002B2C72"/>
    <w:rsid w:val="002D28A7"/>
    <w:rsid w:val="002E2F2E"/>
    <w:rsid w:val="002E6F98"/>
    <w:rsid w:val="003210FC"/>
    <w:rsid w:val="00324866"/>
    <w:rsid w:val="00325BCB"/>
    <w:rsid w:val="00331944"/>
    <w:rsid w:val="00332AD9"/>
    <w:rsid w:val="00347D2C"/>
    <w:rsid w:val="003559F2"/>
    <w:rsid w:val="0037356F"/>
    <w:rsid w:val="003858C5"/>
    <w:rsid w:val="00390EB2"/>
    <w:rsid w:val="00396A0E"/>
    <w:rsid w:val="003E2402"/>
    <w:rsid w:val="004607D0"/>
    <w:rsid w:val="00463D09"/>
    <w:rsid w:val="004C28FB"/>
    <w:rsid w:val="004C44C0"/>
    <w:rsid w:val="004E1B62"/>
    <w:rsid w:val="0052544E"/>
    <w:rsid w:val="005940C3"/>
    <w:rsid w:val="00594C48"/>
    <w:rsid w:val="005B2F11"/>
    <w:rsid w:val="005C0BDF"/>
    <w:rsid w:val="005D60C6"/>
    <w:rsid w:val="00603114"/>
    <w:rsid w:val="006102E7"/>
    <w:rsid w:val="00640C1B"/>
    <w:rsid w:val="00657AFB"/>
    <w:rsid w:val="006D5BF7"/>
    <w:rsid w:val="00720390"/>
    <w:rsid w:val="007B0A3A"/>
    <w:rsid w:val="007C5BF1"/>
    <w:rsid w:val="008313E7"/>
    <w:rsid w:val="00854CAC"/>
    <w:rsid w:val="00855820"/>
    <w:rsid w:val="008A32C5"/>
    <w:rsid w:val="008C6203"/>
    <w:rsid w:val="008D61E7"/>
    <w:rsid w:val="008F7002"/>
    <w:rsid w:val="0099493F"/>
    <w:rsid w:val="00A16BEA"/>
    <w:rsid w:val="00A312B3"/>
    <w:rsid w:val="00A72C35"/>
    <w:rsid w:val="00AD5932"/>
    <w:rsid w:val="00AE180F"/>
    <w:rsid w:val="00B121BF"/>
    <w:rsid w:val="00B362F7"/>
    <w:rsid w:val="00B5456B"/>
    <w:rsid w:val="00B735E3"/>
    <w:rsid w:val="00B74B53"/>
    <w:rsid w:val="00BC26E4"/>
    <w:rsid w:val="00BD1EAA"/>
    <w:rsid w:val="00C52739"/>
    <w:rsid w:val="00C67A4F"/>
    <w:rsid w:val="00C827FF"/>
    <w:rsid w:val="00C85D0F"/>
    <w:rsid w:val="00CD34AC"/>
    <w:rsid w:val="00CF0C3B"/>
    <w:rsid w:val="00D835D3"/>
    <w:rsid w:val="00D86729"/>
    <w:rsid w:val="00D92654"/>
    <w:rsid w:val="00DE19FF"/>
    <w:rsid w:val="00E23510"/>
    <w:rsid w:val="00E70AB1"/>
    <w:rsid w:val="00E81BA6"/>
    <w:rsid w:val="00E856D2"/>
    <w:rsid w:val="00E929A7"/>
    <w:rsid w:val="00EA3344"/>
    <w:rsid w:val="00F83A84"/>
    <w:rsid w:val="00FC6460"/>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547BFFC-A629-434B-BDDB-130F67209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styleId="Footer">
    <w:name w:val="footer"/>
    <w:basedOn w:val="Normal"/>
    <w:link w:val="FooterChar"/>
    <w:semiHidden/>
    <w:rsid w:val="00324866"/>
    <w:pPr>
      <w:tabs>
        <w:tab w:val="center" w:pos="4513"/>
        <w:tab w:val="right" w:pos="9026"/>
      </w:tabs>
    </w:pPr>
  </w:style>
  <w:style w:type="character" w:customStyle="1" w:styleId="FooterChar">
    <w:name w:val="Footer Char"/>
    <w:basedOn w:val="DefaultParagraphFont"/>
    <w:link w:val="Footer"/>
    <w:semiHidden/>
    <w:rsid w:val="00324866"/>
    <w:rPr>
      <w:sz w:val="24"/>
    </w:rPr>
  </w:style>
  <w:style w:type="paragraph" w:styleId="BalloonText">
    <w:name w:val="Balloon Text"/>
    <w:basedOn w:val="Normal"/>
    <w:link w:val="BalloonTextChar"/>
    <w:semiHidden/>
    <w:unhideWhenUsed/>
    <w:rsid w:val="00D86729"/>
    <w:rPr>
      <w:rFonts w:ascii="Segoe UI" w:hAnsi="Segoe UI" w:cs="Segoe UI"/>
      <w:sz w:val="18"/>
      <w:szCs w:val="18"/>
    </w:rPr>
  </w:style>
  <w:style w:type="character" w:customStyle="1" w:styleId="BalloonTextChar">
    <w:name w:val="Balloon Text Char"/>
    <w:basedOn w:val="DefaultParagraphFont"/>
    <w:link w:val="BalloonText"/>
    <w:semiHidden/>
    <w:rsid w:val="00D86729"/>
    <w:rPr>
      <w:rFonts w:ascii="Segoe UI" w:hAnsi="Segoe UI" w:cs="Segoe UI"/>
      <w:sz w:val="18"/>
      <w:szCs w:val="18"/>
    </w:rPr>
  </w:style>
  <w:style w:type="paragraph" w:customStyle="1" w:styleId="RollCallSymbols14pt">
    <w:name w:val="RollCallSymbols14pt"/>
    <w:basedOn w:val="Normal"/>
    <w:rsid w:val="00855820"/>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855820"/>
    <w:pPr>
      <w:tabs>
        <w:tab w:val="center" w:pos="284"/>
        <w:tab w:val="left" w:pos="426"/>
      </w:tabs>
    </w:pPr>
    <w:rPr>
      <w:snapToGrid w:val="0"/>
      <w:lang w:eastAsia="en-US"/>
    </w:rPr>
  </w:style>
  <w:style w:type="paragraph" w:customStyle="1" w:styleId="RollCallVotes">
    <w:name w:val="RollCallVotes"/>
    <w:basedOn w:val="Normal"/>
    <w:rsid w:val="00855820"/>
    <w:pPr>
      <w:spacing w:before="120" w:after="120"/>
      <w:jc w:val="center"/>
    </w:pPr>
    <w:rPr>
      <w:b/>
      <w:bCs/>
      <w:snapToGrid w:val="0"/>
      <w:sz w:val="16"/>
      <w:lang w:eastAsia="en-US"/>
    </w:rPr>
  </w:style>
  <w:style w:type="paragraph" w:customStyle="1" w:styleId="RollCallTable">
    <w:name w:val="RollCallTable"/>
    <w:basedOn w:val="Normal"/>
    <w:rsid w:val="00855820"/>
    <w:pPr>
      <w:spacing w:before="120" w:after="120"/>
    </w:pPr>
    <w:rPr>
      <w:snapToGrid w:val="0"/>
      <w:sz w:val="16"/>
      <w:lang w:eastAsia="en-US"/>
    </w:rPr>
  </w:style>
  <w:style w:type="paragraph" w:customStyle="1" w:styleId="Normal24a">
    <w:name w:val="Normal24a"/>
    <w:basedOn w:val="Normal"/>
    <w:rsid w:val="000E5BA4"/>
    <w:pPr>
      <w:spacing w:after="480"/>
    </w:pPr>
  </w:style>
  <w:style w:type="paragraph" w:customStyle="1" w:styleId="NormalBoldCenter">
    <w:name w:val="NormalBoldCenter"/>
    <w:basedOn w:val="Normal"/>
    <w:rsid w:val="000E5BA4"/>
    <w:pPr>
      <w:jc w:val="cente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1003</Words>
  <Characters>6212</Characters>
  <Application>Microsoft Office Word</Application>
  <DocSecurity>0</DocSecurity>
  <Lines>162</Lines>
  <Paragraphs>76</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7139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creator>European Parliament</dc:creator>
  <cp:lastModifiedBy>European Parliament</cp:lastModifiedBy>
  <cp:revision>2</cp:revision>
  <cp:lastPrinted>2004-10-28T10:33:00Z</cp:lastPrinted>
  <dcterms:created xsi:type="dcterms:W3CDTF">2024-01-30T14:05:00Z</dcterms:created>
  <dcterms:modified xsi:type="dcterms:W3CDTF">2024-01-30T14:05:00Z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1295231</vt:lpwstr>
  </property>
  <property fmtid="{D5CDD505-2E9C-101B-9397-08002B2CF9AE}" pid="4" name="&lt;Model&gt;">
    <vt:lpwstr>PA_NonLeg</vt:lpwstr>
  </property>
  <property fmtid="{D5CDD505-2E9C-101B-9397-08002B2CF9AE}" pid="5" name="&lt;ModelCod&gt;">
    <vt:lpwstr>\\eiciBRUpr1\pdocep$\DocEP\DOCS\General\PA\PA_NonLeg\PA_NonLeg.dotx(18/09/2023 10:25:02)</vt:lpwstr>
  </property>
  <property fmtid="{D5CDD505-2E9C-101B-9397-08002B2CF9AE}" pid="6" name="&lt;ModelTra&gt;">
    <vt:lpwstr>\\eiciBRUpr1\pdocep$\DocEP\TRANSFIL\EN\PA_NonLeg.EN(18/09/2023 10:08:01)</vt:lpwstr>
  </property>
  <property fmtid="{D5CDD505-2E9C-101B-9397-08002B2CF9AE}" pid="7" name="&lt;Type&gt;">
    <vt:lpwstr>AD</vt:lpwstr>
  </property>
  <property fmtid="{D5CDD505-2E9C-101B-9397-08002B2CF9AE}" pid="8" name="Created with">
    <vt:lpwstr>9.16.1 Build [20230920]</vt:lpwstr>
  </property>
  <property fmtid="{D5CDD505-2E9C-101B-9397-08002B2CF9AE}" pid="9" name="FooterPath">
    <vt:lpwstr>AD\1295231NL.docx</vt:lpwstr>
  </property>
  <property fmtid="{D5CDD505-2E9C-101B-9397-08002B2CF9AE}" pid="10" name="LastEdited with">
    <vt:lpwstr>9.17.1 Build [20240101]</vt:lpwstr>
  </property>
  <property fmtid="{D5CDD505-2E9C-101B-9397-08002B2CF9AE}" pid="11" name="PE number">
    <vt:lpwstr>756.199</vt:lpwstr>
  </property>
  <property fmtid="{D5CDD505-2E9C-101B-9397-08002B2CF9AE}" pid="12" name="SDLStudio">
    <vt:lpwstr/>
  </property>
  <property fmtid="{D5CDD505-2E9C-101B-9397-08002B2CF9AE}" pid="13" name="SendToEpades">
    <vt:lpwstr>OK - 2024/01/25 14:10</vt:lpwstr>
  </property>
  <property fmtid="{D5CDD505-2E9C-101B-9397-08002B2CF9AE}" pid="14" name="Bookout">
    <vt:lpwstr>OK - 2024/01/30 15:05</vt:lpwstr>
  </property>
</Properties>
</file>