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D3455" w:rsidTr="00C85D0F">
        <w:trPr>
          <w:trHeight w:hRule="exact" w:val="1418"/>
        </w:trPr>
        <w:tc>
          <w:tcPr>
            <w:tcW w:w="6804" w:type="dxa"/>
            <w:shd w:val="clear" w:color="auto" w:fill="auto"/>
            <w:vAlign w:val="center"/>
          </w:tcPr>
          <w:p w:rsidR="00854CAC" w:rsidRPr="00374135" w:rsidRDefault="00E60529" w:rsidP="00C85D0F">
            <w:pPr>
              <w:pStyle w:val="EPName"/>
            </w:pPr>
            <w:r>
              <w:t>Parlament Europejski</w:t>
            </w:r>
          </w:p>
          <w:p w:rsidR="00854CAC" w:rsidRPr="00374135" w:rsidRDefault="00E60529" w:rsidP="00324866">
            <w:pPr>
              <w:pStyle w:val="EPTerm"/>
            </w:pPr>
            <w:r>
              <w:t>2019-2024</w:t>
            </w:r>
          </w:p>
        </w:tc>
        <w:tc>
          <w:tcPr>
            <w:tcW w:w="2268" w:type="dxa"/>
            <w:shd w:val="clear" w:color="auto" w:fill="auto"/>
          </w:tcPr>
          <w:p w:rsidR="00854CAC" w:rsidRPr="00374135" w:rsidRDefault="00E60529" w:rsidP="00C85D0F">
            <w:pPr>
              <w:pStyle w:val="EPLogo"/>
            </w:pPr>
            <w:r w:rsidRPr="003741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374135" w:rsidRDefault="001746D0" w:rsidP="001746D0">
      <w:pPr>
        <w:pStyle w:val="LineTop"/>
      </w:pPr>
    </w:p>
    <w:p w:rsidR="001746D0" w:rsidRPr="00374135" w:rsidRDefault="00E60529" w:rsidP="001746D0">
      <w:pPr>
        <w:pStyle w:val="EPBody"/>
      </w:pPr>
      <w:r>
        <w:rPr>
          <w:rStyle w:val="HideTWBExt"/>
        </w:rPr>
        <w:t>&lt;</w:t>
      </w:r>
      <w:r>
        <w:rPr>
          <w:rStyle w:val="HideTWBExt"/>
          <w:i w:val="0"/>
        </w:rPr>
        <w:t>Commission</w:t>
      </w:r>
      <w:r>
        <w:rPr>
          <w:rStyle w:val="HideTWBExt"/>
        </w:rPr>
        <w:t>&gt;</w:t>
      </w:r>
      <w:r>
        <w:rPr>
          <w:rStyle w:val="HideTWBInt"/>
          <w:color w:val="auto"/>
        </w:rPr>
        <w:t>{LIBE}</w:t>
      </w:r>
      <w:r>
        <w:t>Komisja Wolności Obywatelskich, Sprawiedliwości i Spraw Wewnętrznych</w:t>
      </w:r>
      <w:r>
        <w:rPr>
          <w:rStyle w:val="HideTWBExt"/>
        </w:rPr>
        <w:t>&lt;/</w:t>
      </w:r>
      <w:r>
        <w:rPr>
          <w:rStyle w:val="HideTWBExt"/>
          <w:i w:val="0"/>
        </w:rPr>
        <w:t>Commission</w:t>
      </w:r>
      <w:r>
        <w:rPr>
          <w:rStyle w:val="HideTWBExt"/>
        </w:rPr>
        <w:t>&gt;</w:t>
      </w:r>
    </w:p>
    <w:p w:rsidR="001746D0" w:rsidRPr="00374135" w:rsidRDefault="001746D0" w:rsidP="001746D0">
      <w:pPr>
        <w:pStyle w:val="LineBottom"/>
      </w:pPr>
    </w:p>
    <w:p w:rsidR="002E2F2E" w:rsidRPr="00374135" w:rsidRDefault="00E60529">
      <w:pPr>
        <w:pStyle w:val="CoverReference"/>
      </w:pPr>
      <w:r>
        <w:rPr>
          <w:rStyle w:val="HideTWBExt"/>
          <w:b w:val="0"/>
        </w:rPr>
        <w:t>&lt;RefProc&gt;</w:t>
      </w:r>
      <w:r>
        <w:t>2023/2168</w:t>
      </w:r>
      <w:r>
        <w:rPr>
          <w:rStyle w:val="HideTWBExt"/>
          <w:b w:val="0"/>
        </w:rPr>
        <w:t>&lt;/RefProc&gt;&lt;RefTypeProc&gt;</w:t>
      </w:r>
      <w:r>
        <w:t>(DEC)</w:t>
      </w:r>
      <w:r>
        <w:rPr>
          <w:rStyle w:val="HideTWBExt"/>
          <w:b w:val="0"/>
        </w:rPr>
        <w:t>&lt;/RefTypeProc&gt;</w:t>
      </w:r>
    </w:p>
    <w:p w:rsidR="002E2F2E" w:rsidRPr="00374135" w:rsidRDefault="00E60529">
      <w:pPr>
        <w:pStyle w:val="CoverDate"/>
      </w:pPr>
      <w:r>
        <w:rPr>
          <w:rStyle w:val="HideTWBExt"/>
        </w:rPr>
        <w:t>&lt;Date&gt;</w:t>
      </w:r>
      <w:r>
        <w:rPr>
          <w:rStyle w:val="HideTWBInt"/>
          <w:color w:val="auto"/>
        </w:rPr>
        <w:t>{24/01/2024}</w:t>
      </w:r>
      <w:r>
        <w:t>24.1.2024</w:t>
      </w:r>
      <w:r>
        <w:rPr>
          <w:rStyle w:val="HideTWBExt"/>
        </w:rPr>
        <w:t>&lt;/Date&gt;</w:t>
      </w:r>
    </w:p>
    <w:p w:rsidR="002E2F2E" w:rsidRPr="00374135" w:rsidRDefault="00E60529">
      <w:pPr>
        <w:pStyle w:val="CoverDocType24a"/>
      </w:pPr>
      <w:r>
        <w:rPr>
          <w:rStyle w:val="HideTWBExt"/>
          <w:b w:val="0"/>
        </w:rPr>
        <w:t>&lt;TitreType&gt;</w:t>
      </w:r>
      <w:r>
        <w:t>OPINIA</w:t>
      </w:r>
      <w:r>
        <w:rPr>
          <w:rStyle w:val="HideTWBExt"/>
          <w:b w:val="0"/>
        </w:rPr>
        <w:t>&lt;/TitreType&gt;</w:t>
      </w:r>
    </w:p>
    <w:p w:rsidR="002E2F2E" w:rsidRPr="00374135" w:rsidRDefault="00E60529">
      <w:pPr>
        <w:pStyle w:val="CoverNormal24a"/>
      </w:pPr>
      <w:r>
        <w:rPr>
          <w:rStyle w:val="HideTWBExt"/>
        </w:rPr>
        <w:t>&lt;CommissionResp&gt;</w:t>
      </w:r>
      <w:r>
        <w:t>Komisji Wolności Obywatelskich, Sprawiedliwości i Spraw Wewnętrznych</w:t>
      </w:r>
      <w:r>
        <w:rPr>
          <w:rStyle w:val="HideTWBExt"/>
        </w:rPr>
        <w:t>&lt;/CommissionResp&gt;</w:t>
      </w:r>
    </w:p>
    <w:p w:rsidR="002E2F2E" w:rsidRPr="00374135" w:rsidRDefault="00E60529">
      <w:pPr>
        <w:pStyle w:val="CoverNormal24a"/>
      </w:pPr>
      <w:r>
        <w:rPr>
          <w:rStyle w:val="HideTWBExt"/>
        </w:rPr>
        <w:t>&lt;CommissionInt&gt;</w:t>
      </w:r>
      <w:r>
        <w:t>dla Komisji Kontroli Budżetowej</w:t>
      </w:r>
      <w:r>
        <w:rPr>
          <w:rStyle w:val="HideTWBExt"/>
        </w:rPr>
        <w:t>&lt;/CommissionInt&gt;</w:t>
      </w:r>
    </w:p>
    <w:p w:rsidR="002E2F2E" w:rsidRPr="00374135" w:rsidRDefault="00E60529">
      <w:pPr>
        <w:pStyle w:val="CoverNormal"/>
      </w:pPr>
      <w:r>
        <w:rPr>
          <w:rStyle w:val="HideTWBExt"/>
        </w:rPr>
        <w:t>&lt;Titre&gt;</w:t>
      </w:r>
      <w:r>
        <w:t>w sprawie absolutorium z wykonania budżetu Agencji Unii Europejskiej ds. </w:t>
      </w:r>
      <w:r>
        <w:t>Współpracy Wymiarów Sprawiedliwości w Sprawach Karnych (Eurojust) za rok budżetowy 2022</w:t>
      </w:r>
      <w:r>
        <w:rPr>
          <w:rStyle w:val="HideTWBExt"/>
        </w:rPr>
        <w:t>&lt;/Titre&gt;</w:t>
      </w:r>
    </w:p>
    <w:p w:rsidR="002E2F2E" w:rsidRPr="00374135" w:rsidRDefault="00E60529">
      <w:pPr>
        <w:pStyle w:val="CoverNormal24a"/>
      </w:pPr>
      <w:r>
        <w:rPr>
          <w:rStyle w:val="HideTWBExt"/>
        </w:rPr>
        <w:t>&lt;DocRef&gt;</w:t>
      </w:r>
      <w:r>
        <w:t>(2023/2168(DEC))</w:t>
      </w:r>
      <w:r>
        <w:rPr>
          <w:rStyle w:val="HideTWBExt"/>
        </w:rPr>
        <w:t>&lt;/DocRef&gt;</w:t>
      </w:r>
    </w:p>
    <w:p w:rsidR="002E2F2E" w:rsidRPr="00374135" w:rsidRDefault="00E60529">
      <w:pPr>
        <w:pStyle w:val="CoverNormal24a"/>
      </w:pPr>
      <w:r>
        <w:t xml:space="preserve">Sprawozdawca komisji opiniodawczej: </w:t>
      </w:r>
      <w:r>
        <w:rPr>
          <w:rStyle w:val="HideTWBExt"/>
        </w:rPr>
        <w:t>&lt;Depute&gt;</w:t>
      </w:r>
      <w:r>
        <w:t>Tomáš Zdechovský</w:t>
      </w:r>
      <w:r>
        <w:rPr>
          <w:rStyle w:val="HideTWBExt"/>
        </w:rPr>
        <w:t>&lt;/Depute&gt;</w:t>
      </w:r>
    </w:p>
    <w:p w:rsidR="00A72C35" w:rsidRPr="00374135" w:rsidRDefault="00A72C35" w:rsidP="00A72C35">
      <w:pPr>
        <w:pStyle w:val="CoverNormal"/>
      </w:pPr>
    </w:p>
    <w:p w:rsidR="002E2F2E" w:rsidRPr="00374135" w:rsidRDefault="00E60529" w:rsidP="00E856D2">
      <w:pPr>
        <w:widowControl/>
        <w:tabs>
          <w:tab w:val="center" w:pos="4677"/>
        </w:tabs>
      </w:pPr>
      <w:r>
        <w:br w:type="page"/>
      </w:r>
      <w:r>
        <w:lastRenderedPageBreak/>
        <w:t>PA_NonLeg</w:t>
      </w:r>
    </w:p>
    <w:p w:rsidR="002E2F2E" w:rsidRPr="00374135" w:rsidRDefault="00E60529">
      <w:pPr>
        <w:pStyle w:val="PageHeadingNotTOC"/>
      </w:pPr>
      <w:r>
        <w:br w:type="page"/>
      </w:r>
      <w:r>
        <w:lastRenderedPageBreak/>
        <w:t>WSKAZÓWKI</w:t>
      </w:r>
    </w:p>
    <w:p w:rsidR="002E2F2E" w:rsidRPr="00374135" w:rsidRDefault="00E60529" w:rsidP="008313E7">
      <w:pPr>
        <w:pStyle w:val="Normal12a"/>
      </w:pPr>
      <w:r>
        <w:t>Komisja Wolności Obywatelskich,</w:t>
      </w:r>
      <w:r>
        <w:t xml:space="preserve"> Sprawiedliwości i Spraw Wewnętrznych zwraca się do Komisji Kontroli Budżetowej, jako komisji przedmiotowo właściwej, o uwzględnienie w końcowym tekście projektu rezolucji następujących wskazówek:</w:t>
      </w:r>
    </w:p>
    <w:p w:rsidR="002E2F2E" w:rsidRPr="00374135" w:rsidRDefault="00E60529" w:rsidP="004607D0">
      <w:pPr>
        <w:pStyle w:val="NormalHanging12a"/>
        <w:jc w:val="both"/>
      </w:pPr>
      <w:bookmarkStart w:id="0" w:name="restart"/>
      <w:r>
        <w:t>1.</w:t>
      </w:r>
      <w:r>
        <w:tab/>
        <w:t>wyraża zadowolenie z faktu, że Trybunał Obrachunkowy („T</w:t>
      </w:r>
      <w:r>
        <w:t>rybunał”) uznał, iż transakcje leżące u podstaw rocznego sprawozdania finansowego Agencji Unii Europejskiej ds. </w:t>
      </w:r>
      <w:r>
        <w:t>Współpracy Wymiarów Sprawiedliwości w Sprawach Karnych („Eurojust”) za rok budżetowy 2022 są legalne i prawidłowe we wszystkich istotnych aspekt</w:t>
      </w:r>
      <w:r>
        <w:t>ach;</w:t>
      </w:r>
    </w:p>
    <w:bookmarkEnd w:id="0"/>
    <w:p w:rsidR="00324866" w:rsidRPr="00374135" w:rsidRDefault="00E60529" w:rsidP="004607D0">
      <w:pPr>
        <w:pStyle w:val="NormalHanging12a"/>
        <w:jc w:val="both"/>
      </w:pPr>
      <w:r>
        <w:t>2.</w:t>
      </w:r>
      <w:r>
        <w:tab/>
        <w:t>odnotowuje aktualną uwagę z 2020 </w:t>
      </w:r>
      <w:r>
        <w:t>r. dotyczącą legalności i prawidłowości transakcji w oparciu o podpisanie umowy ramowej z jednym przedsiębiorstwem w sprawie leasingu pojazdów, co spowodowało nieprawidłową płatność w wysokości 59 281 EUR za okres s</w:t>
      </w:r>
      <w:r>
        <w:t>prawozdawczy; zauważa, że umowa ma wygasnąć w 2024 </w:t>
      </w:r>
      <w:r>
        <w:t>r. oraz że na podstawie tej umowy ramowej udzielano wszelkich kolejnych konkretnych zamówień; wzywa Eurojust do pełnego uwzględnienia tej uwagi i wdrożenia wszystkich zaleceń Trybunału oraz do poinformowan</w:t>
      </w:r>
      <w:r>
        <w:t>ia organu udzielającego absolutorium o osiągniętych postępach;</w:t>
      </w:r>
    </w:p>
    <w:p w:rsidR="00D86729" w:rsidRPr="00374135" w:rsidRDefault="00E60529" w:rsidP="004607D0">
      <w:pPr>
        <w:pStyle w:val="NormalHanging12a"/>
        <w:jc w:val="both"/>
      </w:pPr>
      <w:r>
        <w:t>3.</w:t>
      </w:r>
      <w:r>
        <w:tab/>
        <w:t>ponadto odnotowuje uwagę Trybunału, że Eurojust nie dotrzymał opóźnień w terminach płatności określonych w art. </w:t>
      </w:r>
      <w:r>
        <w:t>116 rozporządzenia finansowego; uznaje odpowiedź Eurojustu, który znajdował si</w:t>
      </w:r>
      <w:r>
        <w:t>ę w okresie dostosowania do nowego systemu budżetowego i finansowego SUMMA, będącego w fazie pilotażowej, co spowodowało opóźnienia i trudności techniczne w przetwarzaniu transakcji; przypomina, że przeniesienia w Eurojuście są znacznie poniżej poziomów pr</w:t>
      </w:r>
      <w:r>
        <w:t>ogowych;</w:t>
      </w:r>
    </w:p>
    <w:p w:rsidR="00324866" w:rsidRPr="00374135" w:rsidRDefault="00E60529" w:rsidP="004607D0">
      <w:pPr>
        <w:pStyle w:val="NormalHanging12a"/>
        <w:jc w:val="both"/>
      </w:pPr>
      <w:r>
        <w:t>4.</w:t>
      </w:r>
      <w:r>
        <w:tab/>
        <w:t>z zadowoleniem przyjmuje fakt, że liczba spraw prowadzonych przez Eurojust stale rośnie – o 14 % w 2022 </w:t>
      </w:r>
      <w:r>
        <w:t>r., zorganizowano 528 spotkań koordynacyjnych i 22 ośrodki koordynacyjne oraz że Eurojust wsparł 265 wspólnych zespołów dochodzeniowo-śledcz</w:t>
      </w:r>
      <w:r>
        <w:t>ych, ułatwił wykonanie 1262 europejskich nakazów aresztowania i umożliwił zastosowanie 5415 europejskich nakazów dochodzeniowych; zauważa, że sprawy rozpatrywane przez Eurojust w 2022 </w:t>
      </w:r>
      <w:r>
        <w:t>r. dotyczyły ponad trzykrotnie większej liczby ofiar niż w 2021 </w:t>
      </w:r>
      <w:r>
        <w:t xml:space="preserve">r.; </w:t>
      </w:r>
    </w:p>
    <w:p w:rsidR="00324866" w:rsidRPr="00374135" w:rsidRDefault="00E60529" w:rsidP="004607D0">
      <w:pPr>
        <w:pStyle w:val="NormalHanging12a"/>
        <w:jc w:val="both"/>
      </w:pPr>
      <w:r>
        <w:t>5.</w:t>
      </w:r>
      <w:r>
        <w:tab/>
      </w:r>
      <w:r>
        <w:t xml:space="preserve">docenia współpracę międzynarodową między organami sądowymi, którą ułatwia Eurojust, oraz ścisłą współpracę z wszystkimi podmiotami w łańcuchu sądownictwa karnego, która przyczyniła się do aresztowania ponad 4000 podejrzanych, zajęcia lub zamrożenia mienia </w:t>
      </w:r>
      <w:r>
        <w:t>pochodzącego z działalności przestępczej o wartości prawie 3 mld </w:t>
      </w:r>
      <w:r>
        <w:t>EUR oraz zajęcia narkotyków o wartości prawie 12 mld </w:t>
      </w:r>
      <w:bookmarkStart w:id="1" w:name="_GoBack"/>
      <w:bookmarkEnd w:id="1"/>
      <w:r>
        <w:t>EUR;</w:t>
      </w:r>
    </w:p>
    <w:p w:rsidR="00324866" w:rsidRPr="00374135" w:rsidRDefault="00E60529" w:rsidP="004607D0">
      <w:pPr>
        <w:pStyle w:val="NormalHanging12a"/>
        <w:jc w:val="both"/>
      </w:pPr>
      <w:r>
        <w:t>6.</w:t>
      </w:r>
      <w:r>
        <w:tab/>
        <w:t>odnotowuje szybką reakcję na rosyjską inwazję na Ukrainę, w ramach której mandat Eurojustu rozszerzono o zabezpieczanie, analizowa</w:t>
      </w:r>
      <w:r>
        <w:t>nie i przechowywanie dowodów najpoważniejszych zbrodni międzynarodowych oraz utworzenie sądowej bazy danych w celu gromadzenia i analizowania takich dowodów;</w:t>
      </w:r>
    </w:p>
    <w:p w:rsidR="00324866" w:rsidRPr="00374135" w:rsidRDefault="00E60529" w:rsidP="004607D0">
      <w:pPr>
        <w:pStyle w:val="NormalHanging12a"/>
        <w:jc w:val="both"/>
      </w:pPr>
      <w:r>
        <w:t>7.</w:t>
      </w:r>
      <w:r>
        <w:tab/>
        <w:t>z zadowoleniem przyjmuje wysiłki Eurojustu na rzecz wspierania cyfryzacji wymiaru sprawiedliwoś</w:t>
      </w:r>
      <w:r>
        <w:t xml:space="preserve">ci oraz wdrożenia nowego systemu zarządzania sprawami Eurojustu; </w:t>
      </w:r>
    </w:p>
    <w:p w:rsidR="0025230A" w:rsidRPr="00374135" w:rsidRDefault="00E60529" w:rsidP="00855820">
      <w:pPr>
        <w:pStyle w:val="NormalHanging12a"/>
        <w:ind w:left="560" w:hanging="560"/>
      </w:pPr>
      <w:r>
        <w:lastRenderedPageBreak/>
        <w:t>8.</w:t>
      </w:r>
      <w:r>
        <w:tab/>
        <w:t>z zadowoleniem przyjmuje stałą współpracę między Eurojustem a innymi agencjami WSiSW i innymi zainteresowanymi stronami; z zadowoleniem przyjmuje wszczęcie 14. sprawy z udziałem Prokuratu</w:t>
      </w:r>
      <w:r>
        <w:t>ry Europejskiej (EPPO) oraz ścisłą współpracę z Europejskim Urzędem ds. Zwalczania Nadużyć Finansowych (OLAF), Agencją Unii Europejskiej ds. Współpracy Organów Ścigania (Europol), Europejskim Inspektorem Ochrony Danych (EIOD) oraz eu-LISA, a także fakt, że</w:t>
      </w:r>
      <w:r>
        <w:t xml:space="preserve"> Eurojust nadal współpracował z Europejską Siecią Sądową (EJN), dzięki czemu w 2021 r. skierowano do EJN 44 sprawy; ponadto z zadowoleniem przyjmuje zwiększenie liczby punktów kontaktowych Eurojustu, które znajdują się już w ponad 60 krajach;</w:t>
      </w:r>
    </w:p>
    <w:p w:rsidR="00855820" w:rsidRPr="00374135" w:rsidRDefault="00E60529" w:rsidP="00855820">
      <w:r>
        <w:br w:type="page"/>
      </w:r>
    </w:p>
    <w:p w:rsidR="000E5BA4" w:rsidRPr="00374135" w:rsidRDefault="000E5BA4" w:rsidP="00855820">
      <w:pPr>
        <w:sectPr w:rsidR="000E5BA4" w:rsidRPr="00374135" w:rsidSect="009D2E1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E5BA4" w:rsidRPr="00374135" w:rsidRDefault="00E60529" w:rsidP="002B2C72">
      <w:pPr>
        <w:pStyle w:val="PageHeadingNotTOC"/>
        <w:rPr>
          <w:noProof/>
        </w:rPr>
      </w:pPr>
      <w:bookmarkStart w:id="2" w:name="FootprintPageAD"/>
      <w:r>
        <w:lastRenderedPageBreak/>
        <w:t>ZAŁĄCZNIK: PODMIOTY LUB OSOBY,</w:t>
      </w:r>
      <w:r>
        <w:br/>
        <w:t>OD KTÓRYCH SPRAWOZDAWCA KOMISJI OPINIODAWCZEJ OTRZYMAŁ INFORMACJE</w:t>
      </w:r>
    </w:p>
    <w:p w:rsidR="000E5BA4" w:rsidRPr="00374135" w:rsidRDefault="00E60529" w:rsidP="00037518">
      <w:pPr>
        <w:pStyle w:val="Normal24a"/>
      </w:pPr>
      <w:r>
        <w:rPr>
          <w:rStyle w:val="HideTWBExt"/>
        </w:rPr>
        <w:t>&lt;FootprintIntro&gt;</w:t>
      </w:r>
      <w:r>
        <w:t>Przy sporządzaniu opinii sprawozdawca otrzymał informacje od następujących podmiotów lub osób: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D3455" w:rsidTr="00F42F07">
        <w:tc>
          <w:tcPr>
            <w:tcW w:w="9286" w:type="dxa"/>
            <w:shd w:val="clear" w:color="auto" w:fill="auto"/>
          </w:tcPr>
          <w:p w:rsidR="000E5BA4" w:rsidRPr="00374135" w:rsidRDefault="00E60529" w:rsidP="000E5BA4">
            <w:pPr>
              <w:pStyle w:val="NormalBoldCenter"/>
            </w:pPr>
            <w:r>
              <w:t>Podmiot i/lub osoba</w:t>
            </w:r>
          </w:p>
        </w:tc>
      </w:tr>
      <w:tr w:rsidR="00CD3455" w:rsidRPr="00E60529" w:rsidTr="00F42F07">
        <w:tc>
          <w:tcPr>
            <w:tcW w:w="9286" w:type="dxa"/>
            <w:shd w:val="clear" w:color="auto" w:fill="auto"/>
          </w:tcPr>
          <w:p w:rsidR="000E5BA4" w:rsidRPr="00E60529" w:rsidRDefault="00E60529" w:rsidP="000E5BA4">
            <w:pPr>
              <w:rPr>
                <w:lang w:val="en-GB"/>
              </w:rPr>
            </w:pPr>
            <w:r w:rsidRPr="00E60529">
              <w:rPr>
                <w:lang w:val="en-GB"/>
              </w:rPr>
              <w:t>European Union Agency for Criminal Justice Cooperation (Eurojust)</w:t>
            </w:r>
          </w:p>
        </w:tc>
      </w:tr>
    </w:tbl>
    <w:p w:rsidR="000E5BA4" w:rsidRPr="00E60529" w:rsidRDefault="000E5BA4" w:rsidP="00AD5932">
      <w:pPr>
        <w:rPr>
          <w:lang w:val="en-GB"/>
        </w:rPr>
      </w:pPr>
    </w:p>
    <w:p w:rsidR="000E5BA4" w:rsidRPr="00374135" w:rsidRDefault="00E60529" w:rsidP="004E1B62">
      <w:pPr>
        <w:rPr>
          <w:szCs w:val="24"/>
        </w:rPr>
      </w:pPr>
      <w:r>
        <w:t>Powyższy wykaz został sporządzony na wyłączną odpowiedzialność sprawozdawcy.</w:t>
      </w:r>
    </w:p>
    <w:p w:rsidR="000E5BA4" w:rsidRPr="00374135" w:rsidRDefault="000E5BA4" w:rsidP="000E5BA4"/>
    <w:bookmarkEnd w:id="2"/>
    <w:p w:rsidR="009D2E1A" w:rsidRPr="009D2E1A" w:rsidRDefault="00E60529" w:rsidP="009D2E1A">
      <w:r>
        <w:br w:type="page"/>
      </w:r>
    </w:p>
    <w:p w:rsidR="009D2E1A" w:rsidRDefault="00E60529" w:rsidP="009D2E1A">
      <w:pPr>
        <w:pStyle w:val="PageHeadingNotTOC"/>
      </w:pPr>
      <w:bookmarkStart w:id="3" w:name="ProcPageAD"/>
      <w:r>
        <w:lastRenderedPageBreak/>
        <w:t>INFORMACJE O PRZYJĘCIU PRZEZ KOMISJĘ OPINIODAWCZĄ</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D345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D2E1A" w:rsidRDefault="00E60529">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2E1A" w:rsidRDefault="009D2E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2E1A" w:rsidRDefault="009D2E1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E1A" w:rsidRDefault="009D2E1A">
            <w:pPr>
              <w:autoSpaceDE w:val="0"/>
              <w:autoSpaceDN w:val="0"/>
              <w:adjustRightInd w:val="0"/>
              <w:rPr>
                <w:rFonts w:ascii="sans-serif" w:hAnsi="sans-serif" w:cs="sans-serif"/>
                <w:color w:val="000000"/>
                <w:szCs w:val="24"/>
              </w:rPr>
            </w:pPr>
          </w:p>
        </w:tc>
      </w:tr>
      <w:tr w:rsidR="00CD345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b/>
                <w:bCs/>
                <w:color w:val="000000"/>
                <w:sz w:val="20"/>
              </w:rPr>
            </w:pPr>
            <w:r>
              <w:rPr>
                <w:b/>
                <w:color w:val="000000"/>
                <w:sz w:val="20"/>
              </w:rPr>
              <w:t xml:space="preserve">Wynik </w:t>
            </w:r>
            <w:r>
              <w:rPr>
                <w:b/>
                <w:color w:val="000000"/>
                <w:sz w:val="20"/>
              </w:rPr>
              <w:t>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D2E1A" w:rsidRDefault="00E60529">
            <w:pPr>
              <w:autoSpaceDE w:val="0"/>
              <w:autoSpaceDN w:val="0"/>
              <w:adjustRightInd w:val="0"/>
              <w:rPr>
                <w:color w:val="000000"/>
                <w:sz w:val="20"/>
              </w:rPr>
            </w:pPr>
            <w:r>
              <w:rPr>
                <w:color w:val="000000"/>
                <w:sz w:val="20"/>
              </w:rPr>
              <w:t>+:</w:t>
            </w:r>
          </w:p>
          <w:p w:rsidR="009D2E1A" w:rsidRDefault="00E60529">
            <w:pPr>
              <w:autoSpaceDE w:val="0"/>
              <w:autoSpaceDN w:val="0"/>
              <w:adjustRightInd w:val="0"/>
              <w:rPr>
                <w:color w:val="000000"/>
                <w:sz w:val="20"/>
              </w:rPr>
            </w:pPr>
            <w:r>
              <w:rPr>
                <w:color w:val="000000"/>
                <w:sz w:val="20"/>
              </w:rPr>
              <w:t>–:</w:t>
            </w:r>
          </w:p>
          <w:p w:rsidR="009D2E1A" w:rsidRDefault="00E6052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color w:val="000000"/>
                <w:sz w:val="20"/>
              </w:rPr>
            </w:pPr>
            <w:r>
              <w:rPr>
                <w:color w:val="000000"/>
                <w:sz w:val="20"/>
              </w:rPr>
              <w:t>51</w:t>
            </w:r>
          </w:p>
          <w:p w:rsidR="009D2E1A" w:rsidRDefault="00E60529">
            <w:pPr>
              <w:autoSpaceDE w:val="0"/>
              <w:autoSpaceDN w:val="0"/>
              <w:adjustRightInd w:val="0"/>
              <w:rPr>
                <w:color w:val="000000"/>
                <w:sz w:val="20"/>
              </w:rPr>
            </w:pPr>
            <w:r>
              <w:rPr>
                <w:color w:val="000000"/>
                <w:sz w:val="20"/>
              </w:rPr>
              <w:t>2</w:t>
            </w:r>
          </w:p>
          <w:p w:rsidR="009D2E1A" w:rsidRDefault="00E60529">
            <w:pPr>
              <w:autoSpaceDE w:val="0"/>
              <w:autoSpaceDN w:val="0"/>
              <w:adjustRightInd w:val="0"/>
              <w:rPr>
                <w:color w:val="000000"/>
                <w:sz w:val="20"/>
              </w:rPr>
            </w:pPr>
            <w:r>
              <w:rPr>
                <w:color w:val="000000"/>
                <w:sz w:val="20"/>
              </w:rPr>
              <w:t>2</w:t>
            </w:r>
          </w:p>
        </w:tc>
      </w:tr>
      <w:tr w:rsidR="00CD345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color w:val="000000"/>
                <w:sz w:val="20"/>
              </w:rPr>
            </w:pPr>
            <w:r>
              <w:rPr>
                <w:color w:val="000000"/>
                <w:sz w:val="20"/>
              </w:rPr>
              <w:t xml:space="preserve">Magdalena Adamowicz, Abir Al-Sahlani, Katarina Barley, Pietro Bartolo, Theresa Bielowski, Patrick Breyer, Saskia Bricmont, Jorge Buxadé Villalba, Damien Carême, Patricia </w:t>
            </w:r>
            <w:r>
              <w:rPr>
                <w:color w:val="000000"/>
                <w:sz w:val="20"/>
              </w:rPr>
              <w:t>Chagnon, Lena Düpont, Lucia Ďuriš Nicholsonová, Cornelia Ernst, Nicolaus Fest, Maria Grapini, Sylvie Guillaume, Andrzej Halicki, Evin Incir, Sophia in ‘t Veld, Patryk Jaki, Marina Kaljurand, Assita Kanko, Łukasz Kohut, Moritz Körner, Alice Kuhnke, Jeroen L</w:t>
            </w:r>
            <w:r>
              <w:rPr>
                <w:color w:val="000000"/>
                <w:sz w:val="20"/>
              </w:rPr>
              <w:t>enaers, Juan Fernando López Aguilar, Erik Marquardt, Javier Moreno Sánchez, Maite Pagazaurtundúa, Diana Riba i Giner, Isabel Santos, Birgit Sippel, Vincenzo Sofo, Tineke Strik, Milan Uhrík, Tom Vandendriessche, Elissavet Vozemberg-Vrionidi, Elena Yoncheva,</w:t>
            </w:r>
            <w:r>
              <w:rPr>
                <w:color w:val="000000"/>
                <w:sz w:val="20"/>
              </w:rPr>
              <w:t xml:space="preserve"> Javier Zarzalejos</w:t>
            </w:r>
          </w:p>
        </w:tc>
      </w:tr>
      <w:tr w:rsidR="00CD345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CD3455" w:rsidRPr="00E6052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2E1A" w:rsidRDefault="00E60529">
            <w:pPr>
              <w:autoSpaceDE w:val="0"/>
              <w:autoSpaceDN w:val="0"/>
              <w:adjustRightInd w:val="0"/>
              <w:rPr>
                <w:b/>
                <w:bCs/>
                <w:color w:val="000000"/>
                <w:sz w:val="20"/>
              </w:rPr>
            </w:pPr>
            <w:r>
              <w:rPr>
                <w:b/>
                <w:color w:val="000000"/>
                <w:sz w:val="20"/>
              </w:rPr>
              <w:t xml:space="preserve">Zastępcy </w:t>
            </w:r>
            <w:r>
              <w:rPr>
                <w:b/>
                <w:color w:val="000000"/>
                <w:sz w:val="20"/>
              </w:rPr>
              <w:t>(art.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2E1A" w:rsidRPr="00E60529" w:rsidRDefault="00E60529">
            <w:pPr>
              <w:autoSpaceDE w:val="0"/>
              <w:autoSpaceDN w:val="0"/>
              <w:adjustRightInd w:val="0"/>
              <w:rPr>
                <w:color w:val="000000"/>
                <w:sz w:val="20"/>
                <w:lang w:val="pt-PT"/>
              </w:rPr>
            </w:pPr>
            <w:r w:rsidRPr="00E60529">
              <w:rPr>
                <w:color w:val="000000"/>
                <w:sz w:val="20"/>
                <w:lang w:val="pt-PT"/>
              </w:rPr>
              <w:t>Andrus Ansip, Hildegard Bentele, Maria da Graça Carvalho, Marisa Matias, Caroline Nagtegaal</w:t>
            </w:r>
          </w:p>
        </w:tc>
      </w:tr>
    </w:tbl>
    <w:p w:rsidR="009D2E1A" w:rsidRPr="00E60529" w:rsidRDefault="009D2E1A" w:rsidP="009D2E1A">
      <w:pPr>
        <w:rPr>
          <w:lang w:val="pt-PT"/>
        </w:rPr>
      </w:pPr>
    </w:p>
    <w:bookmarkEnd w:id="3"/>
    <w:p w:rsidR="009D2E1A" w:rsidRPr="00E60529" w:rsidRDefault="009D2E1A" w:rsidP="009D2E1A">
      <w:pPr>
        <w:rPr>
          <w:lang w:val="pt-PT"/>
        </w:rPr>
        <w:sectPr w:rsidR="009D2E1A" w:rsidRPr="00E60529" w:rsidSect="009D2E1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D2E1A" w:rsidRPr="0099178F" w:rsidRDefault="00E60529" w:rsidP="00C36610">
      <w:pPr>
        <w:pStyle w:val="PageHeadingNotTOC"/>
      </w:pPr>
      <w:bookmarkStart w:id="4" w:name="RollCallPageAD"/>
      <w:r>
        <w:lastRenderedPageBreak/>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D3455" w:rsidTr="00020966">
        <w:trPr>
          <w:cantSplit/>
        </w:trPr>
        <w:tc>
          <w:tcPr>
            <w:tcW w:w="1701" w:type="dxa"/>
            <w:shd w:val="pct10" w:color="000000" w:fill="FFFFFF"/>
            <w:vAlign w:val="center"/>
          </w:tcPr>
          <w:p w:rsidR="009D2E1A" w:rsidRPr="00374135" w:rsidRDefault="00E60529" w:rsidP="00020966">
            <w:pPr>
              <w:pStyle w:val="RollCallVotes"/>
            </w:pPr>
            <w:r>
              <w:t>51</w:t>
            </w:r>
          </w:p>
        </w:tc>
        <w:tc>
          <w:tcPr>
            <w:tcW w:w="7371" w:type="dxa"/>
            <w:shd w:val="pct10" w:color="000000" w:fill="FFFFFF"/>
          </w:tcPr>
          <w:p w:rsidR="009D2E1A" w:rsidRPr="00374135" w:rsidRDefault="00E60529" w:rsidP="00020966">
            <w:pPr>
              <w:pStyle w:val="RollCallSymbols14pt"/>
            </w:pPr>
            <w:r>
              <w:t>+</w:t>
            </w:r>
          </w:p>
        </w:tc>
      </w:tr>
      <w:tr w:rsidR="00CD3455" w:rsidTr="00020966">
        <w:trPr>
          <w:cantSplit/>
        </w:trPr>
        <w:tc>
          <w:tcPr>
            <w:tcW w:w="1701" w:type="dxa"/>
            <w:shd w:val="clear" w:color="auto" w:fill="FFFFFF"/>
          </w:tcPr>
          <w:p w:rsidR="009D2E1A" w:rsidRPr="00374135" w:rsidRDefault="00E60529" w:rsidP="00020966">
            <w:pPr>
              <w:pStyle w:val="RollCallTable"/>
            </w:pPr>
            <w:r>
              <w:t>ECR</w:t>
            </w:r>
          </w:p>
        </w:tc>
        <w:tc>
          <w:tcPr>
            <w:tcW w:w="7371" w:type="dxa"/>
            <w:shd w:val="clear" w:color="auto" w:fill="FFFFFF"/>
          </w:tcPr>
          <w:p w:rsidR="009D2E1A" w:rsidRPr="00374135" w:rsidRDefault="00E60529" w:rsidP="00020966">
            <w:pPr>
              <w:pStyle w:val="RollCallTable"/>
            </w:pPr>
            <w:r>
              <w:t>Jorge Buxadé Villalba, Patryk Jaki, Assita Kanko, Beata Kempa</w:t>
            </w:r>
          </w:p>
        </w:tc>
      </w:tr>
      <w:tr w:rsidR="00CD3455" w:rsidTr="00020966">
        <w:trPr>
          <w:cantSplit/>
        </w:trPr>
        <w:tc>
          <w:tcPr>
            <w:tcW w:w="1701" w:type="dxa"/>
            <w:shd w:val="clear" w:color="auto" w:fill="FFFFFF"/>
          </w:tcPr>
          <w:p w:rsidR="009D2E1A" w:rsidRPr="00374135" w:rsidRDefault="00E60529" w:rsidP="00020966">
            <w:pPr>
              <w:pStyle w:val="RollCallTable"/>
            </w:pPr>
            <w:r>
              <w:t>ID</w:t>
            </w:r>
          </w:p>
        </w:tc>
        <w:tc>
          <w:tcPr>
            <w:tcW w:w="7371" w:type="dxa"/>
            <w:shd w:val="clear" w:color="auto" w:fill="FFFFFF"/>
          </w:tcPr>
          <w:p w:rsidR="009D2E1A" w:rsidRPr="00374135" w:rsidRDefault="00E60529" w:rsidP="00020966">
            <w:pPr>
              <w:pStyle w:val="RollCallTable"/>
            </w:pPr>
            <w:r>
              <w:t>Tom Vandendriessche</w:t>
            </w:r>
          </w:p>
        </w:tc>
      </w:tr>
      <w:tr w:rsidR="00CD3455" w:rsidTr="00020966">
        <w:trPr>
          <w:cantSplit/>
        </w:trPr>
        <w:tc>
          <w:tcPr>
            <w:tcW w:w="1701" w:type="dxa"/>
            <w:shd w:val="clear" w:color="auto" w:fill="FFFFFF"/>
          </w:tcPr>
          <w:p w:rsidR="009D2E1A" w:rsidRPr="00374135" w:rsidRDefault="00E60529" w:rsidP="00020966">
            <w:pPr>
              <w:pStyle w:val="RollCallTable"/>
            </w:pPr>
            <w:r>
              <w:t>PPE</w:t>
            </w:r>
          </w:p>
        </w:tc>
        <w:tc>
          <w:tcPr>
            <w:tcW w:w="7371" w:type="dxa"/>
            <w:shd w:val="clear" w:color="auto" w:fill="FFFFFF"/>
          </w:tcPr>
          <w:p w:rsidR="009D2E1A" w:rsidRPr="00374135" w:rsidRDefault="00E60529" w:rsidP="00020966">
            <w:pPr>
              <w:pStyle w:val="RollCallTable"/>
            </w:pPr>
            <w:r>
              <w:t xml:space="preserve">Magdalena Adamowicz, Hildegard Bentele, Maria da Graça Carvalho, Lena Düpont, Andrzej Halicki, Jeroen Lenaers, Leopoldo López Gil, Janina Ochojska, Elissavet </w:t>
            </w:r>
            <w:r>
              <w:t>Vozemberg-Vrionidi, Maria Walsh, Javier Zarzalejos, Tomáš Zdechovský</w:t>
            </w:r>
          </w:p>
        </w:tc>
      </w:tr>
      <w:tr w:rsidR="00CD3455" w:rsidTr="00020966">
        <w:trPr>
          <w:cantSplit/>
        </w:trPr>
        <w:tc>
          <w:tcPr>
            <w:tcW w:w="1701" w:type="dxa"/>
            <w:shd w:val="clear" w:color="auto" w:fill="FFFFFF"/>
          </w:tcPr>
          <w:p w:rsidR="009D2E1A" w:rsidRPr="00374135" w:rsidRDefault="00E60529" w:rsidP="00020966">
            <w:pPr>
              <w:pStyle w:val="RollCallTable"/>
            </w:pPr>
            <w:r>
              <w:t>Renew</w:t>
            </w:r>
          </w:p>
        </w:tc>
        <w:tc>
          <w:tcPr>
            <w:tcW w:w="7371" w:type="dxa"/>
            <w:shd w:val="clear" w:color="auto" w:fill="FFFFFF"/>
          </w:tcPr>
          <w:p w:rsidR="009D2E1A" w:rsidRPr="00374135" w:rsidRDefault="00E60529" w:rsidP="00020966">
            <w:pPr>
              <w:pStyle w:val="RollCallTable"/>
            </w:pPr>
            <w:r>
              <w:t>Abir Al-Sahlani, Andrus Ansip, Lucia Ďuriš Nicholsonová, Sophia in 't Veld, Moritz Körner, Caroline Nagtegaal, Maite Pagazaurtundúa, Bergur Løkke Rasmussen, Róża Thun und Hohenstei</w:t>
            </w:r>
            <w:r>
              <w:t>n</w:t>
            </w:r>
          </w:p>
        </w:tc>
      </w:tr>
      <w:tr w:rsidR="00CD3455" w:rsidTr="00020966">
        <w:trPr>
          <w:cantSplit/>
        </w:trPr>
        <w:tc>
          <w:tcPr>
            <w:tcW w:w="1701" w:type="dxa"/>
            <w:shd w:val="clear" w:color="auto" w:fill="FFFFFF"/>
          </w:tcPr>
          <w:p w:rsidR="009D2E1A" w:rsidRPr="00374135" w:rsidRDefault="00E60529" w:rsidP="00020966">
            <w:pPr>
              <w:pStyle w:val="RollCallTable"/>
            </w:pPr>
            <w:r>
              <w:t>S&amp;D</w:t>
            </w:r>
          </w:p>
        </w:tc>
        <w:tc>
          <w:tcPr>
            <w:tcW w:w="7371" w:type="dxa"/>
            <w:shd w:val="clear" w:color="auto" w:fill="FFFFFF"/>
          </w:tcPr>
          <w:p w:rsidR="009D2E1A" w:rsidRPr="00374135" w:rsidRDefault="00E60529" w:rsidP="00020966">
            <w:pPr>
              <w:pStyle w:val="RollCallTable"/>
            </w:pPr>
            <w:r>
              <w:t>Katarina Barley, Pietro Bartolo, Theresa Bielowski, Cyrus Engerer, Maria Grapini, Sylvie Guillaume, Evin Incir, Marina Kaljurand, Łukasz Kohut, Juan Fernando López Aguilar, Javier Moreno Sánchez, Isabel Santos, Birgit Sippel, Elena Yoncheva</w:t>
            </w:r>
          </w:p>
        </w:tc>
      </w:tr>
      <w:tr w:rsidR="00CD3455" w:rsidTr="00020966">
        <w:trPr>
          <w:cantSplit/>
        </w:trPr>
        <w:tc>
          <w:tcPr>
            <w:tcW w:w="1701" w:type="dxa"/>
            <w:shd w:val="clear" w:color="auto" w:fill="FFFFFF"/>
          </w:tcPr>
          <w:p w:rsidR="009D2E1A" w:rsidRPr="00374135" w:rsidRDefault="00E60529" w:rsidP="00020966">
            <w:pPr>
              <w:pStyle w:val="RollCallTable"/>
            </w:pPr>
            <w:r>
              <w:t>The Lef</w:t>
            </w:r>
            <w:r>
              <w:t>t</w:t>
            </w:r>
          </w:p>
        </w:tc>
        <w:tc>
          <w:tcPr>
            <w:tcW w:w="7371" w:type="dxa"/>
            <w:shd w:val="clear" w:color="auto" w:fill="FFFFFF"/>
          </w:tcPr>
          <w:p w:rsidR="009D2E1A" w:rsidRPr="00374135" w:rsidRDefault="00E60529" w:rsidP="00020966">
            <w:pPr>
              <w:pStyle w:val="RollCallTable"/>
            </w:pPr>
            <w:r>
              <w:t>Cornelia Ernst, José Gusmão, Marisa Matias, Anne-Sophie Pelletier</w:t>
            </w:r>
          </w:p>
        </w:tc>
      </w:tr>
      <w:tr w:rsidR="00CD3455" w:rsidTr="00020966">
        <w:trPr>
          <w:cantSplit/>
        </w:trPr>
        <w:tc>
          <w:tcPr>
            <w:tcW w:w="1701" w:type="dxa"/>
            <w:shd w:val="clear" w:color="auto" w:fill="FFFFFF"/>
          </w:tcPr>
          <w:p w:rsidR="009D2E1A" w:rsidRPr="00374135" w:rsidRDefault="00E60529" w:rsidP="00020966">
            <w:pPr>
              <w:pStyle w:val="RollCallTable"/>
            </w:pPr>
            <w:r>
              <w:t>Verts/ALE</w:t>
            </w:r>
          </w:p>
        </w:tc>
        <w:tc>
          <w:tcPr>
            <w:tcW w:w="7371" w:type="dxa"/>
            <w:shd w:val="clear" w:color="auto" w:fill="FFFFFF"/>
          </w:tcPr>
          <w:p w:rsidR="009D2E1A" w:rsidRPr="00374135" w:rsidRDefault="00E60529" w:rsidP="00020966">
            <w:pPr>
              <w:pStyle w:val="RollCallTable"/>
            </w:pPr>
            <w:r>
              <w:t>Patrick Breyer, Saskia Bricmont, Damien Carême, Alice Kuhnke, Erik Marquardt, Diana Riba i Giner, Tineke Strik</w:t>
            </w:r>
          </w:p>
        </w:tc>
      </w:tr>
    </w:tbl>
    <w:p w:rsidR="009D2E1A" w:rsidRPr="00374135" w:rsidRDefault="009D2E1A" w:rsidP="009D2E1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D3455" w:rsidTr="00020966">
        <w:trPr>
          <w:cantSplit/>
        </w:trPr>
        <w:tc>
          <w:tcPr>
            <w:tcW w:w="1701" w:type="dxa"/>
            <w:shd w:val="pct10" w:color="000000" w:fill="FFFFFF"/>
            <w:vAlign w:val="center"/>
          </w:tcPr>
          <w:p w:rsidR="009D2E1A" w:rsidRPr="00374135" w:rsidRDefault="00E60529" w:rsidP="00020966">
            <w:pPr>
              <w:pStyle w:val="RollCallVotes"/>
            </w:pPr>
            <w:r>
              <w:t>2</w:t>
            </w:r>
          </w:p>
        </w:tc>
        <w:tc>
          <w:tcPr>
            <w:tcW w:w="7371" w:type="dxa"/>
            <w:shd w:val="pct10" w:color="000000" w:fill="FFFFFF"/>
          </w:tcPr>
          <w:p w:rsidR="009D2E1A" w:rsidRPr="00374135" w:rsidRDefault="00E60529" w:rsidP="00020966">
            <w:pPr>
              <w:pStyle w:val="RollCallSymbols14pt"/>
            </w:pPr>
            <w:r>
              <w:t>-</w:t>
            </w:r>
          </w:p>
        </w:tc>
      </w:tr>
      <w:tr w:rsidR="00CD3455" w:rsidTr="00020966">
        <w:trPr>
          <w:cantSplit/>
        </w:trPr>
        <w:tc>
          <w:tcPr>
            <w:tcW w:w="1701" w:type="dxa"/>
            <w:shd w:val="clear" w:color="auto" w:fill="FFFFFF"/>
          </w:tcPr>
          <w:p w:rsidR="009D2E1A" w:rsidRPr="00374135" w:rsidRDefault="00E60529" w:rsidP="00020966">
            <w:pPr>
              <w:pStyle w:val="RollCallTable"/>
            </w:pPr>
            <w:r>
              <w:t>ID</w:t>
            </w:r>
          </w:p>
        </w:tc>
        <w:tc>
          <w:tcPr>
            <w:tcW w:w="7371" w:type="dxa"/>
            <w:shd w:val="clear" w:color="auto" w:fill="FFFFFF"/>
          </w:tcPr>
          <w:p w:rsidR="009D2E1A" w:rsidRPr="00374135" w:rsidRDefault="00E60529" w:rsidP="00020966">
            <w:pPr>
              <w:pStyle w:val="RollCallTable"/>
            </w:pPr>
            <w:r>
              <w:t>Nicolaus Fest</w:t>
            </w:r>
          </w:p>
        </w:tc>
      </w:tr>
      <w:tr w:rsidR="00CD3455" w:rsidTr="00020966">
        <w:trPr>
          <w:cantSplit/>
        </w:trPr>
        <w:tc>
          <w:tcPr>
            <w:tcW w:w="1701" w:type="dxa"/>
            <w:shd w:val="clear" w:color="auto" w:fill="FFFFFF"/>
          </w:tcPr>
          <w:p w:rsidR="009D2E1A" w:rsidRPr="00374135" w:rsidRDefault="00E60529" w:rsidP="00020966">
            <w:pPr>
              <w:pStyle w:val="RollCallTable"/>
            </w:pPr>
            <w:r>
              <w:t>NI</w:t>
            </w:r>
          </w:p>
        </w:tc>
        <w:tc>
          <w:tcPr>
            <w:tcW w:w="7371" w:type="dxa"/>
            <w:shd w:val="clear" w:color="auto" w:fill="FFFFFF"/>
          </w:tcPr>
          <w:p w:rsidR="009D2E1A" w:rsidRPr="00374135" w:rsidRDefault="00E60529" w:rsidP="00020966">
            <w:pPr>
              <w:pStyle w:val="RollCallTable"/>
            </w:pPr>
            <w:r>
              <w:t>Milan Uhrík</w:t>
            </w:r>
          </w:p>
        </w:tc>
      </w:tr>
    </w:tbl>
    <w:p w:rsidR="009D2E1A" w:rsidRPr="00374135" w:rsidRDefault="009D2E1A" w:rsidP="009D2E1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D3455" w:rsidTr="00020966">
        <w:trPr>
          <w:cantSplit/>
        </w:trPr>
        <w:tc>
          <w:tcPr>
            <w:tcW w:w="1701" w:type="dxa"/>
            <w:shd w:val="pct10" w:color="000000" w:fill="FFFFFF"/>
            <w:vAlign w:val="center"/>
          </w:tcPr>
          <w:p w:rsidR="009D2E1A" w:rsidRPr="00374135" w:rsidRDefault="00E60529" w:rsidP="00020966">
            <w:pPr>
              <w:pStyle w:val="RollCallVotes"/>
            </w:pPr>
            <w:r>
              <w:t>2</w:t>
            </w:r>
          </w:p>
        </w:tc>
        <w:tc>
          <w:tcPr>
            <w:tcW w:w="7371" w:type="dxa"/>
            <w:shd w:val="pct10" w:color="000000" w:fill="FFFFFF"/>
          </w:tcPr>
          <w:p w:rsidR="009D2E1A" w:rsidRPr="00374135" w:rsidRDefault="00E60529" w:rsidP="00020966">
            <w:pPr>
              <w:pStyle w:val="RollCallSymbols14pt"/>
            </w:pPr>
            <w:r>
              <w:t>0</w:t>
            </w:r>
          </w:p>
        </w:tc>
      </w:tr>
      <w:tr w:rsidR="00CD3455" w:rsidTr="00020966">
        <w:trPr>
          <w:cantSplit/>
        </w:trPr>
        <w:tc>
          <w:tcPr>
            <w:tcW w:w="1701" w:type="dxa"/>
            <w:shd w:val="clear" w:color="auto" w:fill="FFFFFF"/>
          </w:tcPr>
          <w:p w:rsidR="009D2E1A" w:rsidRPr="00374135" w:rsidRDefault="00E60529" w:rsidP="00020966">
            <w:pPr>
              <w:pStyle w:val="RollCallTable"/>
            </w:pPr>
            <w:r>
              <w:t>ECR</w:t>
            </w:r>
          </w:p>
        </w:tc>
        <w:tc>
          <w:tcPr>
            <w:tcW w:w="7371" w:type="dxa"/>
            <w:shd w:val="clear" w:color="auto" w:fill="FFFFFF"/>
          </w:tcPr>
          <w:p w:rsidR="009D2E1A" w:rsidRPr="00374135" w:rsidRDefault="00E60529" w:rsidP="00020966">
            <w:pPr>
              <w:pStyle w:val="RollCallTable"/>
            </w:pPr>
            <w:r>
              <w:t>Vincenzo Sofo</w:t>
            </w:r>
          </w:p>
        </w:tc>
      </w:tr>
      <w:tr w:rsidR="00CD3455" w:rsidTr="00020966">
        <w:trPr>
          <w:cantSplit/>
        </w:trPr>
        <w:tc>
          <w:tcPr>
            <w:tcW w:w="1701" w:type="dxa"/>
            <w:shd w:val="clear" w:color="auto" w:fill="FFFFFF"/>
          </w:tcPr>
          <w:p w:rsidR="009D2E1A" w:rsidRPr="00374135" w:rsidRDefault="00E60529" w:rsidP="00020966">
            <w:pPr>
              <w:pStyle w:val="RollCallTable"/>
            </w:pPr>
            <w:r>
              <w:t>ID</w:t>
            </w:r>
          </w:p>
        </w:tc>
        <w:tc>
          <w:tcPr>
            <w:tcW w:w="7371" w:type="dxa"/>
            <w:shd w:val="clear" w:color="auto" w:fill="FFFFFF"/>
          </w:tcPr>
          <w:p w:rsidR="009D2E1A" w:rsidRPr="00374135" w:rsidRDefault="00E60529" w:rsidP="00020966">
            <w:pPr>
              <w:pStyle w:val="RollCallTable"/>
            </w:pPr>
            <w:r>
              <w:t>Patricia Chagnon</w:t>
            </w:r>
          </w:p>
        </w:tc>
      </w:tr>
    </w:tbl>
    <w:p w:rsidR="009D2E1A" w:rsidRDefault="009D2E1A" w:rsidP="00147FBF">
      <w:pPr>
        <w:pStyle w:val="Normal12a"/>
      </w:pPr>
    </w:p>
    <w:p w:rsidR="009D2E1A" w:rsidRDefault="00E60529" w:rsidP="00B735E3">
      <w:r>
        <w:t>Objaśnienie używanych znaków:</w:t>
      </w:r>
    </w:p>
    <w:p w:rsidR="009D2E1A" w:rsidRDefault="00E60529" w:rsidP="003858C5">
      <w:pPr>
        <w:pStyle w:val="RollCallTabs"/>
      </w:pPr>
      <w:r>
        <w:t>+</w:t>
      </w:r>
      <w:r>
        <w:tab/>
        <w:t>:</w:t>
      </w:r>
      <w:r>
        <w:tab/>
        <w:t>za</w:t>
      </w:r>
    </w:p>
    <w:p w:rsidR="009D2E1A" w:rsidRDefault="00E60529" w:rsidP="003858C5">
      <w:pPr>
        <w:pStyle w:val="RollCallTabs"/>
      </w:pPr>
      <w:r>
        <w:t>-</w:t>
      </w:r>
      <w:r>
        <w:tab/>
        <w:t>:</w:t>
      </w:r>
      <w:r>
        <w:tab/>
        <w:t>przeciw</w:t>
      </w:r>
    </w:p>
    <w:p w:rsidR="009D2E1A" w:rsidRDefault="00E60529" w:rsidP="003858C5">
      <w:pPr>
        <w:pStyle w:val="RollCallTabs"/>
      </w:pPr>
      <w:r>
        <w:t>0</w:t>
      </w:r>
      <w:r>
        <w:tab/>
        <w:t>:</w:t>
      </w:r>
      <w:r>
        <w:tab/>
        <w:t>wstrzymało się</w:t>
      </w:r>
    </w:p>
    <w:p w:rsidR="009D2E1A" w:rsidRDefault="009D2E1A" w:rsidP="00207509"/>
    <w:bookmarkEnd w:id="4"/>
    <w:p w:rsidR="002E6F98" w:rsidRPr="009D2E1A" w:rsidRDefault="002E6F98" w:rsidP="009D2E1A"/>
    <w:sectPr w:rsidR="002E6F98" w:rsidRPr="009D2E1A" w:rsidSect="009D2E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60529">
      <w:r>
        <w:separator/>
      </w:r>
    </w:p>
  </w:endnote>
  <w:endnote w:type="continuationSeparator" w:id="0">
    <w:p w:rsidR="00000000" w:rsidRDefault="00E60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4D" w:rsidRPr="00374135" w:rsidRDefault="00E60529" w:rsidP="00990C4D">
    <w:pPr>
      <w:pStyle w:val="EPFooter"/>
    </w:pPr>
    <w:r w:rsidRPr="00374135">
      <w:t>PE</w:t>
    </w:r>
    <w:r w:rsidRPr="00374135">
      <w:rPr>
        <w:rStyle w:val="HideTWBExt"/>
      </w:rPr>
      <w:t>&lt;NoPE&gt;</w:t>
    </w:r>
    <w:r w:rsidRPr="00374135">
      <w:t>756.199</w:t>
    </w:r>
    <w:r w:rsidRPr="00374135">
      <w:rPr>
        <w:rStyle w:val="HideTWBExt"/>
      </w:rPr>
      <w:t>&lt;/NoPE&gt;&lt;Version&gt;</w:t>
    </w:r>
    <w:r w:rsidRPr="00374135">
      <w:t>v03-00</w:t>
    </w:r>
    <w:r w:rsidRPr="00374135">
      <w:rPr>
        <w:rStyle w:val="HideTWBExt"/>
      </w:rPr>
      <w:t>&lt;/Version&gt;</w:t>
    </w:r>
    <w:r w:rsidRPr="00374135">
      <w:tab/>
    </w:r>
    <w:r w:rsidRPr="00374135">
      <w:fldChar w:fldCharType="begin"/>
    </w:r>
    <w:r w:rsidRPr="00374135">
      <w:instrText xml:space="preserve"> PAGE  \* MERGEFORMAT </w:instrText>
    </w:r>
    <w:r w:rsidRPr="00374135">
      <w:fldChar w:fldCharType="separate"/>
    </w:r>
    <w:r>
      <w:rPr>
        <w:noProof/>
      </w:rPr>
      <w:t>4</w:t>
    </w:r>
    <w:r w:rsidRPr="00374135">
      <w:fldChar w:fldCharType="end"/>
    </w:r>
    <w:r w:rsidRPr="00374135">
      <w:t>/</w:t>
    </w:r>
    <w:r w:rsidR="009D2E1A">
      <w:fldChar w:fldCharType="begin"/>
    </w:r>
    <w:r>
      <w:instrText xml:space="preserve"> NUMPAGES  \* MERGEFORMAT </w:instrText>
    </w:r>
    <w:r w:rsidR="009D2E1A">
      <w:fldChar w:fldCharType="separate"/>
    </w:r>
    <w:r>
      <w:rPr>
        <w:noProof/>
      </w:rPr>
      <w:t>7</w:t>
    </w:r>
    <w:r w:rsidR="009D2E1A">
      <w:rPr>
        <w:noProof/>
      </w:rPr>
      <w:fldChar w:fldCharType="end"/>
    </w:r>
    <w:r w:rsidRPr="00374135">
      <w:tab/>
    </w:r>
    <w:r w:rsidRPr="00374135">
      <w:rPr>
        <w:rStyle w:val="HideTWBExt"/>
      </w:rPr>
      <w:t>&lt;PathFdR&gt;</w:t>
    </w:r>
    <w:r w:rsidRPr="00374135">
      <w:t>AD\1295231PL.docx</w:t>
    </w:r>
    <w:r w:rsidRPr="00374135">
      <w:rPr>
        <w:rStyle w:val="HideTWBExt"/>
      </w:rPr>
      <w:t>&lt;/PathFdR&gt;</w:t>
    </w:r>
  </w:p>
  <w:p w:rsidR="002E2F2E" w:rsidRPr="00374135" w:rsidRDefault="00E60529" w:rsidP="00990C4D">
    <w:pPr>
      <w:pStyle w:val="EPFooter2"/>
    </w:pPr>
    <w:r w:rsidRPr="0037413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4D" w:rsidRPr="00374135" w:rsidRDefault="00E60529" w:rsidP="00990C4D">
    <w:pPr>
      <w:pStyle w:val="EPFooter"/>
    </w:pPr>
    <w:r w:rsidRPr="00374135">
      <w:rPr>
        <w:rStyle w:val="HideTWBExt"/>
      </w:rPr>
      <w:t>&lt;PathFdR&gt;</w:t>
    </w:r>
    <w:r w:rsidRPr="00374135">
      <w:t>AD\1295231PL.docx</w:t>
    </w:r>
    <w:r w:rsidRPr="00374135">
      <w:rPr>
        <w:rStyle w:val="HideTWBExt"/>
      </w:rPr>
      <w:t>&lt;/PathFdR&gt;</w:t>
    </w:r>
    <w:r w:rsidRPr="00374135">
      <w:tab/>
    </w:r>
    <w:r w:rsidRPr="00374135">
      <w:fldChar w:fldCharType="begin"/>
    </w:r>
    <w:r w:rsidRPr="00374135">
      <w:instrText xml:space="preserve"> PAGE  \* MERGEFORMAT </w:instrText>
    </w:r>
    <w:r w:rsidRPr="00374135">
      <w:fldChar w:fldCharType="separate"/>
    </w:r>
    <w:r>
      <w:rPr>
        <w:noProof/>
      </w:rPr>
      <w:t>3</w:t>
    </w:r>
    <w:r w:rsidRPr="00374135">
      <w:fldChar w:fldCharType="end"/>
    </w:r>
    <w:r w:rsidRPr="00374135">
      <w:t>/</w:t>
    </w:r>
    <w:r w:rsidR="009D2E1A">
      <w:fldChar w:fldCharType="begin"/>
    </w:r>
    <w:r>
      <w:instrText xml:space="preserve"> NUMPAGES  \* MERGEFORMAT </w:instrText>
    </w:r>
    <w:r w:rsidR="009D2E1A">
      <w:fldChar w:fldCharType="separate"/>
    </w:r>
    <w:r>
      <w:rPr>
        <w:noProof/>
      </w:rPr>
      <w:t>7</w:t>
    </w:r>
    <w:r w:rsidR="009D2E1A">
      <w:rPr>
        <w:noProof/>
      </w:rPr>
      <w:fldChar w:fldCharType="end"/>
    </w:r>
    <w:r w:rsidRPr="00374135">
      <w:tab/>
      <w:t>PE</w:t>
    </w:r>
    <w:r w:rsidRPr="00374135">
      <w:rPr>
        <w:rStyle w:val="HideTWBExt"/>
      </w:rPr>
      <w:t>&lt;NoPE&gt;</w:t>
    </w:r>
    <w:r w:rsidRPr="00374135">
      <w:t>756.199</w:t>
    </w:r>
    <w:r w:rsidRPr="00374135">
      <w:rPr>
        <w:rStyle w:val="HideTWBExt"/>
      </w:rPr>
      <w:t>&lt;/NoPE&gt;&lt;Version&gt;</w:t>
    </w:r>
    <w:r w:rsidRPr="00374135">
      <w:t>v03-00</w:t>
    </w:r>
    <w:r w:rsidRPr="00374135">
      <w:rPr>
        <w:rStyle w:val="HideTWBExt"/>
      </w:rPr>
      <w:t>&lt;/Version&gt;</w:t>
    </w:r>
  </w:p>
  <w:p w:rsidR="002E2F2E" w:rsidRPr="00374135" w:rsidRDefault="00E60529" w:rsidP="00990C4D">
    <w:pPr>
      <w:pStyle w:val="EPFooter2"/>
    </w:pPr>
    <w:r w:rsidRPr="00374135">
      <w:tab/>
    </w:r>
    <w:r w:rsidRPr="00374135">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4D" w:rsidRPr="00374135" w:rsidRDefault="00E60529" w:rsidP="00990C4D">
    <w:pPr>
      <w:pStyle w:val="EPFooter"/>
    </w:pPr>
    <w:r w:rsidRPr="00374135">
      <w:rPr>
        <w:rStyle w:val="HideTWBExt"/>
      </w:rPr>
      <w:t>&lt;PathFdR&gt;</w:t>
    </w:r>
    <w:r w:rsidRPr="00374135">
      <w:t>AD\1295231PL.docx</w:t>
    </w:r>
    <w:r w:rsidRPr="00374135">
      <w:rPr>
        <w:rStyle w:val="HideTWBExt"/>
      </w:rPr>
      <w:t>&lt;/PathFdR&gt;</w:t>
    </w:r>
    <w:r w:rsidRPr="00374135">
      <w:tab/>
    </w:r>
    <w:r w:rsidRPr="00374135">
      <w:tab/>
      <w:t>PE</w:t>
    </w:r>
    <w:r w:rsidRPr="00374135">
      <w:rPr>
        <w:rStyle w:val="HideTWBExt"/>
      </w:rPr>
      <w:t>&lt;NoPE&gt;</w:t>
    </w:r>
    <w:r w:rsidRPr="00374135">
      <w:t>756.199</w:t>
    </w:r>
    <w:r w:rsidRPr="00374135">
      <w:rPr>
        <w:rStyle w:val="HideTWBExt"/>
      </w:rPr>
      <w:t>&lt;/NoPE&gt;&lt;Version&gt;</w:t>
    </w:r>
    <w:r w:rsidRPr="00374135">
      <w:t>v03-00</w:t>
    </w:r>
    <w:r w:rsidRPr="00374135">
      <w:rPr>
        <w:rStyle w:val="HideTWBExt"/>
      </w:rPr>
      <w:t>&lt;/Version&gt;</w:t>
    </w:r>
  </w:p>
  <w:p w:rsidR="002E2F2E" w:rsidRPr="00374135" w:rsidRDefault="00E60529" w:rsidP="00990C4D">
    <w:pPr>
      <w:pStyle w:val="EPFooter2"/>
    </w:pPr>
    <w:r w:rsidRPr="00374135">
      <w:t>PL</w:t>
    </w:r>
    <w:r w:rsidRPr="00374135">
      <w:tab/>
    </w:r>
    <w:r w:rsidRPr="00374135">
      <w:rPr>
        <w:b w:val="0"/>
        <w:i/>
        <w:color w:val="C0C0C0"/>
        <w:sz w:val="22"/>
      </w:rPr>
      <w:t>Zjednoczona w różnorodności</w:t>
    </w:r>
    <w:r w:rsidRPr="0037413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60529">
      <w:r>
        <w:separator/>
      </w:r>
    </w:p>
  </w:footnote>
  <w:footnote w:type="continuationSeparator" w:id="0">
    <w:p w:rsidR="00000000" w:rsidRDefault="00E60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E1A" w:rsidRDefault="009D2E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E1A" w:rsidRDefault="009D2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E1A" w:rsidRDefault="009D2E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3"/>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01848 HideTWBInt;}{_x000d__x000a_\s18\ql \fi-567\li567\ri0\sa240\nowidctlpar\wrapdefault\aspalpha\aspnum\faauto\adjustright\rin0\lin567\itap0 \rtlch\fcs1 \af0\afs20\alang1025 \ltrch\fcs0 \fs24\lang2057\langfe2057\cgrid\langnp2057\langfenp2057 _x000d__x000a_\sbasedon0 \snext18 \spriority0 \styrsid3501848 NormalHanging12a;}}{\*\rsidtbl \rsid24658\rsid223860\rsid735077\rsid1718133\rsid2892074\rsid3501848\rsid3565327\rsid4666813\rsid6641733\rsid7823322\rsid9636012\rsid10377208\rsid11215221\rsid11549030_x000d__x000a_\rsid1174712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18}{\revtim\yr2024\mo1\dy22\hr10\min18}{\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0184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747120 \chftnsep _x000d__x000a_\par }}{\*\ftnsepc \ltrpar \pard\plain \ltrpar\ql \li0\ri0\widctlpar\wrapdefault\aspalpha\aspnum\faauto\adjustright\rin0\lin0\itap0 \rtlch\fcs1 \af0\afs20\alang1025 \ltrch\fcs0 \fs24\lang2057\langfe2057\cgrid\langnp2057\langfenp2057 {\rtlch\fcs1 \af0 _x000d__x000a_\ltrch\fcs0 \insrsid11747120 \chftnsepc _x000d__x000a_\par }}{\*\aftnsep \ltrpar \pard\plain \ltrpar\ql \li0\ri0\widctlpar\wrapdefault\aspalpha\aspnum\faauto\adjustright\rin0\lin0\itap0 \rtlch\fcs1 \af0\afs20\alang1025 \ltrch\fcs0 \fs24\lang2057\langfe2057\cgrid\langnp2057\langfenp2057 {\rtlch\fcs1 \af0 _x000d__x000a_\ltrch\fcs0 \insrsid11747120 \chftnsep _x000d__x000a_\par }}{\*\aftnsepc \ltrpar \pard\plain \ltrpar\ql \li0\ri0\widctlpar\wrapdefault\aspalpha\aspnum\faauto\adjustright\rin0\lin0\itap0 \rtlch\fcs1 \af0\afs20\alang1025 \ltrch\fcs0 \fs24\lang2057\langfe2057\cgrid\langnp2057\langfenp2057 {\rtlch\fcs1 \af0 _x000d__x000a_\ltrch\fcs0 \insrsid117471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3501848 \rtlch\fcs1 \af0\afs20\alang1025 \ltrch\fcs0 \fs24\lang2057\langfe2057\cgrid\langnp2057\langfenp2057 {\rtlch\fcs1 \af0 _x000d__x000a_\ltrch\fcs0 \insrsid3501848\charrsid13044652 {\*\bkmkstart restart}#}{\rtlch\fcs1 \af1 \ltrch\fcs0 \cs17\v\f1\fs20\cf15\insrsid3501848\charrsid13044652 NRMSG}{\rtlch\fcs1 \af0 \ltrch\fcs0 \insrsid3501848\charrsid13044652 #.\tab ##}{\rtlch\fcs1 \af0 _x000d__x000a_\ltrch\fcs0 \insrsid350184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8_x000d__x000a_6af013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293646 NormalHanging12a;}}{\*\rsidtbl \rsid24658\rsid223860\rsid735077\rsid1718133\rsid2892074\rsid3565327\rsid4666813\rsid5133082\rsid6641733\rsid7823322_x000d__x000a_\rsid9636012\rsid10377208\rsid11215221\rsid11293646\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18}{\revtim\yr2024\mo1\dy22\hr10\min18}{\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3646\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5133082 \chftnsep _x000d__x000a_\par }}{\*\ftnsepc \ltrpar \pard\plain \ltrpar\ql \li0\ri0\widctlpar\wrapdefault\aspalpha\aspnum\faauto\adjustright\rin0\lin0\itap0 \rtlch\fcs1 \af0\afs20\alang1025 \ltrch\fcs0 \fs24\lang2057\langfe2057\cgrid\langnp2057\langfenp2057 {\rtlch\fcs1 \af0 _x000d__x000a_\ltrch\fcs0 \insrsid5133082 \chftnsepc _x000d__x000a_\par }}{\*\aftnsep \ltrpar \pard\plain \ltrpar\ql \li0\ri0\widctlpar\wrapdefault\aspalpha\aspnum\faauto\adjustright\rin0\lin0\itap0 \rtlch\fcs1 \af0\afs20\alang1025 \ltrch\fcs0 \fs24\lang2057\langfe2057\cgrid\langnp2057\langfenp2057 {\rtlch\fcs1 \af0 _x000d__x000a_\ltrch\fcs0 \insrsid5133082 \chftnsep _x000d__x000a_\par }}{\*\aftnsepc \ltrpar \pard\plain \ltrpar\ql \li0\ri0\widctlpar\wrapdefault\aspalpha\aspnum\faauto\adjustright\rin0\lin0\itap0 \rtlch\fcs1 \af0\afs20\alang1025 \ltrch\fcs0 \fs24\lang2057\langfe2057\cgrid\langnp2057\langfenp2057 {\rtlch\fcs1 \af0 _x000d__x000a_\ltrch\fcs0 \insrsid51330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293646 \rtlch\fcs1 \af0\afs20\alang1025 \ltrch\fcs0 \fs24\lang2057\langfe2057\cgrid\langnp2057\langfenp2057 {\rtlch\fcs1 \af0 _x000d__x000a_\ltrch\fcs0 \insrsid11293646\charrsid1525456 {\*\bkmkstart restart}[ZSUGGESTIONNR]\tab [ZSUGGESTIONTEXT]}{\rtlch\fcs1 \af0 \ltrch\fcs0 \insrsid1129364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f_x000d__x000a_11f313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PL"/>
    <w:docVar w:name="TXTLANGUEMIN" w:val="pl"/>
    <w:docVar w:name="TXTNRPE" w:val="756.199"/>
    <w:docVar w:name="TXTNRPROC" w:val="2023/2168"/>
    <w:docVar w:name="TXTPEorAP" w:val="PE"/>
    <w:docVar w:name="TXTROUTE" w:val="AD\1295231PL.docx"/>
    <w:docVar w:name="TXTTITLE" w:val="of the European Union Agency for Criminal Justice Cooperation (Eurojust) for the financial year 2022"/>
    <w:docVar w:name="TXTVERSION" w:val="03-00"/>
  </w:docVars>
  <w:rsids>
    <w:rsidRoot w:val="00603114"/>
    <w:rsid w:val="00020966"/>
    <w:rsid w:val="0002131B"/>
    <w:rsid w:val="00037518"/>
    <w:rsid w:val="000E5BA4"/>
    <w:rsid w:val="000E7EBF"/>
    <w:rsid w:val="00124F60"/>
    <w:rsid w:val="00135121"/>
    <w:rsid w:val="00140BE6"/>
    <w:rsid w:val="00147F4E"/>
    <w:rsid w:val="00147FBF"/>
    <w:rsid w:val="00163FEA"/>
    <w:rsid w:val="0016635E"/>
    <w:rsid w:val="001746D0"/>
    <w:rsid w:val="00187B3E"/>
    <w:rsid w:val="00196F8C"/>
    <w:rsid w:val="001B7393"/>
    <w:rsid w:val="001D2ED9"/>
    <w:rsid w:val="001F21C1"/>
    <w:rsid w:val="00207509"/>
    <w:rsid w:val="0025230A"/>
    <w:rsid w:val="002B2C72"/>
    <w:rsid w:val="002D28A7"/>
    <w:rsid w:val="002E2F2E"/>
    <w:rsid w:val="002E6F98"/>
    <w:rsid w:val="003210FC"/>
    <w:rsid w:val="00324866"/>
    <w:rsid w:val="00325BCB"/>
    <w:rsid w:val="00331944"/>
    <w:rsid w:val="00332AD9"/>
    <w:rsid w:val="00347D2C"/>
    <w:rsid w:val="003559F2"/>
    <w:rsid w:val="0037356F"/>
    <w:rsid w:val="00374135"/>
    <w:rsid w:val="003858C5"/>
    <w:rsid w:val="00390EB2"/>
    <w:rsid w:val="00396A0E"/>
    <w:rsid w:val="003E2402"/>
    <w:rsid w:val="004607D0"/>
    <w:rsid w:val="00463D09"/>
    <w:rsid w:val="004C28FB"/>
    <w:rsid w:val="004C44C0"/>
    <w:rsid w:val="004E1B62"/>
    <w:rsid w:val="0052544E"/>
    <w:rsid w:val="005940C3"/>
    <w:rsid w:val="00594C48"/>
    <w:rsid w:val="005B2F11"/>
    <w:rsid w:val="005C0BDF"/>
    <w:rsid w:val="005D60C6"/>
    <w:rsid w:val="00603114"/>
    <w:rsid w:val="006102E7"/>
    <w:rsid w:val="00640C1B"/>
    <w:rsid w:val="00657AFB"/>
    <w:rsid w:val="006D5BF7"/>
    <w:rsid w:val="00720390"/>
    <w:rsid w:val="007B0A3A"/>
    <w:rsid w:val="007C5BF1"/>
    <w:rsid w:val="008313E7"/>
    <w:rsid w:val="00854CAC"/>
    <w:rsid w:val="00855820"/>
    <w:rsid w:val="008A32C5"/>
    <w:rsid w:val="008C6203"/>
    <w:rsid w:val="008D61E7"/>
    <w:rsid w:val="008F7002"/>
    <w:rsid w:val="00990C4D"/>
    <w:rsid w:val="0099178F"/>
    <w:rsid w:val="0099493F"/>
    <w:rsid w:val="009D2E1A"/>
    <w:rsid w:val="00A16BEA"/>
    <w:rsid w:val="00A312B3"/>
    <w:rsid w:val="00A72C35"/>
    <w:rsid w:val="00AD5932"/>
    <w:rsid w:val="00AE180F"/>
    <w:rsid w:val="00B362F7"/>
    <w:rsid w:val="00B5456B"/>
    <w:rsid w:val="00B735E3"/>
    <w:rsid w:val="00B74B53"/>
    <w:rsid w:val="00BC26E4"/>
    <w:rsid w:val="00BD1EAA"/>
    <w:rsid w:val="00C36610"/>
    <w:rsid w:val="00C52739"/>
    <w:rsid w:val="00C67A4F"/>
    <w:rsid w:val="00C827FF"/>
    <w:rsid w:val="00C85D0F"/>
    <w:rsid w:val="00CD3455"/>
    <w:rsid w:val="00CD34AC"/>
    <w:rsid w:val="00CF0C3B"/>
    <w:rsid w:val="00D835D3"/>
    <w:rsid w:val="00D86729"/>
    <w:rsid w:val="00D92654"/>
    <w:rsid w:val="00DE19FF"/>
    <w:rsid w:val="00E23510"/>
    <w:rsid w:val="00E60529"/>
    <w:rsid w:val="00E70AB1"/>
    <w:rsid w:val="00E81BA6"/>
    <w:rsid w:val="00E856D2"/>
    <w:rsid w:val="00E929A7"/>
    <w:rsid w:val="00EA3344"/>
    <w:rsid w:val="00F83A84"/>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396A8"/>
  <w15:chartTrackingRefBased/>
  <w15:docId w15:val="{1547BFFC-A629-434B-BDDB-130F6720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324866"/>
    <w:pPr>
      <w:tabs>
        <w:tab w:val="center" w:pos="4513"/>
        <w:tab w:val="right" w:pos="9026"/>
      </w:tabs>
    </w:pPr>
  </w:style>
  <w:style w:type="character" w:customStyle="1" w:styleId="FooterChar">
    <w:name w:val="Footer Char"/>
    <w:basedOn w:val="DefaultParagraphFont"/>
    <w:link w:val="Footer"/>
    <w:semiHidden/>
    <w:rsid w:val="00324866"/>
    <w:rPr>
      <w:sz w:val="24"/>
    </w:rPr>
  </w:style>
  <w:style w:type="paragraph" w:styleId="BalloonText">
    <w:name w:val="Balloon Text"/>
    <w:basedOn w:val="Normal"/>
    <w:link w:val="BalloonTextChar"/>
    <w:semiHidden/>
    <w:unhideWhenUsed/>
    <w:rsid w:val="00D86729"/>
    <w:rPr>
      <w:rFonts w:ascii="Segoe UI" w:hAnsi="Segoe UI" w:cs="Segoe UI"/>
      <w:sz w:val="18"/>
      <w:szCs w:val="18"/>
    </w:rPr>
  </w:style>
  <w:style w:type="character" w:customStyle="1" w:styleId="BalloonTextChar">
    <w:name w:val="Balloon Text Char"/>
    <w:basedOn w:val="DefaultParagraphFont"/>
    <w:link w:val="BalloonText"/>
    <w:semiHidden/>
    <w:rsid w:val="00D86729"/>
    <w:rPr>
      <w:rFonts w:ascii="Segoe UI" w:hAnsi="Segoe UI" w:cs="Segoe UI"/>
      <w:sz w:val="18"/>
      <w:szCs w:val="18"/>
    </w:rPr>
  </w:style>
  <w:style w:type="paragraph" w:customStyle="1" w:styleId="RollCallSymbols14pt">
    <w:name w:val="RollCallSymbols14pt"/>
    <w:basedOn w:val="Normal"/>
    <w:rsid w:val="0085582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55820"/>
    <w:pPr>
      <w:tabs>
        <w:tab w:val="center" w:pos="284"/>
        <w:tab w:val="left" w:pos="426"/>
      </w:tabs>
    </w:pPr>
    <w:rPr>
      <w:snapToGrid w:val="0"/>
      <w:lang w:eastAsia="en-US"/>
    </w:rPr>
  </w:style>
  <w:style w:type="paragraph" w:customStyle="1" w:styleId="RollCallVotes">
    <w:name w:val="RollCallVotes"/>
    <w:basedOn w:val="Normal"/>
    <w:rsid w:val="00855820"/>
    <w:pPr>
      <w:spacing w:before="120" w:after="120"/>
      <w:jc w:val="center"/>
    </w:pPr>
    <w:rPr>
      <w:b/>
      <w:bCs/>
      <w:snapToGrid w:val="0"/>
      <w:sz w:val="16"/>
      <w:lang w:eastAsia="en-US"/>
    </w:rPr>
  </w:style>
  <w:style w:type="paragraph" w:customStyle="1" w:styleId="RollCallTable">
    <w:name w:val="RollCallTable"/>
    <w:basedOn w:val="Normal"/>
    <w:rsid w:val="00855820"/>
    <w:pPr>
      <w:spacing w:before="120" w:after="120"/>
    </w:pPr>
    <w:rPr>
      <w:snapToGrid w:val="0"/>
      <w:sz w:val="16"/>
      <w:lang w:eastAsia="en-US"/>
    </w:rPr>
  </w:style>
  <w:style w:type="paragraph" w:customStyle="1" w:styleId="Normal24a">
    <w:name w:val="Normal24a"/>
    <w:basedOn w:val="Normal"/>
    <w:rsid w:val="000E5BA4"/>
    <w:pPr>
      <w:spacing w:after="480"/>
    </w:pPr>
  </w:style>
  <w:style w:type="paragraph" w:customStyle="1" w:styleId="NormalBoldCenter">
    <w:name w:val="NormalBoldCenter"/>
    <w:basedOn w:val="Normal"/>
    <w:rsid w:val="000E5BA4"/>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889</Words>
  <Characters>5967</Characters>
  <Application>Microsoft Office Word</Application>
  <DocSecurity>0</DocSecurity>
  <Lines>163</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2024-02-07T10:44:00Z</dcterms:created>
  <dcterms:modified xsi:type="dcterms:W3CDTF">2024-02-07T10:44:00Z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1295231</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AD\1295231PL.docx</vt:lpwstr>
  </property>
  <property fmtid="{D5CDD505-2E9C-101B-9397-08002B2CF9AE}" pid="10" name="LastEdited with">
    <vt:lpwstr>9.17.1 Build [20240111]</vt:lpwstr>
  </property>
  <property fmtid="{D5CDD505-2E9C-101B-9397-08002B2CF9AE}" pid="11" name="PE number">
    <vt:lpwstr>756.199</vt:lpwstr>
  </property>
  <property fmtid="{D5CDD505-2E9C-101B-9397-08002B2CF9AE}" pid="12" name="SDLStudio">
    <vt:lpwstr/>
  </property>
  <property fmtid="{D5CDD505-2E9C-101B-9397-08002B2CF9AE}" pid="13" name="SendToEpades">
    <vt:lpwstr>OK - 2024/01/25 14:10</vt:lpwstr>
  </property>
  <property fmtid="{D5CDD505-2E9C-101B-9397-08002B2CF9AE}" pid="14" name="Bookout">
    <vt:lpwstr>OK - 2024/02/07 11:43</vt:lpwstr>
  </property>
</Properties>
</file>