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E6E7F" w:rsidTr="00C85D0F">
        <w:trPr>
          <w:trHeight w:hRule="exact" w:val="1418"/>
        </w:trPr>
        <w:tc>
          <w:tcPr>
            <w:tcW w:w="6804" w:type="dxa"/>
            <w:shd w:val="clear" w:color="auto" w:fill="auto"/>
            <w:vAlign w:val="center"/>
          </w:tcPr>
          <w:p w:rsidR="00854CAC" w:rsidRPr="003D49F1" w:rsidRDefault="00B11B25" w:rsidP="00C85D0F">
            <w:pPr>
              <w:pStyle w:val="EPName"/>
            </w:pPr>
            <w:r>
              <w:t>Parlamento Europeu</w:t>
            </w:r>
          </w:p>
          <w:p w:rsidR="00854CAC" w:rsidRPr="003D49F1" w:rsidRDefault="00B11B25" w:rsidP="00324866">
            <w:pPr>
              <w:pStyle w:val="EPTerm"/>
            </w:pPr>
            <w:r>
              <w:t>2019</w:t>
            </w:r>
            <w:r>
              <w:noBreakHyphen/>
            </w:r>
            <w:r>
              <w:t>2024</w:t>
            </w:r>
          </w:p>
        </w:tc>
        <w:tc>
          <w:tcPr>
            <w:tcW w:w="2268" w:type="dxa"/>
            <w:shd w:val="clear" w:color="auto" w:fill="auto"/>
          </w:tcPr>
          <w:p w:rsidR="00854CAC" w:rsidRPr="003D49F1" w:rsidRDefault="00B11B25" w:rsidP="00C85D0F">
            <w:pPr>
              <w:pStyle w:val="EPLogo"/>
            </w:pPr>
            <w:r w:rsidRPr="003D49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3D49F1" w:rsidRDefault="001746D0" w:rsidP="001746D0">
      <w:pPr>
        <w:pStyle w:val="LineTop"/>
      </w:pPr>
    </w:p>
    <w:p w:rsidR="001746D0" w:rsidRPr="003D49F1" w:rsidRDefault="00B11B25" w:rsidP="001746D0">
      <w:pPr>
        <w:pStyle w:val="EPBody"/>
      </w:pPr>
      <w:r>
        <w:rPr>
          <w:rStyle w:val="HideTWBExt"/>
        </w:rPr>
        <w:t>&lt;</w:t>
      </w:r>
      <w:r>
        <w:rPr>
          <w:rStyle w:val="HideTWBExt"/>
          <w:i w:val="0"/>
        </w:rPr>
        <w:t>Commission</w:t>
      </w:r>
      <w:r>
        <w:rPr>
          <w:rStyle w:val="HideTWBExt"/>
        </w:rPr>
        <w:t>&gt;</w:t>
      </w:r>
      <w:r>
        <w:rPr>
          <w:rStyle w:val="HideTWBInt"/>
          <w:color w:val="auto"/>
        </w:rPr>
        <w:t>{LIBE}</w:t>
      </w:r>
      <w:r>
        <w:t>Comissão das Liberdades Cívicas, da Justiça e dos Assuntos Internos</w:t>
      </w:r>
      <w:r>
        <w:rPr>
          <w:rStyle w:val="HideTWBExt"/>
        </w:rPr>
        <w:t>&lt;/</w:t>
      </w:r>
      <w:r>
        <w:rPr>
          <w:rStyle w:val="HideTWBExt"/>
          <w:i w:val="0"/>
        </w:rPr>
        <w:t>Commission</w:t>
      </w:r>
      <w:r>
        <w:rPr>
          <w:rStyle w:val="HideTWBExt"/>
        </w:rPr>
        <w:t>&gt;</w:t>
      </w:r>
    </w:p>
    <w:p w:rsidR="001746D0" w:rsidRPr="003D49F1" w:rsidRDefault="001746D0" w:rsidP="001746D0">
      <w:pPr>
        <w:pStyle w:val="LineBottom"/>
      </w:pPr>
    </w:p>
    <w:p w:rsidR="002E2F2E" w:rsidRPr="003D49F1" w:rsidRDefault="00B11B25">
      <w:pPr>
        <w:pStyle w:val="CoverReference"/>
      </w:pPr>
      <w:r>
        <w:rPr>
          <w:rStyle w:val="HideTWBExt"/>
          <w:b w:val="0"/>
        </w:rPr>
        <w:t>&lt;RefProc&gt;</w:t>
      </w:r>
      <w:r>
        <w:t>2023/2168</w:t>
      </w:r>
      <w:r>
        <w:rPr>
          <w:rStyle w:val="HideTWBExt"/>
          <w:b w:val="0"/>
        </w:rPr>
        <w:t>&lt;/RefProc&gt;&lt;RefTypeProc&gt;</w:t>
      </w:r>
      <w:r>
        <w:t>(DEC)</w:t>
      </w:r>
      <w:r>
        <w:rPr>
          <w:rStyle w:val="HideTWBExt"/>
          <w:b w:val="0"/>
        </w:rPr>
        <w:t>&lt;/RefTypeProc&gt;</w:t>
      </w:r>
    </w:p>
    <w:p w:rsidR="002E2F2E" w:rsidRPr="003D49F1" w:rsidRDefault="00B11B25">
      <w:pPr>
        <w:pStyle w:val="CoverDate"/>
      </w:pPr>
      <w:r>
        <w:rPr>
          <w:rStyle w:val="HideTWBExt"/>
        </w:rPr>
        <w:t>&lt;Date&gt;</w:t>
      </w:r>
      <w:r>
        <w:rPr>
          <w:rStyle w:val="HideTWBInt"/>
          <w:color w:val="auto"/>
        </w:rPr>
        <w:t>{24/01/2024}</w:t>
      </w:r>
      <w:r>
        <w:t>24.1.2024</w:t>
      </w:r>
      <w:r>
        <w:rPr>
          <w:rStyle w:val="HideTWBExt"/>
        </w:rPr>
        <w:t>&lt;/Date&gt;</w:t>
      </w:r>
    </w:p>
    <w:p w:rsidR="002E2F2E" w:rsidRPr="003D49F1" w:rsidRDefault="00B11B25">
      <w:pPr>
        <w:pStyle w:val="CoverDocType24a"/>
      </w:pPr>
      <w:r>
        <w:rPr>
          <w:rStyle w:val="HideTWBExt"/>
          <w:b w:val="0"/>
        </w:rPr>
        <w:t>&lt;TitreType&gt;</w:t>
      </w:r>
      <w:r>
        <w:t>PARECER</w:t>
      </w:r>
      <w:r>
        <w:rPr>
          <w:rStyle w:val="HideTWBExt"/>
          <w:b w:val="0"/>
        </w:rPr>
        <w:t>&lt;/TitreType&gt;</w:t>
      </w:r>
    </w:p>
    <w:p w:rsidR="002E2F2E" w:rsidRPr="003D49F1" w:rsidRDefault="00B11B25">
      <w:pPr>
        <w:pStyle w:val="CoverNormal24a"/>
      </w:pPr>
      <w:r>
        <w:rPr>
          <w:rStyle w:val="HideTWBExt"/>
        </w:rPr>
        <w:t>&lt;CommissionResp&gt;</w:t>
      </w:r>
      <w:r>
        <w:t>da Comissão das Liberdades Cívicas, da Justiça e dos Assuntos Internos</w:t>
      </w:r>
      <w:r>
        <w:rPr>
          <w:rStyle w:val="HideTWBExt"/>
        </w:rPr>
        <w:t>&lt;/CommissionResp&gt;</w:t>
      </w:r>
    </w:p>
    <w:p w:rsidR="002E2F2E" w:rsidRPr="003D49F1" w:rsidRDefault="00B11B25">
      <w:pPr>
        <w:pStyle w:val="CoverNormal24a"/>
      </w:pPr>
      <w:r>
        <w:rPr>
          <w:rStyle w:val="HideTWBExt"/>
        </w:rPr>
        <w:t>&lt;CommissionInt&gt;</w:t>
      </w:r>
      <w:r>
        <w:t>dirigido à Comissão do Controlo Orçamental</w:t>
      </w:r>
      <w:r>
        <w:rPr>
          <w:rStyle w:val="HideTWBExt"/>
        </w:rPr>
        <w:t>&lt;/CommissionInt&gt;</w:t>
      </w:r>
    </w:p>
    <w:p w:rsidR="002E2F2E" w:rsidRPr="003D49F1" w:rsidRDefault="00B11B25">
      <w:pPr>
        <w:pStyle w:val="CoverNormal"/>
      </w:pPr>
      <w:r>
        <w:rPr>
          <w:rStyle w:val="HideTWBExt"/>
        </w:rPr>
        <w:t>&lt;Titre&gt;</w:t>
      </w:r>
      <w:r>
        <w:t xml:space="preserve">sobre a quitação pela execução do orçamento da Agência da </w:t>
      </w:r>
      <w:r>
        <w:t>União Europeia para a Cooperação Judiciária Penal (Eurojust) para o exercício de 2022</w:t>
      </w:r>
      <w:r>
        <w:rPr>
          <w:rStyle w:val="HideTWBExt"/>
        </w:rPr>
        <w:t>&lt;/Titre&gt;</w:t>
      </w:r>
    </w:p>
    <w:p w:rsidR="002E2F2E" w:rsidRPr="003D49F1" w:rsidRDefault="00B11B25">
      <w:pPr>
        <w:pStyle w:val="CoverNormal24a"/>
      </w:pPr>
      <w:r>
        <w:rPr>
          <w:rStyle w:val="HideTWBExt"/>
        </w:rPr>
        <w:t>&lt;DocRef&gt;</w:t>
      </w:r>
      <w:r>
        <w:t>(2023/2168(DEC))</w:t>
      </w:r>
      <w:r>
        <w:rPr>
          <w:rStyle w:val="HideTWBExt"/>
        </w:rPr>
        <w:t>&lt;/DocRef&gt;</w:t>
      </w:r>
    </w:p>
    <w:p w:rsidR="002E2F2E" w:rsidRPr="003D49F1" w:rsidRDefault="00B11B25">
      <w:pPr>
        <w:pStyle w:val="CoverNormal24a"/>
      </w:pPr>
      <w:r>
        <w:t xml:space="preserve">Relator de parecer: </w:t>
      </w:r>
      <w:r>
        <w:rPr>
          <w:rStyle w:val="HideTWBExt"/>
        </w:rPr>
        <w:t>&lt;Depute&gt;</w:t>
      </w:r>
      <w:r>
        <w:t>Tomáš Zdechovský</w:t>
      </w:r>
      <w:r>
        <w:rPr>
          <w:rStyle w:val="HideTWBExt"/>
        </w:rPr>
        <w:t>&lt;/Depute&gt;</w:t>
      </w:r>
    </w:p>
    <w:p w:rsidR="00A72C35" w:rsidRPr="003D49F1" w:rsidRDefault="00A72C35" w:rsidP="00A72C35">
      <w:pPr>
        <w:pStyle w:val="CoverNormal"/>
      </w:pPr>
    </w:p>
    <w:p w:rsidR="002E2F2E" w:rsidRPr="003D49F1" w:rsidRDefault="00B11B25" w:rsidP="00E856D2">
      <w:pPr>
        <w:widowControl/>
        <w:tabs>
          <w:tab w:val="center" w:pos="4677"/>
        </w:tabs>
      </w:pPr>
      <w:r>
        <w:br w:type="page"/>
      </w:r>
      <w:r>
        <w:lastRenderedPageBreak/>
        <w:t>PA_NonLeg</w:t>
      </w:r>
    </w:p>
    <w:p w:rsidR="002E2F2E" w:rsidRPr="003D49F1" w:rsidRDefault="00B11B25">
      <w:pPr>
        <w:pStyle w:val="PageHeadingNotTOC"/>
      </w:pPr>
      <w:r>
        <w:br w:type="page"/>
      </w:r>
      <w:r>
        <w:lastRenderedPageBreak/>
        <w:t>SUGESTÕES</w:t>
      </w:r>
    </w:p>
    <w:p w:rsidR="006E5E22" w:rsidRPr="003559F2" w:rsidRDefault="00B11B25" w:rsidP="006E5E22">
      <w:pPr>
        <w:pStyle w:val="Normal12a"/>
      </w:pPr>
      <w:r>
        <w:t>A Comissão das Liberdades Cívicas, da Justiça e dos</w:t>
      </w:r>
      <w:r>
        <w:t xml:space="preserve"> Assuntos Internos insta a Comissão do Controlo Orçamental, competente quanto à matéria de fundo, a incorporar as seguintes sugestões na proposta de resolução que aprovar:</w:t>
      </w:r>
    </w:p>
    <w:p w:rsidR="006E5E22" w:rsidRPr="003559F2" w:rsidRDefault="00B11B25" w:rsidP="006E5E22">
      <w:pPr>
        <w:pStyle w:val="NormalHanging12a"/>
        <w:jc w:val="both"/>
      </w:pPr>
      <w:bookmarkStart w:id="0" w:name="restart"/>
      <w:r>
        <w:t>1.</w:t>
      </w:r>
      <w:r>
        <w:tab/>
        <w:t>Congratula</w:t>
      </w:r>
      <w:r>
        <w:noBreakHyphen/>
      </w:r>
      <w:r>
        <w:t>se com o facto de o Tribunal de Contas Europeu (o «Tribunal») ter decl</w:t>
      </w:r>
      <w:r>
        <w:t>arado que as operações subjacentes às contas anuais da Agência da União Europeia para a Cooperação Judiciária Penal (Eurojust) relativas ao exercício de 2022 são legais e regulares em todos os seus aspetos materiais;</w:t>
      </w:r>
    </w:p>
    <w:bookmarkEnd w:id="0"/>
    <w:p w:rsidR="006E5E22" w:rsidRPr="003559F2" w:rsidRDefault="00B11B25" w:rsidP="006E5E22">
      <w:pPr>
        <w:pStyle w:val="NormalHanging12a"/>
        <w:jc w:val="both"/>
      </w:pPr>
      <w:r>
        <w:t>2.</w:t>
      </w:r>
      <w:r>
        <w:tab/>
        <w:t>Regista que há uma observação em cur</w:t>
      </w:r>
      <w:r>
        <w:t>so, desde 2020, sobre a legalidade e a regularidade das operações baseadas num contrato</w:t>
      </w:r>
      <w:r>
        <w:noBreakHyphen/>
      </w:r>
      <w:r>
        <w:t>quadro celebrado com uma única empresa para a locação de veículos, que resultou num pagamento irregular de 59 281 EUR no período de referência; observa que o contrato e</w:t>
      </w:r>
      <w:r>
        <w:t>xpira em 2024 e que todos os contratos específicos subsequentes foram celebrados ao abrigo deste contrato</w:t>
      </w:r>
      <w:r>
        <w:noBreakHyphen/>
      </w:r>
      <w:r>
        <w:t>quadro; insta a Eurojust a dar uma resposta cabal a esta observação, aplicando todas as recomendações do Tribunal, e a informar a autoridade de quitaç</w:t>
      </w:r>
      <w:r>
        <w:t>ão sobre os progressos alcançados;</w:t>
      </w:r>
    </w:p>
    <w:p w:rsidR="006E5E22" w:rsidRPr="003559F2" w:rsidRDefault="00B11B25" w:rsidP="006E5E22">
      <w:pPr>
        <w:pStyle w:val="NormalHanging12a"/>
        <w:jc w:val="both"/>
      </w:pPr>
      <w:r>
        <w:t>3.</w:t>
      </w:r>
      <w:r>
        <w:tab/>
        <w:t>Regista ainda a observação do Tribunal de que a Eurojust não respeitou os prazos de pagamento previstos no artigo 116.º do Regulamento Financeiro; regista a resposta da Eurojust face a um período de ajustamento ao novo</w:t>
      </w:r>
      <w:r>
        <w:t xml:space="preserve"> sistema orçamental e financeiro SUMMA, que se encontrava em fase</w:t>
      </w:r>
      <w:r>
        <w:noBreakHyphen/>
      </w:r>
      <w:r>
        <w:t>piloto, o que causou atrasos e dificuldades técnicas no tratamento das transações; recorda que as transições na Eurojust estão significativamente abaixo dos limiares fixados;</w:t>
      </w:r>
    </w:p>
    <w:p w:rsidR="006E5E22" w:rsidRPr="003559F2" w:rsidRDefault="00B11B25" w:rsidP="006E5E22">
      <w:pPr>
        <w:pStyle w:val="NormalHanging12a"/>
        <w:jc w:val="both"/>
      </w:pPr>
      <w:r>
        <w:t>4.</w:t>
      </w:r>
      <w:r>
        <w:tab/>
        <w:t>Congratula</w:t>
      </w:r>
      <w:r>
        <w:noBreakHyphen/>
      </w:r>
      <w:r>
        <w:t>s</w:t>
      </w:r>
      <w:r>
        <w:t>e com o aumento constante dos casos tratados pela Eurojust (em 2022, em 14 %) e com a organização de 528 reuniões de coordenação e 22 centros de coordenação; saúda o facto de a Eurojust ter apoiado 265 equipas de investigação conjuntas, facilitado a execuç</w:t>
      </w:r>
      <w:r>
        <w:t xml:space="preserve">ão de 1 262 mandados de detenção europeus e permitido a utilização de 5 415 decisões europeias de investigação; observa que, nos casos tratados pela Eurojust em 2022, o número de vítimas mais do que triplicou em comparação com 2021; </w:t>
      </w:r>
    </w:p>
    <w:p w:rsidR="006E5E22" w:rsidRPr="003559F2" w:rsidRDefault="00B11B25" w:rsidP="006E5E22">
      <w:pPr>
        <w:pStyle w:val="NormalHanging12a"/>
        <w:jc w:val="both"/>
      </w:pPr>
      <w:r>
        <w:t>5.</w:t>
      </w:r>
      <w:r>
        <w:tab/>
        <w:t>Congratula</w:t>
      </w:r>
      <w:r>
        <w:noBreakHyphen/>
      </w:r>
      <w:r>
        <w:t>se com a</w:t>
      </w:r>
      <w:r>
        <w:t xml:space="preserve"> cooperação transnacional entre as autoridades judiciárias facilitada pela Eurojust e com a estreita cooperação com todos os intervenientes na cadeia da justiça penal, que contribuiu para a detenção de mais de 4 000 suspeitos, a apreensão e ou o congelamen</w:t>
      </w:r>
      <w:r>
        <w:t>to de bens de origem criminosa no valor de quase 3 mil milhões de euros e a apreensão de drogas no valor de quase 12 mil milhões de euros;</w:t>
      </w:r>
    </w:p>
    <w:p w:rsidR="006E5E22" w:rsidRPr="003559F2" w:rsidRDefault="00B11B25" w:rsidP="006E5E22">
      <w:pPr>
        <w:pStyle w:val="NormalHanging12a"/>
        <w:jc w:val="both"/>
      </w:pPr>
      <w:r>
        <w:t>6.</w:t>
      </w:r>
      <w:r>
        <w:tab/>
        <w:t xml:space="preserve">Regista a rápida resposta à invasão da Ucrânia pela Rússia, tendo o mandato da Eurojust sido alargado de modo a </w:t>
      </w:r>
      <w:r>
        <w:t>incluir a preservação, a análise e o armazenamento de provas relacionadas com crimes internacionais fundamentais, bem como a criação de uma base de dados judicial para recolher e analisar provas de crimes internacionais fundamentais;</w:t>
      </w:r>
    </w:p>
    <w:p w:rsidR="006E5E22" w:rsidRPr="003559F2" w:rsidRDefault="00B11B25" w:rsidP="006E5E22">
      <w:pPr>
        <w:pStyle w:val="NormalHanging12a"/>
        <w:jc w:val="both"/>
      </w:pPr>
      <w:r>
        <w:t>7.</w:t>
      </w:r>
      <w:r>
        <w:tab/>
        <w:t>Congratula</w:t>
      </w:r>
      <w:r>
        <w:noBreakHyphen/>
      </w:r>
      <w:r>
        <w:t>se com o</w:t>
      </w:r>
      <w:r>
        <w:t xml:space="preserve">s esforços envidados pela Eurojust para apoiar a digitalização da justiça e a implementação do seu novo sistema de gestão de processos; </w:t>
      </w:r>
    </w:p>
    <w:p w:rsidR="006E5E22" w:rsidRPr="003559F2" w:rsidRDefault="00B11B25" w:rsidP="006E5E22">
      <w:pPr>
        <w:pStyle w:val="NormalHanging12a"/>
        <w:ind w:left="560" w:hanging="560"/>
      </w:pPr>
      <w:r>
        <w:t>8.</w:t>
      </w:r>
      <w:r>
        <w:tab/>
        <w:t>Congratula</w:t>
      </w:r>
      <w:r>
        <w:noBreakHyphen/>
      </w:r>
      <w:r>
        <w:t xml:space="preserve">se com a cooperação contínua entre a Eurojust e outras agências JAI ou </w:t>
      </w:r>
      <w:r>
        <w:lastRenderedPageBreak/>
        <w:t xml:space="preserve">outras partes interessadas; saúda </w:t>
      </w:r>
      <w:r>
        <w:t xml:space="preserve">a instauração de 14 processos com a participação da Procuradoria Europeia e a estreita cooperação com o Organismo Europeu de Luta Antifraude (OLAF), a Agência da União Europeia para a Cooperação Policial (Europol), a Autoridade Europeia para a Proteção de </w:t>
      </w:r>
      <w:r>
        <w:t>Dados (AEPD), eu</w:t>
      </w:r>
      <w:r>
        <w:noBreakHyphen/>
      </w:r>
      <w:r>
        <w:t>LISA; louva o facto de a Eurojust ter continuado a cooperar com a Rede Judiciária Europeia (RJE), elevando para 44 o número de processos remetidos para a RJE em 2021; congratula</w:t>
      </w:r>
      <w:r>
        <w:noBreakHyphen/>
      </w:r>
      <w:r>
        <w:t>se, além disso, com o aumento dos pontos de contacto da Euroj</w:t>
      </w:r>
      <w:r>
        <w:t>ust, agora em mais de 60 países;</w:t>
      </w:r>
    </w:p>
    <w:p w:rsidR="00B41658" w:rsidRPr="00B41658" w:rsidRDefault="00B11B25" w:rsidP="00B41658">
      <w:r>
        <w:br w:type="page"/>
      </w:r>
      <w:bookmarkStart w:id="1" w:name="_GoBack"/>
      <w:bookmarkEnd w:id="1"/>
    </w:p>
    <w:p w:rsidR="00B41658" w:rsidRDefault="00B11B25" w:rsidP="00B41658">
      <w:pPr>
        <w:pStyle w:val="PageHeadingNotTOC"/>
      </w:pPr>
      <w:bookmarkStart w:id="2" w:name="ProcPageAD"/>
      <w:r>
        <w:lastRenderedPageBreak/>
        <w:t>INFORMAÇÕES SOBRE A APROVAÇÃO</w:t>
      </w:r>
      <w:r>
        <w:br/>
        <w:t>NA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E6E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41658" w:rsidRDefault="00B4165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41658" w:rsidRDefault="00B4165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1658" w:rsidRDefault="00B41658">
            <w:pPr>
              <w:autoSpaceDE w:val="0"/>
              <w:autoSpaceDN w:val="0"/>
              <w:adjustRightInd w:val="0"/>
              <w:rPr>
                <w:rFonts w:ascii="sans-serif" w:hAnsi="sans-serif" w:cs="sans-serif"/>
                <w:color w:val="000000"/>
                <w:szCs w:val="24"/>
              </w:rPr>
            </w:pPr>
          </w:p>
        </w:tc>
      </w:tr>
      <w:tr w:rsidR="00AE6E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w:t>
            </w:r>
          </w:p>
          <w:p w:rsidR="00B41658" w:rsidRDefault="00B11B25">
            <w:pPr>
              <w:autoSpaceDE w:val="0"/>
              <w:autoSpaceDN w:val="0"/>
              <w:adjustRightInd w:val="0"/>
              <w:rPr>
                <w:color w:val="000000"/>
                <w:sz w:val="20"/>
              </w:rPr>
            </w:pPr>
            <w:r>
              <w:rPr>
                <w:color w:val="000000"/>
                <w:sz w:val="20"/>
              </w:rPr>
              <w:t>–:</w:t>
            </w:r>
          </w:p>
          <w:p w:rsidR="00B41658" w:rsidRDefault="00B11B2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51</w:t>
            </w:r>
          </w:p>
          <w:p w:rsidR="00B41658" w:rsidRDefault="00B11B25">
            <w:pPr>
              <w:autoSpaceDE w:val="0"/>
              <w:autoSpaceDN w:val="0"/>
              <w:adjustRightInd w:val="0"/>
              <w:rPr>
                <w:color w:val="000000"/>
                <w:sz w:val="20"/>
              </w:rPr>
            </w:pPr>
            <w:r>
              <w:rPr>
                <w:color w:val="000000"/>
                <w:sz w:val="20"/>
              </w:rPr>
              <w:t>2</w:t>
            </w:r>
          </w:p>
          <w:p w:rsidR="00B41658" w:rsidRDefault="00B11B25">
            <w:pPr>
              <w:autoSpaceDE w:val="0"/>
              <w:autoSpaceDN w:val="0"/>
              <w:adjustRightInd w:val="0"/>
              <w:rPr>
                <w:color w:val="000000"/>
                <w:sz w:val="20"/>
              </w:rPr>
            </w:pPr>
            <w:r>
              <w:rPr>
                <w:color w:val="000000"/>
                <w:sz w:val="20"/>
              </w:rPr>
              <w:t>2</w:t>
            </w:r>
          </w:p>
        </w:tc>
      </w:tr>
      <w:tr w:rsidR="00AE6E7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b/>
                <w:bCs/>
                <w:color w:val="000000"/>
                <w:sz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Magdalena Adamowicz, Abir</w:t>
            </w:r>
            <w:r>
              <w:rPr>
                <w:color w:val="000000"/>
                <w:sz w:val="20"/>
              </w:rPr>
              <w:t xml:space="preserve"> Al</w:t>
            </w:r>
            <w:r>
              <w:rPr>
                <w:color w:val="000000"/>
                <w:sz w:val="20"/>
              </w:rPr>
              <w:noBreakHyphen/>
            </w:r>
            <w:r>
              <w:rPr>
                <w:color w:val="000000"/>
                <w:sz w:val="20"/>
              </w:rPr>
              <w:t>Sahlani, Katarina Barley, Pietro Bartolo, Theresa Bielowski, Patrick Breyer, Saskia Bricmont, Jorge Buxadé Villalba, Damien Carême, Patricia Chagnon, Lena Düpont, Lucia Ďuriš Nicholsonová, Cornelia Ernst, Nicolaus Fest, Maria Grapini, Sylvie Guillaume,</w:t>
            </w:r>
            <w:r>
              <w:rPr>
                <w:color w:val="000000"/>
                <w:sz w:val="20"/>
              </w:rPr>
              <w:t xml:space="preserve"> Andrzej Halicki, Evin Incir, Sophia in ‘t Veld, Patryk Jaki, Marina Kaljurand, Assita Kanko, Łukasz Kohut, Moritz Körner, Alice Kuhnke, Jeroen Lenaers, Juan Fernando López Aguilar, Erik Marquardt, Javier Moreno Sánchez, Maite Pagazaurtundúa, Diana Riba i </w:t>
            </w:r>
            <w:r>
              <w:rPr>
                <w:color w:val="000000"/>
                <w:sz w:val="20"/>
              </w:rPr>
              <w:t>Giner, Isabel Santos, Birgit Sippel, Vincenzo Sofo, Tineke Strik, Milan Uhrík, Tom Vandendriessche, Elissavet Vozemberg</w:t>
            </w:r>
            <w:r>
              <w:rPr>
                <w:color w:val="000000"/>
                <w:sz w:val="20"/>
              </w:rPr>
              <w:noBreakHyphen/>
            </w:r>
            <w:r>
              <w:rPr>
                <w:color w:val="000000"/>
                <w:sz w:val="20"/>
              </w:rPr>
              <w:t>Vrionidi, Elena Yoncheva, Javier Zarzalejos</w:t>
            </w:r>
          </w:p>
        </w:tc>
      </w:tr>
      <w:tr w:rsidR="00AE6E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b/>
                <w:bCs/>
                <w:color w:val="000000"/>
                <w:sz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Cyrus Engerer, José Gusmão, Beata Kempa, Le</w:t>
            </w:r>
            <w:r>
              <w:rPr>
                <w:color w:val="000000"/>
                <w:sz w:val="20"/>
              </w:rPr>
              <w:t>opoldo López Gil, Janina Ochojska, Anne</w:t>
            </w:r>
            <w:r>
              <w:rPr>
                <w:color w:val="000000"/>
                <w:sz w:val="20"/>
              </w:rPr>
              <w:noBreakHyphen/>
            </w:r>
            <w:r>
              <w:rPr>
                <w:color w:val="000000"/>
                <w:sz w:val="20"/>
              </w:rPr>
              <w:t>Sophie Pelletier, Bergur Løkke Rasmussen, Róża Thun und Hohenstein, Maria Walsh, Tomáš Zdechovský</w:t>
            </w:r>
          </w:p>
        </w:tc>
      </w:tr>
      <w:tr w:rsidR="00AE6E7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b/>
                <w:bCs/>
                <w:color w:val="000000"/>
                <w:sz w:val="20"/>
              </w:rPr>
            </w:pPr>
            <w:r>
              <w:rPr>
                <w:b/>
                <w:color w:val="000000"/>
                <w:sz w:val="20"/>
              </w:rPr>
              <w:t>Suplentes (art. 209.º, n.º 7)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41658" w:rsidRDefault="00B11B25">
            <w:pPr>
              <w:autoSpaceDE w:val="0"/>
              <w:autoSpaceDN w:val="0"/>
              <w:adjustRightInd w:val="0"/>
              <w:rPr>
                <w:color w:val="000000"/>
                <w:sz w:val="20"/>
              </w:rPr>
            </w:pPr>
            <w:r>
              <w:rPr>
                <w:color w:val="000000"/>
                <w:sz w:val="20"/>
              </w:rPr>
              <w:t xml:space="preserve">Andrus Ansip, Hildegard Bentele, Maria da Graça </w:t>
            </w:r>
            <w:r>
              <w:rPr>
                <w:color w:val="000000"/>
                <w:sz w:val="20"/>
              </w:rPr>
              <w:t>Carvalho, Marisa Matias, Caroline Nagtegaal</w:t>
            </w:r>
          </w:p>
        </w:tc>
      </w:tr>
    </w:tbl>
    <w:p w:rsidR="00B41658" w:rsidRDefault="00B41658"/>
    <w:bookmarkEnd w:id="2"/>
    <w:p w:rsidR="002E6F98" w:rsidRDefault="002E6F98"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Default="006E5E22" w:rsidP="00B41658"/>
    <w:p w:rsidR="006E5E22" w:rsidRPr="003559F2" w:rsidRDefault="00B11B25" w:rsidP="006E5E22">
      <w:pPr>
        <w:pStyle w:val="PageHeadingNotTOC"/>
        <w:rPr>
          <w:noProof/>
        </w:rPr>
      </w:pPr>
      <w:bookmarkStart w:id="3" w:name="FootprintPageAD"/>
      <w:r>
        <w:t>ANNEX: ENTITIES OR PERSONS</w:t>
      </w:r>
      <w:r>
        <w:br/>
        <w:t>FROM WHOM THE RAPPORTEUR HAS RECEIVED INPUT</w:t>
      </w:r>
    </w:p>
    <w:p w:rsidR="006E5E22" w:rsidRPr="003559F2" w:rsidRDefault="00B11B25" w:rsidP="006E5E22">
      <w:pPr>
        <w:pStyle w:val="Normal24a"/>
      </w:pPr>
      <w:r>
        <w:rPr>
          <w:rStyle w:val="HideTWBExt"/>
        </w:rPr>
        <w:t>&lt;FootprintIntro&gt;</w:t>
      </w:r>
      <w:r>
        <w:t xml:space="preserve">The rapporteur has received input from the following entities or persons in the preparation of the </w:t>
      </w:r>
      <w:r>
        <w:t>opinion: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E6E7F" w:rsidTr="005442B0">
        <w:tc>
          <w:tcPr>
            <w:tcW w:w="9286" w:type="dxa"/>
            <w:shd w:val="clear" w:color="auto" w:fill="auto"/>
          </w:tcPr>
          <w:p w:rsidR="006E5E22" w:rsidRPr="003559F2" w:rsidRDefault="00B11B25" w:rsidP="005442B0">
            <w:pPr>
              <w:pStyle w:val="NormalBoldCenter"/>
            </w:pPr>
            <w:r>
              <w:t>Entity and/or person</w:t>
            </w:r>
          </w:p>
        </w:tc>
      </w:tr>
      <w:tr w:rsidR="00AE6E7F" w:rsidTr="005442B0">
        <w:tc>
          <w:tcPr>
            <w:tcW w:w="9286" w:type="dxa"/>
            <w:shd w:val="clear" w:color="auto" w:fill="auto"/>
          </w:tcPr>
          <w:p w:rsidR="006E5E22" w:rsidRPr="003559F2" w:rsidRDefault="00B11B25" w:rsidP="005442B0">
            <w:r>
              <w:t>European Union Agency for Criminal Justice Cooperation (Eurojust)</w:t>
            </w:r>
          </w:p>
        </w:tc>
      </w:tr>
    </w:tbl>
    <w:p w:rsidR="006E5E22" w:rsidRPr="003559F2" w:rsidRDefault="006E5E22" w:rsidP="006E5E22"/>
    <w:p w:rsidR="006E5E22" w:rsidRPr="003559F2" w:rsidRDefault="00B11B25" w:rsidP="006E5E22">
      <w:pPr>
        <w:rPr>
          <w:szCs w:val="24"/>
        </w:rPr>
      </w:pPr>
      <w:r>
        <w:t>The list above is drawn up under the exclusive responsibility of the rapporteur.</w:t>
      </w:r>
    </w:p>
    <w:p w:rsidR="006E5E22" w:rsidRPr="006E5E22" w:rsidRDefault="006E5E22" w:rsidP="006E5E22"/>
    <w:bookmarkEnd w:id="3"/>
    <w:p w:rsidR="006E5E22" w:rsidRDefault="006E5E22" w:rsidP="006E5E22">
      <w:pPr>
        <w:sectPr w:rsidR="006E5E22" w:rsidSect="006E5E2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6E5E22" w:rsidRPr="0099178F" w:rsidRDefault="00B11B25" w:rsidP="00C36610">
      <w:pPr>
        <w:pStyle w:val="PageHeadingNotTOC"/>
      </w:pPr>
      <w:bookmarkStart w:id="4" w:name="RollCallPageAD"/>
      <w:r>
        <w:lastRenderedPageBreak/>
        <w:t>VOTAÇÃO NOMINAL FINAL</w:t>
      </w:r>
      <w:r>
        <w:br/>
        <w:t>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6E7F" w:rsidTr="005442B0">
        <w:trPr>
          <w:cantSplit/>
        </w:trPr>
        <w:tc>
          <w:tcPr>
            <w:tcW w:w="1701" w:type="dxa"/>
            <w:shd w:val="pct10" w:color="000000" w:fill="FFFFFF"/>
            <w:vAlign w:val="center"/>
          </w:tcPr>
          <w:p w:rsidR="006E5E22" w:rsidRPr="003559F2" w:rsidRDefault="00B11B25" w:rsidP="005442B0">
            <w:pPr>
              <w:pStyle w:val="RollCallVotes"/>
            </w:pPr>
            <w:r>
              <w:t>51</w:t>
            </w:r>
          </w:p>
        </w:tc>
        <w:tc>
          <w:tcPr>
            <w:tcW w:w="7371" w:type="dxa"/>
            <w:shd w:val="pct10" w:color="000000" w:fill="FFFFFF"/>
          </w:tcPr>
          <w:p w:rsidR="006E5E22" w:rsidRPr="003559F2" w:rsidRDefault="00B11B25" w:rsidP="005442B0">
            <w:pPr>
              <w:pStyle w:val="RollCallSymbols14pt"/>
            </w:pPr>
            <w:r>
              <w:t>+</w:t>
            </w:r>
          </w:p>
        </w:tc>
      </w:tr>
      <w:tr w:rsidR="00AE6E7F" w:rsidTr="005442B0">
        <w:trPr>
          <w:cantSplit/>
        </w:trPr>
        <w:tc>
          <w:tcPr>
            <w:tcW w:w="1701" w:type="dxa"/>
            <w:shd w:val="clear" w:color="auto" w:fill="FFFFFF"/>
          </w:tcPr>
          <w:p w:rsidR="006E5E22" w:rsidRPr="003559F2" w:rsidRDefault="00B11B25" w:rsidP="005442B0">
            <w:pPr>
              <w:pStyle w:val="RollCallTable"/>
            </w:pPr>
            <w:r>
              <w:t>ECR</w:t>
            </w:r>
          </w:p>
        </w:tc>
        <w:tc>
          <w:tcPr>
            <w:tcW w:w="7371" w:type="dxa"/>
            <w:shd w:val="clear" w:color="auto" w:fill="FFFFFF"/>
          </w:tcPr>
          <w:p w:rsidR="006E5E22" w:rsidRPr="003559F2" w:rsidRDefault="00B11B25" w:rsidP="005442B0">
            <w:pPr>
              <w:pStyle w:val="RollCallTable"/>
            </w:pPr>
            <w:r>
              <w:t>Jorge Buxadé Villalba, Patryk Jaki, Assita Kanko, Beata Kempa</w:t>
            </w:r>
          </w:p>
        </w:tc>
      </w:tr>
      <w:tr w:rsidR="00AE6E7F" w:rsidTr="005442B0">
        <w:trPr>
          <w:cantSplit/>
        </w:trPr>
        <w:tc>
          <w:tcPr>
            <w:tcW w:w="1701" w:type="dxa"/>
            <w:shd w:val="clear" w:color="auto" w:fill="FFFFFF"/>
          </w:tcPr>
          <w:p w:rsidR="006E5E22" w:rsidRPr="003559F2" w:rsidRDefault="00B11B25" w:rsidP="005442B0">
            <w:pPr>
              <w:pStyle w:val="RollCallTable"/>
            </w:pPr>
            <w:r>
              <w:t>ID</w:t>
            </w:r>
          </w:p>
        </w:tc>
        <w:tc>
          <w:tcPr>
            <w:tcW w:w="7371" w:type="dxa"/>
            <w:shd w:val="clear" w:color="auto" w:fill="FFFFFF"/>
          </w:tcPr>
          <w:p w:rsidR="006E5E22" w:rsidRPr="003559F2" w:rsidRDefault="00B11B25" w:rsidP="005442B0">
            <w:pPr>
              <w:pStyle w:val="RollCallTable"/>
            </w:pPr>
            <w:r>
              <w:t>Tom Vandendriessche</w:t>
            </w:r>
          </w:p>
        </w:tc>
      </w:tr>
      <w:tr w:rsidR="00AE6E7F" w:rsidTr="005442B0">
        <w:trPr>
          <w:cantSplit/>
        </w:trPr>
        <w:tc>
          <w:tcPr>
            <w:tcW w:w="1701" w:type="dxa"/>
            <w:shd w:val="clear" w:color="auto" w:fill="FFFFFF"/>
          </w:tcPr>
          <w:p w:rsidR="006E5E22" w:rsidRPr="003559F2" w:rsidRDefault="00B11B25" w:rsidP="005442B0">
            <w:pPr>
              <w:pStyle w:val="RollCallTable"/>
            </w:pPr>
            <w:r>
              <w:t>PPE</w:t>
            </w:r>
          </w:p>
        </w:tc>
        <w:tc>
          <w:tcPr>
            <w:tcW w:w="7371" w:type="dxa"/>
            <w:shd w:val="clear" w:color="auto" w:fill="FFFFFF"/>
          </w:tcPr>
          <w:p w:rsidR="006E5E22" w:rsidRPr="003559F2" w:rsidRDefault="00B11B25" w:rsidP="005442B0">
            <w:pPr>
              <w:pStyle w:val="RollCallTable"/>
            </w:pPr>
            <w:r>
              <w:t xml:space="preserve">Magdalena Adamowicz, Hildegard Bentele, Maria da Graça Carvalho, Lena Düpont, Andrzej </w:t>
            </w:r>
            <w:r>
              <w:t>Halicki, Jeroen Lenaers, Leopoldo López Gil, Janina Ochojska, Elissavet Vozemberg</w:t>
            </w:r>
            <w:r>
              <w:noBreakHyphen/>
            </w:r>
            <w:r>
              <w:t>Vrionidi, Maria Walsh, Javier Zarzalejos, Tomáš Zdechovský</w:t>
            </w:r>
          </w:p>
        </w:tc>
      </w:tr>
      <w:tr w:rsidR="00AE6E7F" w:rsidTr="005442B0">
        <w:trPr>
          <w:cantSplit/>
        </w:trPr>
        <w:tc>
          <w:tcPr>
            <w:tcW w:w="1701" w:type="dxa"/>
            <w:shd w:val="clear" w:color="auto" w:fill="FFFFFF"/>
          </w:tcPr>
          <w:p w:rsidR="006E5E22" w:rsidRPr="003559F2" w:rsidRDefault="00B11B25" w:rsidP="005442B0">
            <w:pPr>
              <w:pStyle w:val="RollCallTable"/>
            </w:pPr>
            <w:r>
              <w:t>Renew</w:t>
            </w:r>
          </w:p>
        </w:tc>
        <w:tc>
          <w:tcPr>
            <w:tcW w:w="7371" w:type="dxa"/>
            <w:shd w:val="clear" w:color="auto" w:fill="FFFFFF"/>
          </w:tcPr>
          <w:p w:rsidR="006E5E22" w:rsidRPr="003559F2" w:rsidRDefault="00B11B25" w:rsidP="005442B0">
            <w:pPr>
              <w:pStyle w:val="RollCallTable"/>
            </w:pPr>
            <w:r>
              <w:t>Abir Al</w:t>
            </w:r>
            <w:r>
              <w:noBreakHyphen/>
            </w:r>
            <w:r>
              <w:t>Sahlani, Andrus Ansip, Lucia Ďuriš Nicholsonová, Sophia in 't Veld, Moritz Körner, Caroline Nagtegaa</w:t>
            </w:r>
            <w:r>
              <w:t>l, Maite Pagazaurtundúa, Bergur Løkke Rasmussen, Róża Thun und Hohenstein</w:t>
            </w:r>
          </w:p>
        </w:tc>
      </w:tr>
      <w:tr w:rsidR="00AE6E7F" w:rsidTr="005442B0">
        <w:trPr>
          <w:cantSplit/>
        </w:trPr>
        <w:tc>
          <w:tcPr>
            <w:tcW w:w="1701" w:type="dxa"/>
            <w:shd w:val="clear" w:color="auto" w:fill="FFFFFF"/>
          </w:tcPr>
          <w:p w:rsidR="006E5E22" w:rsidRPr="003559F2" w:rsidRDefault="00B11B25" w:rsidP="005442B0">
            <w:pPr>
              <w:pStyle w:val="RollCallTable"/>
            </w:pPr>
            <w:r>
              <w:t>S&amp;D</w:t>
            </w:r>
          </w:p>
        </w:tc>
        <w:tc>
          <w:tcPr>
            <w:tcW w:w="7371" w:type="dxa"/>
            <w:shd w:val="clear" w:color="auto" w:fill="FFFFFF"/>
          </w:tcPr>
          <w:p w:rsidR="006E5E22" w:rsidRPr="003559F2" w:rsidRDefault="00B11B25" w:rsidP="005442B0">
            <w:pPr>
              <w:pStyle w:val="RollCallTable"/>
            </w:pPr>
            <w:r>
              <w:t>Katarina Barley, Pietro Bartolo, Theresa Bielowski, Cyrus Engerer, Maria Grapini, Sylvie Guillaume, Evin Incir, Marina Kaljurand, Łukasz Kohut, Juan Fernando López Aguilar, Javi</w:t>
            </w:r>
            <w:r>
              <w:t>er Moreno Sánchez, Isabel Santos, Birgit Sippel, Elena Yoncheva</w:t>
            </w:r>
          </w:p>
        </w:tc>
      </w:tr>
      <w:tr w:rsidR="00AE6E7F" w:rsidTr="005442B0">
        <w:trPr>
          <w:cantSplit/>
        </w:trPr>
        <w:tc>
          <w:tcPr>
            <w:tcW w:w="1701" w:type="dxa"/>
            <w:shd w:val="clear" w:color="auto" w:fill="FFFFFF"/>
          </w:tcPr>
          <w:p w:rsidR="006E5E22" w:rsidRPr="003559F2" w:rsidRDefault="00B11B25" w:rsidP="005442B0">
            <w:pPr>
              <w:pStyle w:val="RollCallTable"/>
            </w:pPr>
            <w:r>
              <w:t>The Left</w:t>
            </w:r>
          </w:p>
        </w:tc>
        <w:tc>
          <w:tcPr>
            <w:tcW w:w="7371" w:type="dxa"/>
            <w:shd w:val="clear" w:color="auto" w:fill="FFFFFF"/>
          </w:tcPr>
          <w:p w:rsidR="006E5E22" w:rsidRPr="003559F2" w:rsidRDefault="00B11B25" w:rsidP="005442B0">
            <w:pPr>
              <w:pStyle w:val="RollCallTable"/>
            </w:pPr>
            <w:r>
              <w:t>Cornelia Ernst, José Gusmão, Marisa Matias, Anne</w:t>
            </w:r>
            <w:r>
              <w:noBreakHyphen/>
            </w:r>
            <w:r>
              <w:t>Sophie Pelletier</w:t>
            </w:r>
          </w:p>
        </w:tc>
      </w:tr>
      <w:tr w:rsidR="00AE6E7F" w:rsidTr="005442B0">
        <w:trPr>
          <w:cantSplit/>
        </w:trPr>
        <w:tc>
          <w:tcPr>
            <w:tcW w:w="1701" w:type="dxa"/>
            <w:shd w:val="clear" w:color="auto" w:fill="FFFFFF"/>
          </w:tcPr>
          <w:p w:rsidR="006E5E22" w:rsidRPr="003559F2" w:rsidRDefault="00B11B25" w:rsidP="005442B0">
            <w:pPr>
              <w:pStyle w:val="RollCallTable"/>
            </w:pPr>
            <w:r>
              <w:t>Verts/ALE</w:t>
            </w:r>
          </w:p>
        </w:tc>
        <w:tc>
          <w:tcPr>
            <w:tcW w:w="7371" w:type="dxa"/>
            <w:shd w:val="clear" w:color="auto" w:fill="FFFFFF"/>
          </w:tcPr>
          <w:p w:rsidR="006E5E22" w:rsidRPr="003559F2" w:rsidRDefault="00B11B25" w:rsidP="005442B0">
            <w:pPr>
              <w:pStyle w:val="RollCallTable"/>
            </w:pPr>
            <w:r>
              <w:t xml:space="preserve">Patrick Breyer, Saskia Bricmont, Damien Carême, Alice Kuhnke, Erik Marquardt, Diana Riba i Giner, Tineke </w:t>
            </w:r>
            <w:r>
              <w:t>Strik</w:t>
            </w:r>
          </w:p>
        </w:tc>
      </w:tr>
    </w:tbl>
    <w:p w:rsidR="006E5E22" w:rsidRPr="003559F2" w:rsidRDefault="006E5E22" w:rsidP="006E5E2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6E7F" w:rsidTr="005442B0">
        <w:trPr>
          <w:cantSplit/>
        </w:trPr>
        <w:tc>
          <w:tcPr>
            <w:tcW w:w="1701" w:type="dxa"/>
            <w:shd w:val="pct10" w:color="000000" w:fill="FFFFFF"/>
            <w:vAlign w:val="center"/>
          </w:tcPr>
          <w:p w:rsidR="006E5E22" w:rsidRPr="003559F2" w:rsidRDefault="00B11B25" w:rsidP="005442B0">
            <w:pPr>
              <w:pStyle w:val="RollCallVotes"/>
            </w:pPr>
            <w:r>
              <w:t>2</w:t>
            </w:r>
          </w:p>
        </w:tc>
        <w:tc>
          <w:tcPr>
            <w:tcW w:w="7371" w:type="dxa"/>
            <w:shd w:val="pct10" w:color="000000" w:fill="FFFFFF"/>
          </w:tcPr>
          <w:p w:rsidR="006E5E22" w:rsidRPr="003559F2" w:rsidRDefault="00B11B25" w:rsidP="005442B0">
            <w:pPr>
              <w:pStyle w:val="RollCallSymbols14pt"/>
            </w:pPr>
            <w:r>
              <w:noBreakHyphen/>
            </w:r>
          </w:p>
        </w:tc>
      </w:tr>
      <w:tr w:rsidR="00AE6E7F" w:rsidTr="005442B0">
        <w:trPr>
          <w:cantSplit/>
        </w:trPr>
        <w:tc>
          <w:tcPr>
            <w:tcW w:w="1701" w:type="dxa"/>
            <w:shd w:val="clear" w:color="auto" w:fill="FFFFFF"/>
          </w:tcPr>
          <w:p w:rsidR="006E5E22" w:rsidRPr="003559F2" w:rsidRDefault="00B11B25" w:rsidP="005442B0">
            <w:pPr>
              <w:pStyle w:val="RollCallTable"/>
            </w:pPr>
            <w:r>
              <w:t>ID</w:t>
            </w:r>
          </w:p>
        </w:tc>
        <w:tc>
          <w:tcPr>
            <w:tcW w:w="7371" w:type="dxa"/>
            <w:shd w:val="clear" w:color="auto" w:fill="FFFFFF"/>
          </w:tcPr>
          <w:p w:rsidR="006E5E22" w:rsidRPr="003559F2" w:rsidRDefault="00B11B25" w:rsidP="005442B0">
            <w:pPr>
              <w:pStyle w:val="RollCallTable"/>
            </w:pPr>
            <w:r>
              <w:t>Nicolaus Fest</w:t>
            </w:r>
          </w:p>
        </w:tc>
      </w:tr>
      <w:tr w:rsidR="00AE6E7F" w:rsidTr="005442B0">
        <w:trPr>
          <w:cantSplit/>
        </w:trPr>
        <w:tc>
          <w:tcPr>
            <w:tcW w:w="1701" w:type="dxa"/>
            <w:shd w:val="clear" w:color="auto" w:fill="FFFFFF"/>
          </w:tcPr>
          <w:p w:rsidR="006E5E22" w:rsidRPr="003559F2" w:rsidRDefault="00B11B25" w:rsidP="005442B0">
            <w:pPr>
              <w:pStyle w:val="RollCallTable"/>
            </w:pPr>
            <w:r>
              <w:t>NI</w:t>
            </w:r>
          </w:p>
        </w:tc>
        <w:tc>
          <w:tcPr>
            <w:tcW w:w="7371" w:type="dxa"/>
            <w:shd w:val="clear" w:color="auto" w:fill="FFFFFF"/>
          </w:tcPr>
          <w:p w:rsidR="006E5E22" w:rsidRPr="003559F2" w:rsidRDefault="00B11B25" w:rsidP="005442B0">
            <w:pPr>
              <w:pStyle w:val="RollCallTable"/>
            </w:pPr>
            <w:r>
              <w:t>Milan Uhrík</w:t>
            </w:r>
          </w:p>
        </w:tc>
      </w:tr>
    </w:tbl>
    <w:p w:rsidR="006E5E22" w:rsidRPr="003559F2" w:rsidRDefault="006E5E22" w:rsidP="006E5E2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E6E7F" w:rsidTr="005442B0">
        <w:trPr>
          <w:cantSplit/>
        </w:trPr>
        <w:tc>
          <w:tcPr>
            <w:tcW w:w="1701" w:type="dxa"/>
            <w:shd w:val="pct10" w:color="000000" w:fill="FFFFFF"/>
            <w:vAlign w:val="center"/>
          </w:tcPr>
          <w:p w:rsidR="006E5E22" w:rsidRPr="003559F2" w:rsidRDefault="00B11B25" w:rsidP="005442B0">
            <w:pPr>
              <w:pStyle w:val="RollCallVotes"/>
            </w:pPr>
            <w:r>
              <w:t>2</w:t>
            </w:r>
          </w:p>
        </w:tc>
        <w:tc>
          <w:tcPr>
            <w:tcW w:w="7371" w:type="dxa"/>
            <w:shd w:val="pct10" w:color="000000" w:fill="FFFFFF"/>
          </w:tcPr>
          <w:p w:rsidR="006E5E22" w:rsidRPr="003559F2" w:rsidRDefault="00B11B25" w:rsidP="005442B0">
            <w:pPr>
              <w:pStyle w:val="RollCallSymbols14pt"/>
            </w:pPr>
            <w:r>
              <w:t>0</w:t>
            </w:r>
          </w:p>
        </w:tc>
      </w:tr>
      <w:tr w:rsidR="00AE6E7F" w:rsidTr="005442B0">
        <w:trPr>
          <w:cantSplit/>
        </w:trPr>
        <w:tc>
          <w:tcPr>
            <w:tcW w:w="1701" w:type="dxa"/>
            <w:shd w:val="clear" w:color="auto" w:fill="FFFFFF"/>
          </w:tcPr>
          <w:p w:rsidR="006E5E22" w:rsidRPr="003559F2" w:rsidRDefault="00B11B25" w:rsidP="005442B0">
            <w:pPr>
              <w:pStyle w:val="RollCallTable"/>
            </w:pPr>
            <w:r>
              <w:t>ECR</w:t>
            </w:r>
          </w:p>
        </w:tc>
        <w:tc>
          <w:tcPr>
            <w:tcW w:w="7371" w:type="dxa"/>
            <w:shd w:val="clear" w:color="auto" w:fill="FFFFFF"/>
          </w:tcPr>
          <w:p w:rsidR="006E5E22" w:rsidRPr="003559F2" w:rsidRDefault="00B11B25" w:rsidP="005442B0">
            <w:pPr>
              <w:pStyle w:val="RollCallTable"/>
            </w:pPr>
            <w:r>
              <w:t>Vincenzo Sofo</w:t>
            </w:r>
          </w:p>
        </w:tc>
      </w:tr>
      <w:tr w:rsidR="00AE6E7F" w:rsidTr="005442B0">
        <w:trPr>
          <w:cantSplit/>
        </w:trPr>
        <w:tc>
          <w:tcPr>
            <w:tcW w:w="1701" w:type="dxa"/>
            <w:shd w:val="clear" w:color="auto" w:fill="FFFFFF"/>
          </w:tcPr>
          <w:p w:rsidR="006E5E22" w:rsidRPr="003559F2" w:rsidRDefault="00B11B25" w:rsidP="005442B0">
            <w:pPr>
              <w:pStyle w:val="RollCallTable"/>
            </w:pPr>
            <w:r>
              <w:t>ID</w:t>
            </w:r>
          </w:p>
        </w:tc>
        <w:tc>
          <w:tcPr>
            <w:tcW w:w="7371" w:type="dxa"/>
            <w:shd w:val="clear" w:color="auto" w:fill="FFFFFF"/>
          </w:tcPr>
          <w:p w:rsidR="006E5E22" w:rsidRPr="003559F2" w:rsidRDefault="00B11B25" w:rsidP="005442B0">
            <w:pPr>
              <w:pStyle w:val="RollCallTable"/>
            </w:pPr>
            <w:r>
              <w:t>Patricia Chagnon</w:t>
            </w:r>
          </w:p>
        </w:tc>
      </w:tr>
    </w:tbl>
    <w:p w:rsidR="006E5E22" w:rsidRDefault="006E5E22" w:rsidP="00147FBF">
      <w:pPr>
        <w:pStyle w:val="Normal12a"/>
      </w:pPr>
    </w:p>
    <w:p w:rsidR="006E5E22" w:rsidRDefault="00B11B25" w:rsidP="00B735E3">
      <w:r>
        <w:t>Legenda dos símbolos utilizados:</w:t>
      </w:r>
    </w:p>
    <w:p w:rsidR="006E5E22" w:rsidRDefault="00B11B25" w:rsidP="003858C5">
      <w:pPr>
        <w:pStyle w:val="RollCallTabs"/>
      </w:pPr>
      <w:r>
        <w:t>+</w:t>
      </w:r>
      <w:r>
        <w:tab/>
        <w:t>:</w:t>
      </w:r>
      <w:r>
        <w:tab/>
        <w:t>votos a favor</w:t>
      </w:r>
    </w:p>
    <w:p w:rsidR="006E5E22" w:rsidRDefault="00B11B25" w:rsidP="003858C5">
      <w:pPr>
        <w:pStyle w:val="RollCallTabs"/>
      </w:pPr>
      <w:r>
        <w:noBreakHyphen/>
      </w:r>
      <w:r>
        <w:tab/>
        <w:t>:</w:t>
      </w:r>
      <w:r>
        <w:tab/>
        <w:t>votos contra</w:t>
      </w:r>
    </w:p>
    <w:p w:rsidR="006E5E22" w:rsidRDefault="00B11B25" w:rsidP="003858C5">
      <w:pPr>
        <w:pStyle w:val="RollCallTabs"/>
      </w:pPr>
      <w:r>
        <w:t>0</w:t>
      </w:r>
      <w:r>
        <w:tab/>
        <w:t>:</w:t>
      </w:r>
      <w:r>
        <w:tab/>
        <w:t>abstenções</w:t>
      </w:r>
    </w:p>
    <w:p w:rsidR="006E5E22" w:rsidRDefault="006E5E22" w:rsidP="00207509"/>
    <w:bookmarkEnd w:id="4"/>
    <w:p w:rsidR="006E5E22" w:rsidRPr="006E5E22" w:rsidRDefault="006E5E22" w:rsidP="006E5E22"/>
    <w:sectPr w:rsidR="006E5E22" w:rsidRPr="006E5E22" w:rsidSect="006E5E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11B25">
      <w:r>
        <w:separator/>
      </w:r>
    </w:p>
  </w:endnote>
  <w:endnote w:type="continuationSeparator" w:id="0">
    <w:p w:rsidR="00000000" w:rsidRDefault="00B1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58" w:rsidRDefault="00B11B25" w:rsidP="00B41658">
    <w:pPr>
      <w:pStyle w:val="EPFooter"/>
    </w:pPr>
    <w:r>
      <w:t>PE</w:t>
    </w:r>
    <w:r w:rsidRPr="00B41658">
      <w:rPr>
        <w:rStyle w:val="HideTWBExt"/>
      </w:rPr>
      <w:t>&lt;NoPE&gt;</w:t>
    </w:r>
    <w:r>
      <w:t>756.199</w:t>
    </w:r>
    <w:r w:rsidRPr="00B41658">
      <w:rPr>
        <w:rStyle w:val="HideTWBExt"/>
      </w:rPr>
      <w:t>&lt;/NoPE&gt;&lt;Version&gt;</w:t>
    </w:r>
    <w:r>
      <w:t>v02</w:t>
    </w:r>
    <w:r>
      <w:noBreakHyphen/>
    </w:r>
    <w:r>
      <w:t>00</w:t>
    </w:r>
    <w:r w:rsidRPr="00B41658">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6E5E22">
      <w:fldChar w:fldCharType="begin"/>
    </w:r>
    <w:r>
      <w:instrText xml:space="preserve"> NUMPAGES  \* MERGEFORMAT </w:instrText>
    </w:r>
    <w:r w:rsidR="006E5E22">
      <w:fldChar w:fldCharType="separate"/>
    </w:r>
    <w:r>
      <w:rPr>
        <w:noProof/>
      </w:rPr>
      <w:t>7</w:t>
    </w:r>
    <w:r w:rsidR="006E5E22">
      <w:rPr>
        <w:noProof/>
      </w:rPr>
      <w:fldChar w:fldCharType="end"/>
    </w:r>
    <w:r>
      <w:tab/>
    </w:r>
    <w:r w:rsidRPr="00B41658">
      <w:rPr>
        <w:rStyle w:val="HideTWBExt"/>
      </w:rPr>
      <w:t>&lt;PathFdR&gt;</w:t>
    </w:r>
    <w:r>
      <w:t>AD\1295231PT.docx</w:t>
    </w:r>
    <w:r w:rsidRPr="00B41658">
      <w:rPr>
        <w:rStyle w:val="HideTWBExt"/>
      </w:rPr>
      <w:t>&lt;/PathFdR&gt;</w:t>
    </w:r>
  </w:p>
  <w:p w:rsidR="002E2F2E" w:rsidRPr="003D49F1" w:rsidRDefault="00B11B25" w:rsidP="00B41658">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58" w:rsidRDefault="00B11B25" w:rsidP="00B41658">
    <w:pPr>
      <w:pStyle w:val="EPFooter"/>
    </w:pPr>
    <w:r w:rsidRPr="00B41658">
      <w:rPr>
        <w:rStyle w:val="HideTWBExt"/>
      </w:rPr>
      <w:t>&lt;PathFdR&gt;</w:t>
    </w:r>
    <w:r>
      <w:t>AD\1295231PT.docx</w:t>
    </w:r>
    <w:r w:rsidRPr="00B41658">
      <w:rPr>
        <w:rStyle w:val="HideTWBExt"/>
      </w:rPr>
      <w:t>&lt;/PathFdR&gt;</w:t>
    </w:r>
    <w:r>
      <w:tab/>
    </w:r>
    <w:r>
      <w:fldChar w:fldCharType="begin"/>
    </w:r>
    <w:r>
      <w:instrText xml:space="preserve"> </w:instrText>
    </w:r>
    <w:r>
      <w:instrText xml:space="preserve">PAGE  \* MERGEFORMAT </w:instrText>
    </w:r>
    <w:r>
      <w:fldChar w:fldCharType="separate"/>
    </w:r>
    <w:r>
      <w:rPr>
        <w:noProof/>
      </w:rPr>
      <w:t>5</w:t>
    </w:r>
    <w:r>
      <w:fldChar w:fldCharType="end"/>
    </w:r>
    <w:r>
      <w:t>/</w:t>
    </w:r>
    <w:r w:rsidR="006E5E22">
      <w:fldChar w:fldCharType="begin"/>
    </w:r>
    <w:r>
      <w:instrText xml:space="preserve"> NUMPAGES  \* MERGEFORMAT </w:instrText>
    </w:r>
    <w:r w:rsidR="006E5E22">
      <w:fldChar w:fldCharType="separate"/>
    </w:r>
    <w:r>
      <w:rPr>
        <w:noProof/>
      </w:rPr>
      <w:t>7</w:t>
    </w:r>
    <w:r w:rsidR="006E5E22">
      <w:rPr>
        <w:noProof/>
      </w:rPr>
      <w:fldChar w:fldCharType="end"/>
    </w:r>
    <w:r>
      <w:tab/>
      <w:t>PE</w:t>
    </w:r>
    <w:r w:rsidRPr="00B41658">
      <w:rPr>
        <w:rStyle w:val="HideTWBExt"/>
      </w:rPr>
      <w:t>&lt;NoPE&gt;</w:t>
    </w:r>
    <w:r>
      <w:t>756.199</w:t>
    </w:r>
    <w:r w:rsidRPr="00B41658">
      <w:rPr>
        <w:rStyle w:val="HideTWBExt"/>
      </w:rPr>
      <w:t>&lt;/NoPE&gt;&lt;Version&gt;</w:t>
    </w:r>
    <w:r>
      <w:t>v02</w:t>
    </w:r>
    <w:r>
      <w:noBreakHyphen/>
    </w:r>
    <w:r>
      <w:t>00</w:t>
    </w:r>
    <w:r w:rsidRPr="00B41658">
      <w:rPr>
        <w:rStyle w:val="HideTWBExt"/>
      </w:rPr>
      <w:t>&lt;/Version&gt;</w:t>
    </w:r>
  </w:p>
  <w:p w:rsidR="002E2F2E" w:rsidRPr="003D49F1" w:rsidRDefault="00B11B25" w:rsidP="00B41658">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658" w:rsidRDefault="00B11B25" w:rsidP="00B41658">
    <w:pPr>
      <w:pStyle w:val="EPFooter"/>
    </w:pPr>
    <w:r w:rsidRPr="00B41658">
      <w:rPr>
        <w:rStyle w:val="HideTWBExt"/>
      </w:rPr>
      <w:t>&lt;PathFdR&gt;</w:t>
    </w:r>
    <w:r>
      <w:t>AD\1295231PT.docx</w:t>
    </w:r>
    <w:r w:rsidRPr="00B41658">
      <w:rPr>
        <w:rStyle w:val="HideTWBExt"/>
      </w:rPr>
      <w:t>&lt;/PathFdR&gt;</w:t>
    </w:r>
    <w:r>
      <w:tab/>
    </w:r>
    <w:r>
      <w:tab/>
      <w:t>PE</w:t>
    </w:r>
    <w:r w:rsidRPr="00B41658">
      <w:rPr>
        <w:rStyle w:val="HideTWBExt"/>
      </w:rPr>
      <w:t>&lt;NoPE&gt;</w:t>
    </w:r>
    <w:r>
      <w:t>756.199</w:t>
    </w:r>
    <w:r w:rsidRPr="00B41658">
      <w:rPr>
        <w:rStyle w:val="HideTWBExt"/>
      </w:rPr>
      <w:t>&lt;/NoPE&gt;&lt;Version&gt;</w:t>
    </w:r>
    <w:r>
      <w:t>v02</w:t>
    </w:r>
    <w:r>
      <w:noBreakHyphen/>
    </w:r>
    <w:r>
      <w:t>00</w:t>
    </w:r>
    <w:r w:rsidRPr="00B41658">
      <w:rPr>
        <w:rStyle w:val="HideTWBExt"/>
      </w:rPr>
      <w:t>&lt;/Version&gt;</w:t>
    </w:r>
  </w:p>
  <w:p w:rsidR="002E2F2E" w:rsidRPr="003D49F1" w:rsidRDefault="00B11B25" w:rsidP="00B41658">
    <w:pPr>
      <w:pStyle w:val="EPFooter2"/>
    </w:pPr>
    <w:r>
      <w:t>PT</w:t>
    </w:r>
    <w:r>
      <w:tab/>
    </w:r>
    <w:r w:rsidRPr="00B41658">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11B25">
      <w:r>
        <w:separator/>
      </w:r>
    </w:p>
  </w:footnote>
  <w:footnote w:type="continuationSeparator" w:id="0">
    <w:p w:rsidR="00000000" w:rsidRDefault="00B11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E22" w:rsidRDefault="006E5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E22" w:rsidRDefault="006E5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E22" w:rsidRDefault="006E5E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LIBE"/>
    <w:docVar w:name="LastEditedSection"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71\fbidi \froman\fcharset238\fprq2 Times New Roman CE;}{\f372\fbidi \froman\fcharset204\fprq2 Times New Roman Cyr;}_x000d__x000a_{\f374\fbidi \froman\fcharset161\fprq2 Times New Roman Greek;}{\f375\fbidi \froman\fcharset162\fprq2 Times New Roman Tur;}{\f376\fbidi \froman\fcharset177\fprq2 Times New Roman (Hebrew);}{\f377\fbidi \froman\fcharset178\fprq2 Times New Roman (Arabic);}_x000d__x000a_{\f378\fbidi \froman\fcharset186\fprq2 Times New Roman Baltic;}{\f379\fbidi \froman\fcharset163\fprq2 Times New Roman (Vietnamese);}{\f381\fbidi \fswiss\fcharset238\fprq2 Arial CE;}{\f382\fbidi \fswiss\fcharset204\fprq2 Arial Cyr;}_x000d__x000a_{\f384\fbidi \fswiss\fcharset161\fprq2 Arial Greek;}{\f385\fbidi \fswiss\fcharset162\fprq2 Arial Tur;}{\f386\fbidi \fswiss\fcharset177\fprq2 Arial (Hebrew);}{\f387\fbidi \fswiss\fcharset178\fprq2 Arial (Arabic);}_x000d__x000a_{\f388\fbidi \fswiss\fcharset186\fprq2 Arial Baltic;}{\f389\fbidi \fswiss\fcharset163\fprq2 Arial (Vietnamese);}{\f711\fbidi \froman\fcharset238\fprq2 Cambria Math CE;}{\f712\fbidi \froman\fcharset204\fprq2 Cambria Math Cyr;}_x000d__x000a_{\f714\fbidi \froman\fcharset161\fprq2 Cambria Math Greek;}{\f715\fbidi \froman\fcharset162\fprq2 Cambria Math Tur;}{\f718\fbidi \froman\fcharset186\fprq2 Cambria Math Baltic;}{\f71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325492 HideTWBInt;}{_x000d__x000a_\s18\ql \fi-567\li567\ri0\sa240\nowidctlpar\wrapdefault\aspalpha\aspnum\faauto\adjustright\rin0\lin567\itap0 \rtlch\fcs1 \af0\afs20\alang1025 \ltrch\fcs0 \fs24\lang2057\langfe2057\cgrid\langnp2057\langfenp2057 _x000d__x000a_\sbasedon0 \snext18 \spriority0 \styrsid4325492 NormalHanging12a;}}{\*\rsidtbl \rsid24658\rsid223860\rsid735077\rsid1718133\rsid2892074\rsid3081488\rsid3565327\rsid4325492\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ARVALHO RAPOSO Maria Carolina}{\operator CARVALHO RAPOSO Maria Carolina}{\creatim\yr2024\mo1\dy25\hr15\min31}{\revtim\yr2024\mo1\dy25\hr15\min31}{\version1}{\edmins0}{\nofpages1}{\nofwords1}{\nofchars12}{\nofcharsws12}{\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25492\newtblstyruls\nogrowautofit\usenormstyforlist\noindnmbrts\felnbrelev\nocxsptable\indrlsweleven\noafcnsttbl\afelev\utinl\hwelev\spltpgpar\notcvasp\notbrkcnstfrctbl\notvatxbx\krnprsnet\cachedcolbal _x000d__x000a_\nouicompat \fet0{\*\wgrffmtfilter 013f}\nofeaturethrottle1\ilfomacatclnup0{\*\template C:\\Users\\MCARVA~1\\AppData\\Local\\Temp\\Blank1.dotx}{\*\ftnsep \ltrpar \pard\plain \ltrpar_x000d__x000a_\ql \li0\ri0\widctlpar\wrapdefault\aspalpha\aspnum\faauto\adjustright\rin0\lin0\itap0 \rtlch\fcs1 \af0\afs20\alang1025 \ltrch\fcs0 \fs24\lang2057\langfe2057\cgrid\langnp2057\langfenp2057 {\rtlch\fcs1 \af0 \ltrch\fcs0 \insrsid3081488 \chftnsep _x000d__x000a_\par }}{\*\ftnsepc \ltrpar \pard\plain \ltrpar\ql \li0\ri0\widctlpar\wrapdefault\aspalpha\aspnum\faauto\adjustright\rin0\lin0\itap0 \rtlch\fcs1 \af0\afs20\alang1025 \ltrch\fcs0 \fs24\lang2057\langfe2057\cgrid\langnp2057\langfenp2057 {\rtlch\fcs1 \af0 _x000d__x000a_\ltrch\fcs0 \insrsid3081488 \chftnsepc _x000d__x000a_\par }}{\*\aftnsep \ltrpar \pard\plain \ltrpar\ql \li0\ri0\widctlpar\wrapdefault\aspalpha\aspnum\faauto\adjustright\rin0\lin0\itap0 \rtlch\fcs1 \af0\afs20\alang1025 \ltrch\fcs0 \fs24\lang2057\langfe2057\cgrid\langnp2057\langfenp2057 {\rtlch\fcs1 \af0 _x000d__x000a_\ltrch\fcs0 \insrsid3081488 \chftnsep _x000d__x000a_\par }}{\*\aftnsepc \ltrpar \pard\plain \ltrpar\ql \li0\ri0\widctlpar\wrapdefault\aspalpha\aspnum\faauto\adjustright\rin0\lin0\itap0 \rtlch\fcs1 \af0\afs20\alang1025 \ltrch\fcs0 \fs24\lang2057\langfe2057\cgrid\langnp2057\langfenp2057 {\rtlch\fcs1 \af0 _x000d__x000a_\ltrch\fcs0 \insrsid3081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325492 \rtlch\fcs1 \af0\afs20\alang1025 \ltrch\fcs0 \fs24\lang2057\langfe2057\cgrid\langnp2057\langfenp2057 {\rtlch\fcs1 \af0 _x000d__x000a_\ltrch\fcs0 \insrsid4325492\charrsid13044652 {\*\bkmkstart restart}#}{\rtlch\fcs1 \af1 \ltrch\fcs0 \cs17\v\f1\fs20\cf15\insrsid4325492\charrsid13044652 NRMSG}{\rtlch\fcs1 \af0 \ltrch\fcs0 \insrsid4325492\charrsid13044652 #.\tab ##}{\rtlch\fcs1 \af0 _x000d__x000a_\ltrch\fcs0 \insrsid432549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fd_x000d__x000a_58409b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71\fbidi \froman\fcharset238\fprq2 Times New Roman CE;}{\f372\fbidi \froman\fcharset204\fprq2 Times New Roman Cyr;}_x000d__x000a_{\f374\fbidi \froman\fcharset161\fprq2 Times New Roman Greek;}{\f375\fbidi \froman\fcharset162\fprq2 Times New Roman Tur;}{\f376\fbidi \froman\fcharset177\fprq2 Times New Roman (Hebrew);}{\f377\fbidi \froman\fcharset178\fprq2 Times New Roman (Arabic);}_x000d__x000a_{\f378\fbidi \froman\fcharset186\fprq2 Times New Roman Baltic;}{\f379\fbidi \froman\fcharset163\fprq2 Times New Roman (Vietnamese);}{\f711\fbidi \froman\fcharset238\fprq2 Cambria Math CE;}{\f712\fbidi \froman\fcharset204\fprq2 Cambria Math Cyr;}_x000d__x000a_{\f714\fbidi \froman\fcharset161\fprq2 Cambria Math Greek;}{\f715\fbidi \froman\fcharset162\fprq2 Cambria Math Tur;}{\f718\fbidi \froman\fcharset186\fprq2 Cambria Math Baltic;}{\f71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110298 NormalHanging12a;}}{\*\rsidtbl \rsid24658\rsid223860\rsid735077\rsid1718133\rsid2110298\rsid2892074\rsid3565327\rsid3748198\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ARVALHO RAPOSO Maria Carolina}{\operator CARVALHO RAPOSO Maria Carolina}{\creatim\yr2024\mo1\dy25\hr15\min32}{\revtim\yr2024\mo1\dy25\hr15\min32}{\version1}{\edmins0}{\nofpages1}{\nofwords5}_x000d__x000a_{\nofchars30}{\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10298\newtblstyruls\nogrowautofit\usenormstyforlist\noindnmbrts\felnbrelev\nocxsptable\indrlsweleven\noafcnsttbl\afelev\utinl\hwelev\spltpgpar\notcvasp\notbrkcnstfrctbl\notvatxbx\krnprsnet\cachedcolbal _x000d__x000a_\nouicompat \fet0{\*\wgrffmtfilter 013f}\nofeaturethrottle1\ilfomacatclnup0{\*\template C:\\Users\\MCARVA~1\\AppData\\Local\\Temp\\Blank1.dotx}{\*\ftnsep \ltrpar \pard\plain \ltrpar_x000d__x000a_\ql \li0\ri0\widctlpar\wrapdefault\aspalpha\aspnum\faauto\adjustright\rin0\lin0\itap0 \rtlch\fcs1 \af0\afs20\alang1025 \ltrch\fcs0 \fs24\lang2057\langfe2057\cgrid\langnp2057\langfenp2057 {\rtlch\fcs1 \af0 \ltrch\fcs0 \insrsid3748198 \chftnsep _x000d__x000a_\par }}{\*\ftnsepc \ltrpar \pard\plain \ltrpar\ql \li0\ri0\widctlpar\wrapdefault\aspalpha\aspnum\faauto\adjustright\rin0\lin0\itap0 \rtlch\fcs1 \af0\afs20\alang1025 \ltrch\fcs0 \fs24\lang2057\langfe2057\cgrid\langnp2057\langfenp2057 {\rtlch\fcs1 \af0 _x000d__x000a_\ltrch\fcs0 \insrsid3748198 \chftnsepc _x000d__x000a_\par }}{\*\aftnsep \ltrpar \pard\plain \ltrpar\ql \li0\ri0\widctlpar\wrapdefault\aspalpha\aspnum\faauto\adjustright\rin0\lin0\itap0 \rtlch\fcs1 \af0\afs20\alang1025 \ltrch\fcs0 \fs24\lang2057\langfe2057\cgrid\langnp2057\langfenp2057 {\rtlch\fcs1 \af0 _x000d__x000a_\ltrch\fcs0 \insrsid3748198 \chftnsep _x000d__x000a_\par }}{\*\aftnsepc \ltrpar \pard\plain \ltrpar\ql \li0\ri0\widctlpar\wrapdefault\aspalpha\aspnum\faauto\adjustright\rin0\lin0\itap0 \rtlch\fcs1 \af0\afs20\alang1025 \ltrch\fcs0 \fs24\lang2057\langfe2057\cgrid\langnp2057\langfenp2057 {\rtlch\fcs1 \af0 _x000d__x000a_\ltrch\fcs0 \insrsid37481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110298 \rtlch\fcs1 \af0\afs20\alang1025 \ltrch\fcs0 \fs24\lang2057\langfe2057\cgrid\langnp2057\langfenp2057 {\rtlch\fcs1 \af0 _x000d__x000a_\ltrch\fcs0 \insrsid2110298\charrsid1525456 {\*\bkmkstart restart}[ZSUGGESTIONNR]\tab [ZSUGGESTIONTEXT]}{\rtlch\fcs1 \af0 \ltrch\fcs0 \insrsid211029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c439b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PT"/>
    <w:docVar w:name="TXTLANGUEMIN" w:val="pt"/>
    <w:docVar w:name="TXTNRPE" w:val="756.199"/>
    <w:docVar w:name="TXTNRPROC" w:val="2023/2168"/>
    <w:docVar w:name="TXTPEorAP" w:val="PE"/>
    <w:docVar w:name="TXTROUTE" w:val="AD\1295231PT.docx"/>
    <w:docVar w:name="TXTTITLE" w:val="of the European Union Agency for Criminal Justice Cooperation (Eurojust) for the financial year 2022"/>
    <w:docVar w:name="TXTVERSION" w:val="02-00"/>
  </w:docVars>
  <w:rsids>
    <w:rsidRoot w:val="00603114"/>
    <w:rsid w:val="000E7EBF"/>
    <w:rsid w:val="00124F60"/>
    <w:rsid w:val="00135121"/>
    <w:rsid w:val="00140BE6"/>
    <w:rsid w:val="00147F4E"/>
    <w:rsid w:val="00147FBF"/>
    <w:rsid w:val="0016635E"/>
    <w:rsid w:val="001746D0"/>
    <w:rsid w:val="001B7393"/>
    <w:rsid w:val="001D2ED9"/>
    <w:rsid w:val="001F21C1"/>
    <w:rsid w:val="00207509"/>
    <w:rsid w:val="0022758B"/>
    <w:rsid w:val="002D28A7"/>
    <w:rsid w:val="002E2F2E"/>
    <w:rsid w:val="002E6F98"/>
    <w:rsid w:val="003210FC"/>
    <w:rsid w:val="00324866"/>
    <w:rsid w:val="00325BCB"/>
    <w:rsid w:val="00331944"/>
    <w:rsid w:val="00332AD9"/>
    <w:rsid w:val="00347D2C"/>
    <w:rsid w:val="003559F2"/>
    <w:rsid w:val="0037356F"/>
    <w:rsid w:val="003858C5"/>
    <w:rsid w:val="00390EB2"/>
    <w:rsid w:val="00396A0E"/>
    <w:rsid w:val="003D49F1"/>
    <w:rsid w:val="003E2402"/>
    <w:rsid w:val="00417CBC"/>
    <w:rsid w:val="004607D0"/>
    <w:rsid w:val="004C28FB"/>
    <w:rsid w:val="004C44C0"/>
    <w:rsid w:val="0052544E"/>
    <w:rsid w:val="005442B0"/>
    <w:rsid w:val="005940C3"/>
    <w:rsid w:val="00594C48"/>
    <w:rsid w:val="005B2F11"/>
    <w:rsid w:val="005C0BDF"/>
    <w:rsid w:val="005D60C6"/>
    <w:rsid w:val="00603114"/>
    <w:rsid w:val="006102E7"/>
    <w:rsid w:val="00640C1B"/>
    <w:rsid w:val="00657AFB"/>
    <w:rsid w:val="006D5BF7"/>
    <w:rsid w:val="006E5E22"/>
    <w:rsid w:val="007B0A3A"/>
    <w:rsid w:val="007C5BF1"/>
    <w:rsid w:val="008313E7"/>
    <w:rsid w:val="00854CAC"/>
    <w:rsid w:val="008A32C5"/>
    <w:rsid w:val="008C6203"/>
    <w:rsid w:val="008D61E7"/>
    <w:rsid w:val="008F7002"/>
    <w:rsid w:val="0099178F"/>
    <w:rsid w:val="0099493F"/>
    <w:rsid w:val="00A16BEA"/>
    <w:rsid w:val="00A312B3"/>
    <w:rsid w:val="00A72C35"/>
    <w:rsid w:val="00AE180F"/>
    <w:rsid w:val="00AE6E7F"/>
    <w:rsid w:val="00B11B25"/>
    <w:rsid w:val="00B362F7"/>
    <w:rsid w:val="00B41658"/>
    <w:rsid w:val="00B5456B"/>
    <w:rsid w:val="00B569F7"/>
    <w:rsid w:val="00B735E3"/>
    <w:rsid w:val="00B74B53"/>
    <w:rsid w:val="00BC26E4"/>
    <w:rsid w:val="00BD1EAA"/>
    <w:rsid w:val="00C36610"/>
    <w:rsid w:val="00C52739"/>
    <w:rsid w:val="00C827FF"/>
    <w:rsid w:val="00C85D0F"/>
    <w:rsid w:val="00CD34AC"/>
    <w:rsid w:val="00DE19FF"/>
    <w:rsid w:val="00E81BA6"/>
    <w:rsid w:val="00E856D2"/>
    <w:rsid w:val="00E929A7"/>
    <w:rsid w:val="00E92B63"/>
    <w:rsid w:val="00EA3344"/>
    <w:rsid w:val="00F9208A"/>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CBBD3"/>
  <w15:chartTrackingRefBased/>
  <w15:docId w15:val="{1547BFFC-A629-434B-BDDB-130F6720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324866"/>
    <w:pPr>
      <w:tabs>
        <w:tab w:val="center" w:pos="4513"/>
        <w:tab w:val="right" w:pos="9026"/>
      </w:tabs>
    </w:pPr>
  </w:style>
  <w:style w:type="character" w:customStyle="1" w:styleId="FooterChar">
    <w:name w:val="Footer Char"/>
    <w:basedOn w:val="DefaultParagraphFont"/>
    <w:link w:val="Footer"/>
    <w:semiHidden/>
    <w:rsid w:val="00324866"/>
    <w:rPr>
      <w:sz w:val="24"/>
    </w:rPr>
  </w:style>
  <w:style w:type="paragraph" w:customStyle="1" w:styleId="Normal24a">
    <w:name w:val="Normal24a"/>
    <w:basedOn w:val="Normal"/>
    <w:rsid w:val="006E5E22"/>
    <w:pPr>
      <w:spacing w:after="480"/>
    </w:pPr>
  </w:style>
  <w:style w:type="paragraph" w:customStyle="1" w:styleId="NormalBoldCenter">
    <w:name w:val="NormalBoldCenter"/>
    <w:basedOn w:val="Normal"/>
    <w:rsid w:val="006E5E22"/>
    <w:pPr>
      <w:jc w:val="center"/>
    </w:pPr>
    <w:rPr>
      <w:b/>
    </w:rPr>
  </w:style>
  <w:style w:type="paragraph" w:customStyle="1" w:styleId="RollCallSymbols14pt">
    <w:name w:val="RollCallSymbols14pt"/>
    <w:basedOn w:val="Normal"/>
    <w:rsid w:val="006E5E2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E5E22"/>
    <w:pPr>
      <w:tabs>
        <w:tab w:val="center" w:pos="284"/>
        <w:tab w:val="left" w:pos="426"/>
      </w:tabs>
    </w:pPr>
    <w:rPr>
      <w:snapToGrid w:val="0"/>
      <w:lang w:eastAsia="en-US"/>
    </w:rPr>
  </w:style>
  <w:style w:type="paragraph" w:customStyle="1" w:styleId="RollCallVotes">
    <w:name w:val="RollCallVotes"/>
    <w:basedOn w:val="Normal"/>
    <w:rsid w:val="006E5E22"/>
    <w:pPr>
      <w:spacing w:before="120" w:after="120"/>
      <w:jc w:val="center"/>
    </w:pPr>
    <w:rPr>
      <w:b/>
      <w:bCs/>
      <w:snapToGrid w:val="0"/>
      <w:sz w:val="16"/>
      <w:lang w:eastAsia="en-US"/>
    </w:rPr>
  </w:style>
  <w:style w:type="paragraph" w:customStyle="1" w:styleId="RollCallTable">
    <w:name w:val="RollCallTable"/>
    <w:basedOn w:val="Normal"/>
    <w:rsid w:val="006E5E2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1047</Words>
  <Characters>5886</Characters>
  <Application>Microsoft Office Word</Application>
  <DocSecurity>0</DocSecurity>
  <Lines>182</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2024-02-05T11:22:00Z</dcterms:created>
  <dcterms:modified xsi:type="dcterms:W3CDTF">2024-02-05T11:22:00Z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1295231</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Bookout">
    <vt:lpwstr>OK - 2024/02/05 12:22</vt:lpwstr>
  </property>
  <property fmtid="{D5CDD505-2E9C-101B-9397-08002B2CF9AE}" pid="9" name="Created with">
    <vt:lpwstr>9.16.1 Build [20230920]</vt:lpwstr>
  </property>
  <property fmtid="{D5CDD505-2E9C-101B-9397-08002B2CF9AE}" pid="10" name="FooterPath">
    <vt:lpwstr>AD\1295231PT.docx</vt:lpwstr>
  </property>
  <property fmtid="{D5CDD505-2E9C-101B-9397-08002B2CF9AE}" pid="11" name="LastEdited with">
    <vt:lpwstr>9.17.1 Build [20240101]</vt:lpwstr>
  </property>
  <property fmtid="{D5CDD505-2E9C-101B-9397-08002B2CF9AE}" pid="12" name="PE number">
    <vt:lpwstr>756.199</vt:lpwstr>
  </property>
  <property fmtid="{D5CDD505-2E9C-101B-9397-08002B2CF9AE}" pid="13" name="SDLStudio">
    <vt:lpwstr/>
  </property>
  <property fmtid="{D5CDD505-2E9C-101B-9397-08002B2CF9AE}" pid="14" name="SendToEpades">
    <vt:lpwstr>OK - 2023/11/20 14:48</vt:lpwstr>
  </property>
</Properties>
</file>