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854CAC" w:rsidRPr="00D45CB8" w:rsidTr="00C85D0F">
        <w:trPr>
          <w:trHeight w:hRule="exact" w:val="1418"/>
        </w:trPr>
        <w:tc>
          <w:tcPr>
            <w:tcW w:w="6804" w:type="dxa"/>
            <w:shd w:val="clear" w:color="auto" w:fill="auto"/>
            <w:vAlign w:val="center"/>
          </w:tcPr>
          <w:p w:rsidR="00854CAC" w:rsidRPr="00D45CB8" w:rsidRDefault="002F7D6C" w:rsidP="00C85D0F">
            <w:pPr>
              <w:pStyle w:val="EPName"/>
            </w:pPr>
            <w:r>
              <w:t>Evropský parlament</w:t>
            </w:r>
          </w:p>
          <w:p w:rsidR="00854CAC" w:rsidRPr="00D45CB8" w:rsidRDefault="00957F3E" w:rsidP="00957F3E">
            <w:pPr>
              <w:pStyle w:val="EPTerm"/>
            </w:pPr>
            <w:r>
              <w:t>2019-2024</w:t>
            </w:r>
          </w:p>
        </w:tc>
        <w:tc>
          <w:tcPr>
            <w:tcW w:w="2268" w:type="dxa"/>
            <w:shd w:val="clear" w:color="auto" w:fill="auto"/>
          </w:tcPr>
          <w:p w:rsidR="00854CAC" w:rsidRPr="00D45CB8" w:rsidRDefault="00854CAC" w:rsidP="00C85D0F">
            <w:pPr>
              <w:pStyle w:val="EPLogo"/>
            </w:pPr>
            <w:r w:rsidRPr="00D45CB8">
              <w:rPr>
                <w:noProof/>
                <w:lang w:val="en-GB"/>
              </w:rPr>
              <w:drawing>
                <wp:inline distT="0" distB="0" distL="0" distR="0" wp14:anchorId="4B8BE00E" wp14:editId="501F4E6E">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1746D0" w:rsidRPr="00D45CB8" w:rsidRDefault="001746D0" w:rsidP="001746D0">
      <w:pPr>
        <w:pStyle w:val="LineTop"/>
      </w:pPr>
    </w:p>
    <w:p w:rsidR="001746D0" w:rsidRPr="00D45CB8" w:rsidRDefault="001746D0" w:rsidP="001746D0">
      <w:pPr>
        <w:pStyle w:val="EPBody"/>
      </w:pPr>
      <w:r>
        <w:rPr>
          <w:rStyle w:val="HideTWBExt"/>
        </w:rPr>
        <w:t>&lt;</w:t>
      </w:r>
      <w:r>
        <w:rPr>
          <w:rStyle w:val="HideTWBExt"/>
          <w:i w:val="0"/>
        </w:rPr>
        <w:t>Commission</w:t>
      </w:r>
      <w:r>
        <w:rPr>
          <w:rStyle w:val="HideTWBExt"/>
        </w:rPr>
        <w:t>&gt;</w:t>
      </w:r>
      <w:r>
        <w:rPr>
          <w:rStyle w:val="HideTWBInt"/>
        </w:rPr>
        <w:t>{LIBE}</w:t>
      </w:r>
      <w:r>
        <w:t>Výbor pro občanské svobody, spravedlnost a vnitřní věci</w:t>
      </w:r>
      <w:r>
        <w:rPr>
          <w:rStyle w:val="HideTWBExt"/>
        </w:rPr>
        <w:t>&lt;/</w:t>
      </w:r>
      <w:r>
        <w:rPr>
          <w:rStyle w:val="HideTWBExt"/>
          <w:i w:val="0"/>
        </w:rPr>
        <w:t>Commission</w:t>
      </w:r>
      <w:r>
        <w:rPr>
          <w:rStyle w:val="HideTWBExt"/>
        </w:rPr>
        <w:t>&gt;</w:t>
      </w:r>
    </w:p>
    <w:p w:rsidR="001746D0" w:rsidRPr="00D45CB8" w:rsidRDefault="001746D0" w:rsidP="001746D0">
      <w:pPr>
        <w:pStyle w:val="LineBottom"/>
      </w:pPr>
    </w:p>
    <w:p w:rsidR="002E2F2E" w:rsidRPr="00D45CB8" w:rsidRDefault="002E2F2E">
      <w:pPr>
        <w:pStyle w:val="CoverReference"/>
      </w:pPr>
      <w:r>
        <w:rPr>
          <w:rStyle w:val="HideTWBExt"/>
          <w:b w:val="0"/>
        </w:rPr>
        <w:t>&lt;RefProc&gt;</w:t>
      </w:r>
      <w:r>
        <w:t>2023/2169</w:t>
      </w:r>
      <w:r>
        <w:rPr>
          <w:rStyle w:val="HideTWBExt"/>
          <w:b w:val="0"/>
        </w:rPr>
        <w:t>&lt;/RefProc&gt;&lt;RefTypeProc&gt;</w:t>
      </w:r>
      <w:r>
        <w:t>(DEC)</w:t>
      </w:r>
      <w:r>
        <w:rPr>
          <w:rStyle w:val="HideTWBExt"/>
          <w:b w:val="0"/>
        </w:rPr>
        <w:t>&lt;/RefTypeProc&gt;</w:t>
      </w:r>
    </w:p>
    <w:p w:rsidR="002E2F2E" w:rsidRPr="00D45CB8" w:rsidRDefault="002E2F2E">
      <w:pPr>
        <w:pStyle w:val="CoverDate"/>
      </w:pPr>
      <w:r>
        <w:rPr>
          <w:rStyle w:val="HideTWBExt"/>
        </w:rPr>
        <w:t>&lt;Date&gt;</w:t>
      </w:r>
      <w:r>
        <w:rPr>
          <w:rStyle w:val="HideTWBInt"/>
        </w:rPr>
        <w:t>{24/01/2024}</w:t>
      </w:r>
      <w:r>
        <w:t>24.1.2024</w:t>
      </w:r>
      <w:r>
        <w:rPr>
          <w:rStyle w:val="HideTWBExt"/>
        </w:rPr>
        <w:t>&lt;/Date&gt;</w:t>
      </w:r>
    </w:p>
    <w:p w:rsidR="002E2F2E" w:rsidRPr="00D45CB8" w:rsidRDefault="002E2F2E">
      <w:pPr>
        <w:pStyle w:val="CoverDocType24a"/>
      </w:pPr>
      <w:r>
        <w:rPr>
          <w:rStyle w:val="HideTWBExt"/>
          <w:b w:val="0"/>
        </w:rPr>
        <w:t>&lt;TitreType&gt;</w:t>
      </w:r>
      <w:r>
        <w:t>STANOVISKO</w:t>
      </w:r>
      <w:r>
        <w:rPr>
          <w:rStyle w:val="HideTWBExt"/>
          <w:b w:val="0"/>
        </w:rPr>
        <w:t>&lt;/TitreType&gt;</w:t>
      </w:r>
    </w:p>
    <w:p w:rsidR="002E2F2E" w:rsidRPr="00D45CB8" w:rsidRDefault="002E2F2E">
      <w:pPr>
        <w:pStyle w:val="CoverNormal24a"/>
      </w:pPr>
      <w:r>
        <w:rPr>
          <w:rStyle w:val="HideTWBExt"/>
        </w:rPr>
        <w:t>&lt;CommissionResp&gt;</w:t>
      </w:r>
      <w:r>
        <w:t>Výboru pro občanské svobody, spravedlnost a vnitřní věci</w:t>
      </w:r>
      <w:r>
        <w:rPr>
          <w:rStyle w:val="HideTWBExt"/>
        </w:rPr>
        <w:t>&lt;/CommissionResp&gt;</w:t>
      </w:r>
    </w:p>
    <w:p w:rsidR="002E2F2E" w:rsidRPr="00D45CB8" w:rsidRDefault="002E2F2E">
      <w:pPr>
        <w:pStyle w:val="CoverNormal24a"/>
      </w:pPr>
      <w:r>
        <w:rPr>
          <w:rStyle w:val="HideTWBExt"/>
        </w:rPr>
        <w:t>&lt;CommissionInt&gt;</w:t>
      </w:r>
      <w:r>
        <w:t>pro Rozpočtový výbor</w:t>
      </w:r>
      <w:r>
        <w:rPr>
          <w:rStyle w:val="HideTWBExt"/>
        </w:rPr>
        <w:t>&lt;/CommissionInt&gt;</w:t>
      </w:r>
    </w:p>
    <w:p w:rsidR="00D45CB8" w:rsidRPr="00D45CB8" w:rsidRDefault="00D45CB8" w:rsidP="00D45CB8">
      <w:pPr>
        <w:pStyle w:val="CoverNormal"/>
      </w:pPr>
      <w:r>
        <w:rPr>
          <w:rStyle w:val="HideTWBExt"/>
        </w:rPr>
        <w:t>&lt;Titre&gt;</w:t>
      </w:r>
      <w:r>
        <w:t>k udělení absolutoria za plnění rozpočtu Agentury Evropské unie pro spolupráci v oblasti prosazování práva (Europol) na rozpočtový rok 2022</w:t>
      </w:r>
      <w:r>
        <w:rPr>
          <w:rStyle w:val="HideTWBExt"/>
        </w:rPr>
        <w:t>&lt;/Titre&gt;</w:t>
      </w:r>
    </w:p>
    <w:p w:rsidR="002E2F2E" w:rsidRPr="00D45CB8" w:rsidRDefault="00D45CB8" w:rsidP="00D45CB8">
      <w:pPr>
        <w:pStyle w:val="CoverNormal24a"/>
      </w:pPr>
      <w:r>
        <w:rPr>
          <w:rStyle w:val="HideTWBExt"/>
        </w:rPr>
        <w:t>&lt;DocRef&gt;</w:t>
      </w:r>
      <w:r>
        <w:t>(2023/2169(DEC))</w:t>
      </w:r>
      <w:r>
        <w:rPr>
          <w:rStyle w:val="HideTWBExt"/>
        </w:rPr>
        <w:t>&lt;/DocRef&gt;</w:t>
      </w:r>
    </w:p>
    <w:p w:rsidR="002E2F2E" w:rsidRPr="00D45CB8" w:rsidRDefault="00D45CB8">
      <w:pPr>
        <w:pStyle w:val="CoverNormal24a"/>
      </w:pPr>
      <w:r>
        <w:t xml:space="preserve">Zpravodaj: </w:t>
      </w:r>
      <w:r>
        <w:rPr>
          <w:rStyle w:val="HideTWBExt"/>
        </w:rPr>
        <w:t>&lt;Depute&gt;</w:t>
      </w:r>
      <w:r>
        <w:t>Tomáš Zdechovský</w:t>
      </w:r>
      <w:r>
        <w:rPr>
          <w:rStyle w:val="HideTWBExt"/>
        </w:rPr>
        <w:t>&lt;/Depute&gt;</w:t>
      </w:r>
    </w:p>
    <w:p w:rsidR="00A72C35" w:rsidRPr="00D45CB8" w:rsidRDefault="00A72C35" w:rsidP="00A72C35">
      <w:pPr>
        <w:pStyle w:val="CoverNormal"/>
      </w:pPr>
    </w:p>
    <w:p w:rsidR="002E2F2E" w:rsidRPr="00D45CB8" w:rsidRDefault="002E2F2E" w:rsidP="00E856D2">
      <w:pPr>
        <w:widowControl/>
        <w:tabs>
          <w:tab w:val="center" w:pos="4677"/>
        </w:tabs>
      </w:pPr>
      <w:r>
        <w:br w:type="page"/>
      </w:r>
      <w:r>
        <w:lastRenderedPageBreak/>
        <w:t>PA_NonLeg</w:t>
      </w:r>
    </w:p>
    <w:p w:rsidR="002E2F2E" w:rsidRPr="00D45CB8" w:rsidRDefault="002E2F2E">
      <w:pPr>
        <w:pStyle w:val="PageHeadingNotTOC"/>
      </w:pPr>
      <w:r>
        <w:br w:type="page"/>
      </w:r>
      <w:r>
        <w:lastRenderedPageBreak/>
        <w:t>NÁVRHY</w:t>
      </w:r>
    </w:p>
    <w:p w:rsidR="002E2F2E" w:rsidRPr="00D45CB8" w:rsidRDefault="002F7D6C" w:rsidP="00801575">
      <w:pPr>
        <w:pStyle w:val="Normal12a"/>
      </w:pPr>
      <w:r>
        <w:t>Výbor pro občanské svobody, spravedlnost a vnitřní věci vyzývá Rozpočtový výbor jako příslušný výbor, aby do návrhu usnesení, který přijme, začlenily tyto návrhy:</w:t>
      </w:r>
    </w:p>
    <w:p w:rsidR="00583B6A" w:rsidRPr="006F453E" w:rsidRDefault="00583B6A" w:rsidP="00801575">
      <w:pPr>
        <w:pStyle w:val="NormalHanging12a"/>
      </w:pPr>
      <w:r>
        <w:t>1.</w:t>
      </w:r>
      <w:r>
        <w:tab/>
        <w:t xml:space="preserve">vítá skutečnost, že Účetní dvůr prohlásil, že transakce, na nichž se zakládá roční účetní závěrka Agentury Evropské unie pro spolupráci v oblasti prosazování práva (Europol) za rozpočtový rok 2022, jsou ve všech významných ohledech legální a správné; </w:t>
      </w:r>
    </w:p>
    <w:p w:rsidR="00583B6A" w:rsidRPr="006F453E" w:rsidRDefault="00583B6A" w:rsidP="00801575">
      <w:pPr>
        <w:pStyle w:val="NormalHanging12a"/>
      </w:pPr>
      <w:r>
        <w:t>2.</w:t>
      </w:r>
      <w:r>
        <w:tab/>
        <w:t>vítá, že Europol provedl doporučení orgánu příslušného k udělení absolutoria v oblasti vnitřních kontrol, ochrany údajů a vnější komunikace a také připomínky Účetního dvora, zejména pokud jde o postup posuzování možného střetu zájmů; oceňuje další činnosti týkající se genderové rozmanitosti a digitalizace správních postupů; vítá další digitalizaci prostřednictvím využívání informačních systémů a nástrojů Komise v oblasti řízení lidských zdrojů a smluv;</w:t>
      </w:r>
    </w:p>
    <w:p w:rsidR="00583B6A" w:rsidRPr="006F453E" w:rsidRDefault="00583B6A" w:rsidP="00801575">
      <w:pPr>
        <w:pStyle w:val="NormalHanging12a"/>
      </w:pPr>
      <w:r>
        <w:t>3.</w:t>
      </w:r>
      <w:r>
        <w:tab/>
        <w:t xml:space="preserve">připomíná zjištění Účetního dvora týkající se legality a správnosti operací souvisejících s denními příspěvky, které byly vyplaceny třem vyslaným národním odborníkům z Nizozemska; připomíná, že Europol zjistil a zveřejnil, že v roce 2022 došlo k přeplatku denního příspěvku vyplaceného třem vyslaným národním odborníkům z Nizozemska a že tento přeplatek činil 155 553 EUR; bere na vědomí odpověď Europolu, že v souladu s požadavky stanovenými v článku 101 finančního nařízení 2018/1046 se Europol rozhodl nepožadovat vrácení přeplatku, aby byl s vysílajícími orgány zachován vztah založený na důvěře a spolupráci; vítá, že Europol posílil předběžnou kontrolu, včetně přidělování zdrojů, aby zajistil účinnou záruku legality příslušných finančních nároků ještě před jejich vyplacením; </w:t>
      </w:r>
    </w:p>
    <w:p w:rsidR="00583B6A" w:rsidRPr="006F453E" w:rsidRDefault="00583B6A" w:rsidP="00801575">
      <w:pPr>
        <w:pStyle w:val="NormalHanging12a"/>
      </w:pPr>
      <w:r>
        <w:t>4.</w:t>
      </w:r>
      <w:r>
        <w:tab/>
        <w:t>upozorňuje na připomínku Účetního dvora k legalitě a správnosti operací souvisejících s provozními granty na financování činností vnitrostátních policejních sil v členském státě; konstatuje, že Účetní dvůr zjistil, že část grantu ve výši 0,2 milionu EUR byla nesprávná; bere na vědomí reakci Europolu, že provozní grant se týkal činností zvláštních zásahových jednotek koordinovaných jedním členským státem, a proto byla v souladu s čl. 186 odst. 4 písm. c) finančního nařízení 2018/1046 a odpovídajícími zvláštními prováděcími pokyny Komise týkajícími se správy grantů daň z přidané hodnoty (DPH) způsobilým nákladem; vítá, že Europol s ohledem na připomínky Účetního dvora bude posuzovat způsobilost DPH v rámci provozních grantů;</w:t>
      </w:r>
    </w:p>
    <w:p w:rsidR="00583B6A" w:rsidRPr="006F453E" w:rsidRDefault="00583B6A" w:rsidP="00801575">
      <w:pPr>
        <w:pStyle w:val="NormalHanging12a"/>
      </w:pPr>
      <w:r>
        <w:t>5.</w:t>
      </w:r>
      <w:r>
        <w:tab/>
        <w:t>s uspokojením konstatuje, že v roce 2022 přijal Europol 98 068 operačních příspěvků a podpořil 2 758 operací, které se týkaly víceletých strategických priorit; bere na vědomí činnosti Europolu, které odrážejí pracovní program na rok 2022, včetně rozvoje operačních informačních technologií a kapacit v oblasti správy informací, operativní koordinace, boje proti závažné a organizované trestné činnosti, kybernetické trestné činnosti, finanční a hospodářské trestné činnosti, strategické a analytické koordinace a správy v oblasti boje proti terorismu, podpory a správy; vítá spolupráci Europolu s Ukrajinou a zvýšení podpory poskytované členským státům a sousedním zemím na začátku roku v souvislosti s válkou; vítá skutečnost, že Europol pozastavil spolupráci s Ruskem;</w:t>
      </w:r>
    </w:p>
    <w:p w:rsidR="00583B6A" w:rsidRPr="006F453E" w:rsidRDefault="00583B6A" w:rsidP="00801575">
      <w:pPr>
        <w:pStyle w:val="NormalHanging12a"/>
      </w:pPr>
      <w:r>
        <w:lastRenderedPageBreak/>
        <w:t>6.</w:t>
      </w:r>
      <w:r>
        <w:tab/>
        <w:t xml:space="preserve">konstatuje, že dne 16. září 2022 požádal evropský inspektor ochrany údajů Soudní dvůr Evropské unie, aby zrušil dvě ustanovení pozměněného nařízení o Europolu, a to články 74a a 74b, neboť vážně narušují právní jistotu, pokud jde o osobní údaje fyzických osob, a ohrožují nezávislost evropského inspektora ochrany údajů; dále bere na vědomí usnesení Tribunálu ve věci T-578/22 ze dne 6. září 2023, kterým byla žaloba evropského inspektora ochrany údajů proti pozměněnému nařízení o Europolu prohlášena za nepřípustnou, a pokud jde o případné účinky sporných ustanovení na rozhodnutí evropského inspektora ochrany údajů ze dne 3. ledna 2022, tento se jich nemůže dovolávat na podporu svých kroků; bere na vědomí, že evropský inspektor ochrany údajů se ve věci T-578/22 odvolal a že je pověřen dohledem nad zákonností zpracování osobních údajů Europolem podle nařízení (EU) 2016/794; vítá snahu Europolu zabývat se doporučeními evropského inspektora ochrany údajů, zejména to, že všechny příspěvky z doby před vstupem pozměněného nařízení o Europolu v platnost byly mezitím zařazeny do kategorie subjektů údajů;  </w:t>
      </w:r>
    </w:p>
    <w:p w:rsidR="00583B6A" w:rsidRPr="006F453E" w:rsidRDefault="00583B6A" w:rsidP="00801575">
      <w:pPr>
        <w:pStyle w:val="NormalHanging12a"/>
      </w:pPr>
      <w:r>
        <w:t>7.</w:t>
      </w:r>
      <w:r>
        <w:tab/>
        <w:t>bere na vědomí, že Europol i nadále úzce spolupracoval s agenturou eu-LISA na zavedení automatizovaného srovnávání údajů v žádostech o cestovní povolení uvedených v Evropském systému pro cestovní informace a povolení (ETIAS) s údaji Europolu; konstatuje, že zahájení provozu systému ETIAS bylo rozhodnutím Rady odloženo na listopad 2023; oceňuje, že Europol v roce 2022 rozšířil spolupráci s Úřadem evropského veřejného žalobce (EPPO) a do konce roku podpořil 21 významných operací úřadu EPPO v oblasti boje proti daňovým podvodům;</w:t>
      </w:r>
    </w:p>
    <w:p w:rsidR="00583B6A" w:rsidRPr="006F453E" w:rsidRDefault="00583B6A" w:rsidP="00801575">
      <w:pPr>
        <w:widowControl/>
        <w:tabs>
          <w:tab w:val="left" w:pos="-720"/>
        </w:tabs>
        <w:spacing w:after="240"/>
        <w:ind w:left="567" w:hanging="567"/>
      </w:pPr>
      <w:r>
        <w:t>8.</w:t>
      </w:r>
      <w:r>
        <w:tab/>
        <w:t>konstatuje, že pozměněné nařízení o Europolu, které vstoupilo v platnost dne 28. června 2022, vyžaduje zvýšený dohled nad činnostmi Europolu, například zřízením funkce a jmenováním úředníka pro otázky základních práv, který přímo podléhá výkonnému řediteli Europolu; dále zdůrazňuje, že rozšíření pravomocí Europolu, pokud jde o podporu členských států a spolupráci se soukromými subjekty, třetími zeměmi a mezinárodními organizacemi, by vyžadovalo vytvoření dalších vnitřních a vnějších mechanismů dohledu, které by zaručily dodržování právních předpisů EU a ochranu základních práv;</w:t>
      </w:r>
    </w:p>
    <w:p w:rsidR="00583B6A" w:rsidRPr="006F453E" w:rsidRDefault="00583B6A" w:rsidP="00801575">
      <w:pPr>
        <w:widowControl/>
        <w:tabs>
          <w:tab w:val="left" w:pos="-720"/>
        </w:tabs>
        <w:spacing w:after="240"/>
        <w:ind w:left="567" w:hanging="567"/>
      </w:pPr>
      <w:r>
        <w:t>9.</w:t>
      </w:r>
      <w:r>
        <w:tab/>
        <w:t xml:space="preserve">připomíná zjištění obsažená ve zprávě evropského inspektora ochrany údajů o auditu Europolu ze dne 16. prosince 2022, který se zaměřoval na zvláštní kontroly souborů údajů státních příslušníků třetích zemí v držení Europolu; připomíná, že evropský inspektor ochrany údajů dospěl k závěru, že obecný postup posuzování informací poskytovaných partnery o nezletilých osobách (včetně nezletilých do 15 let) je jasný a dobře propracovaný; připomíná, že evropský inspektor ochrany údajů zjistil více případů, kdy přiřazení stejné míry podezření (z hlediska klasifikace) údajům nezletilých, kteří se zjevně dopouštějí relativně méně závažného porušení předpisů v širším rámci organizované zločinecké skupiny, nemusí splňovat prahovou hodnotu „přísné proporcionality“; zdůrazňuje, že Europol má povinnost dodržovat zásadu „přísné proporcionality“ stanovenou v čl. 30 odst. 1 nařízení o Europolu; </w:t>
      </w:r>
    </w:p>
    <w:p w:rsidR="00583B6A" w:rsidRPr="006F453E" w:rsidRDefault="00583B6A" w:rsidP="00801575">
      <w:pPr>
        <w:ind w:left="560" w:hanging="560"/>
      </w:pPr>
      <w:r>
        <w:t>10.</w:t>
      </w:r>
      <w:r>
        <w:tab/>
        <w:t xml:space="preserve">bere na vědomí zprávy sdělovacích prostředků o údajných případech střetu zájmů bývalých zaměstnanců Europolu; připomíná, že veřejná ochránkyně práv zahájila dne 20. prosince 2023 šetření týkající se toho, jak Europol řešil přesuny dvou bývalých zaměstnanců na pozice související s bojem proti pohlavnímu zneužívání dětí na </w:t>
      </w:r>
      <w:r>
        <w:lastRenderedPageBreak/>
        <w:t xml:space="preserve">internetu; bere na vědomí odpověď agentury, že zprávy přezkoumala, přičemž mimo jiné uvedla, že nebyl zjištěn žádný střet zájmů ze strany bývalých zaměstnanců; vyzývá k důkladnému prošetření obvinění a k tomu, aby byly orgánu příslušnému k udělení absolutoria předány zjištěné závěry; </w:t>
      </w:r>
    </w:p>
    <w:p w:rsidR="00DF237B" w:rsidRPr="00DF237B" w:rsidRDefault="00DF237B" w:rsidP="00DF237B">
      <w:r>
        <w:br w:type="page"/>
      </w:r>
    </w:p>
    <w:p w:rsidR="00DF237B" w:rsidRDefault="00DF237B" w:rsidP="00DF237B">
      <w:pPr>
        <w:pStyle w:val="PageHeadingNotTOC"/>
      </w:pPr>
      <w:bookmarkStart w:id="0" w:name="ProcPageAD"/>
      <w:r>
        <w:lastRenderedPageBreak/>
        <w:t>INFORMACE O PŘIJETÍ VE VÝBORU POŽÁDANÉM O STANOVISKO</w:t>
      </w:r>
    </w:p>
    <w:tbl>
      <w:tblPr>
        <w:tblW w:w="0" w:type="auto"/>
        <w:tblInd w:w="-10" w:type="dxa"/>
        <w:tblLayout w:type="fixed"/>
        <w:tblCellMar>
          <w:left w:w="0" w:type="dxa"/>
          <w:right w:w="0" w:type="dxa"/>
        </w:tblCellMar>
        <w:tblLook w:val="0000" w:firstRow="0" w:lastRow="0" w:firstColumn="0" w:lastColumn="0" w:noHBand="0" w:noVBand="0"/>
      </w:tblPr>
      <w:tblGrid>
        <w:gridCol w:w="3685"/>
        <w:gridCol w:w="1530"/>
        <w:gridCol w:w="1474"/>
        <w:gridCol w:w="1474"/>
        <w:gridCol w:w="1474"/>
      </w:tblGrid>
      <w:tr w:rsidR="00DF237B">
        <w:tc>
          <w:tcPr>
            <w:tcW w:w="3685" w:type="dxa"/>
            <w:tcBorders>
              <w:top w:val="single" w:sz="8" w:space="0" w:color="000000"/>
              <w:left w:val="single" w:sz="8" w:space="0" w:color="000000"/>
              <w:bottom w:val="single" w:sz="8" w:space="0" w:color="000000"/>
              <w:right w:val="single" w:sz="8" w:space="0" w:color="000000"/>
            </w:tcBorders>
            <w:tcMar>
              <w:top w:w="79" w:type="dxa"/>
              <w:left w:w="79" w:type="dxa"/>
              <w:bottom w:w="79" w:type="dxa"/>
              <w:right w:w="79" w:type="dxa"/>
            </w:tcMar>
          </w:tcPr>
          <w:p w:rsidR="00DF237B" w:rsidRDefault="00DF237B">
            <w:pPr>
              <w:autoSpaceDE w:val="0"/>
              <w:autoSpaceDN w:val="0"/>
              <w:adjustRightInd w:val="0"/>
              <w:rPr>
                <w:b/>
                <w:bCs/>
                <w:color w:val="000000"/>
                <w:sz w:val="20"/>
              </w:rPr>
            </w:pPr>
            <w:r>
              <w:rPr>
                <w:b/>
                <w:color w:val="000000"/>
                <w:sz w:val="20"/>
              </w:rPr>
              <w:t>Datum přijetí</w:t>
            </w:r>
          </w:p>
        </w:tc>
        <w:tc>
          <w:tcPr>
            <w:tcW w:w="1530" w:type="dxa"/>
            <w:tcBorders>
              <w:top w:val="single" w:sz="8" w:space="0" w:color="000000"/>
              <w:left w:val="nil"/>
              <w:bottom w:val="single" w:sz="8" w:space="0" w:color="000000"/>
              <w:right w:val="nil"/>
            </w:tcBorders>
            <w:tcMar>
              <w:top w:w="79" w:type="dxa"/>
              <w:left w:w="79" w:type="dxa"/>
              <w:bottom w:w="79" w:type="dxa"/>
              <w:right w:w="79" w:type="dxa"/>
            </w:tcMar>
          </w:tcPr>
          <w:p w:rsidR="00DF237B" w:rsidRDefault="00DF237B">
            <w:pPr>
              <w:autoSpaceDE w:val="0"/>
              <w:autoSpaceDN w:val="0"/>
              <w:adjustRightInd w:val="0"/>
              <w:rPr>
                <w:color w:val="000000"/>
                <w:sz w:val="20"/>
              </w:rPr>
            </w:pPr>
            <w:r>
              <w:rPr>
                <w:color w:val="000000"/>
                <w:sz w:val="20"/>
              </w:rPr>
              <w:t>23.1.2024</w:t>
            </w:r>
          </w:p>
        </w:tc>
        <w:tc>
          <w:tcPr>
            <w:tcW w:w="1474" w:type="dxa"/>
            <w:tcBorders>
              <w:top w:val="single" w:sz="8" w:space="0" w:color="000000"/>
              <w:left w:val="nil"/>
              <w:bottom w:val="single" w:sz="8" w:space="0" w:color="000000"/>
              <w:right w:val="nil"/>
            </w:tcBorders>
            <w:tcMar>
              <w:top w:w="79" w:type="dxa"/>
              <w:left w:w="79" w:type="dxa"/>
              <w:bottom w:w="79" w:type="dxa"/>
              <w:right w:w="79" w:type="dxa"/>
            </w:tcMar>
          </w:tcPr>
          <w:p w:rsidR="00DF237B" w:rsidRDefault="00DF237B">
            <w:pPr>
              <w:autoSpaceDE w:val="0"/>
              <w:autoSpaceDN w:val="0"/>
              <w:adjustRightInd w:val="0"/>
              <w:rPr>
                <w:rFonts w:ascii="sans-serif" w:hAnsi="sans-serif" w:cs="sans-serif"/>
                <w:color w:val="000000"/>
                <w:szCs w:val="24"/>
              </w:rPr>
            </w:pPr>
          </w:p>
        </w:tc>
        <w:tc>
          <w:tcPr>
            <w:tcW w:w="1474" w:type="dxa"/>
            <w:tcBorders>
              <w:top w:val="single" w:sz="8" w:space="0" w:color="000000"/>
              <w:left w:val="nil"/>
              <w:bottom w:val="single" w:sz="8" w:space="0" w:color="000000"/>
              <w:right w:val="nil"/>
            </w:tcBorders>
            <w:tcMar>
              <w:top w:w="79" w:type="dxa"/>
              <w:left w:w="79" w:type="dxa"/>
              <w:bottom w:w="79" w:type="dxa"/>
              <w:right w:w="79" w:type="dxa"/>
            </w:tcMar>
          </w:tcPr>
          <w:p w:rsidR="00DF237B" w:rsidRDefault="00DF237B">
            <w:pPr>
              <w:autoSpaceDE w:val="0"/>
              <w:autoSpaceDN w:val="0"/>
              <w:adjustRightInd w:val="0"/>
              <w:rPr>
                <w:rFonts w:ascii="sans-serif" w:hAnsi="sans-serif" w:cs="sans-serif"/>
                <w:color w:val="000000"/>
                <w:szCs w:val="24"/>
              </w:rPr>
            </w:pPr>
          </w:p>
        </w:tc>
        <w:tc>
          <w:tcPr>
            <w:tcW w:w="1474" w:type="dxa"/>
            <w:tcBorders>
              <w:top w:val="single" w:sz="8" w:space="0" w:color="000000"/>
              <w:left w:val="nil"/>
              <w:bottom w:val="single" w:sz="8" w:space="0" w:color="000000"/>
              <w:right w:val="single" w:sz="8" w:space="0" w:color="000000"/>
            </w:tcBorders>
            <w:tcMar>
              <w:top w:w="79" w:type="dxa"/>
              <w:left w:w="79" w:type="dxa"/>
              <w:bottom w:w="79" w:type="dxa"/>
              <w:right w:w="79" w:type="dxa"/>
            </w:tcMar>
          </w:tcPr>
          <w:p w:rsidR="00DF237B" w:rsidRDefault="00DF237B">
            <w:pPr>
              <w:autoSpaceDE w:val="0"/>
              <w:autoSpaceDN w:val="0"/>
              <w:adjustRightInd w:val="0"/>
              <w:rPr>
                <w:rFonts w:ascii="sans-serif" w:hAnsi="sans-serif" w:cs="sans-serif"/>
                <w:color w:val="000000"/>
                <w:szCs w:val="24"/>
              </w:rPr>
            </w:pPr>
          </w:p>
        </w:tc>
      </w:tr>
      <w:tr w:rsidR="00DF237B">
        <w:tc>
          <w:tcPr>
            <w:tcW w:w="3685" w:type="dxa"/>
            <w:tcBorders>
              <w:top w:val="single" w:sz="8" w:space="0" w:color="000000"/>
              <w:left w:val="single" w:sz="8" w:space="0" w:color="000000"/>
              <w:bottom w:val="single" w:sz="8" w:space="0" w:color="000000"/>
              <w:right w:val="single" w:sz="8" w:space="0" w:color="000000"/>
            </w:tcBorders>
            <w:tcMar>
              <w:top w:w="79" w:type="dxa"/>
              <w:left w:w="79" w:type="dxa"/>
              <w:bottom w:w="79" w:type="dxa"/>
              <w:right w:w="79" w:type="dxa"/>
            </w:tcMar>
          </w:tcPr>
          <w:p w:rsidR="00DF237B" w:rsidRDefault="00DF237B">
            <w:pPr>
              <w:autoSpaceDE w:val="0"/>
              <w:autoSpaceDN w:val="0"/>
              <w:adjustRightInd w:val="0"/>
              <w:rPr>
                <w:b/>
                <w:bCs/>
                <w:color w:val="000000"/>
                <w:sz w:val="20"/>
              </w:rPr>
            </w:pPr>
            <w:r>
              <w:rPr>
                <w:b/>
                <w:color w:val="000000"/>
                <w:sz w:val="20"/>
              </w:rPr>
              <w:t>Výsledek konečného hlasování</w:t>
            </w:r>
          </w:p>
        </w:tc>
        <w:tc>
          <w:tcPr>
            <w:tcW w:w="1530" w:type="dxa"/>
            <w:tcBorders>
              <w:top w:val="single" w:sz="8" w:space="0" w:color="000000"/>
              <w:left w:val="nil"/>
              <w:bottom w:val="single" w:sz="8" w:space="0" w:color="000000"/>
              <w:right w:val="nil"/>
            </w:tcBorders>
            <w:tcMar>
              <w:top w:w="79" w:type="dxa"/>
              <w:left w:w="79" w:type="dxa"/>
              <w:bottom w:w="79" w:type="dxa"/>
              <w:right w:w="79" w:type="dxa"/>
            </w:tcMar>
          </w:tcPr>
          <w:p w:rsidR="00DF237B" w:rsidRDefault="00DF237B">
            <w:pPr>
              <w:autoSpaceDE w:val="0"/>
              <w:autoSpaceDN w:val="0"/>
              <w:adjustRightInd w:val="0"/>
              <w:rPr>
                <w:color w:val="000000"/>
                <w:sz w:val="20"/>
              </w:rPr>
            </w:pPr>
            <w:r>
              <w:rPr>
                <w:color w:val="000000"/>
                <w:sz w:val="20"/>
              </w:rPr>
              <w:t>+:</w:t>
            </w:r>
          </w:p>
          <w:p w:rsidR="00DF237B" w:rsidRDefault="00DF237B">
            <w:pPr>
              <w:autoSpaceDE w:val="0"/>
              <w:autoSpaceDN w:val="0"/>
              <w:adjustRightInd w:val="0"/>
              <w:rPr>
                <w:color w:val="000000"/>
                <w:sz w:val="20"/>
              </w:rPr>
            </w:pPr>
            <w:r>
              <w:rPr>
                <w:color w:val="000000"/>
                <w:sz w:val="20"/>
              </w:rPr>
              <w:t>–:</w:t>
            </w:r>
          </w:p>
          <w:p w:rsidR="00DF237B" w:rsidRDefault="00DF237B">
            <w:pPr>
              <w:autoSpaceDE w:val="0"/>
              <w:autoSpaceDN w:val="0"/>
              <w:adjustRightInd w:val="0"/>
              <w:rPr>
                <w:color w:val="000000"/>
                <w:sz w:val="20"/>
              </w:rPr>
            </w:pPr>
            <w:r>
              <w:rPr>
                <w:color w:val="000000"/>
                <w:sz w:val="20"/>
              </w:rPr>
              <w:t>0:</w:t>
            </w:r>
          </w:p>
        </w:tc>
        <w:tc>
          <w:tcPr>
            <w:tcW w:w="4422" w:type="dxa"/>
            <w:gridSpan w:val="3"/>
            <w:tcBorders>
              <w:top w:val="single" w:sz="8" w:space="0" w:color="000000"/>
              <w:left w:val="nil"/>
              <w:bottom w:val="single" w:sz="8" w:space="0" w:color="000000"/>
              <w:right w:val="single" w:sz="8" w:space="0" w:color="000000"/>
            </w:tcBorders>
            <w:tcMar>
              <w:top w:w="79" w:type="dxa"/>
              <w:left w:w="79" w:type="dxa"/>
              <w:bottom w:w="79" w:type="dxa"/>
              <w:right w:w="79" w:type="dxa"/>
            </w:tcMar>
          </w:tcPr>
          <w:p w:rsidR="00DF237B" w:rsidRDefault="00DF237B">
            <w:pPr>
              <w:autoSpaceDE w:val="0"/>
              <w:autoSpaceDN w:val="0"/>
              <w:adjustRightInd w:val="0"/>
              <w:rPr>
                <w:color w:val="000000"/>
                <w:sz w:val="20"/>
              </w:rPr>
            </w:pPr>
            <w:r>
              <w:rPr>
                <w:color w:val="000000"/>
                <w:sz w:val="20"/>
              </w:rPr>
              <w:t>54</w:t>
            </w:r>
          </w:p>
          <w:p w:rsidR="00DF237B" w:rsidRDefault="00DF237B">
            <w:pPr>
              <w:autoSpaceDE w:val="0"/>
              <w:autoSpaceDN w:val="0"/>
              <w:adjustRightInd w:val="0"/>
              <w:rPr>
                <w:color w:val="000000"/>
                <w:sz w:val="20"/>
              </w:rPr>
            </w:pPr>
            <w:r>
              <w:rPr>
                <w:color w:val="000000"/>
                <w:sz w:val="20"/>
              </w:rPr>
              <w:t>2</w:t>
            </w:r>
          </w:p>
          <w:p w:rsidR="00DF237B" w:rsidRDefault="00DF237B">
            <w:pPr>
              <w:autoSpaceDE w:val="0"/>
              <w:autoSpaceDN w:val="0"/>
              <w:adjustRightInd w:val="0"/>
              <w:rPr>
                <w:color w:val="000000"/>
                <w:sz w:val="20"/>
              </w:rPr>
            </w:pPr>
            <w:r>
              <w:rPr>
                <w:color w:val="000000"/>
                <w:sz w:val="20"/>
              </w:rPr>
              <w:t>0</w:t>
            </w:r>
          </w:p>
        </w:tc>
      </w:tr>
      <w:tr w:rsidR="00DF237B">
        <w:tc>
          <w:tcPr>
            <w:tcW w:w="3685" w:type="dxa"/>
            <w:tcBorders>
              <w:top w:val="single" w:sz="8" w:space="0" w:color="000000"/>
              <w:left w:val="single" w:sz="8" w:space="0" w:color="000000"/>
              <w:bottom w:val="single" w:sz="8" w:space="0" w:color="000000"/>
              <w:right w:val="single" w:sz="8" w:space="0" w:color="000000"/>
            </w:tcBorders>
            <w:tcMar>
              <w:top w:w="79" w:type="dxa"/>
              <w:left w:w="79" w:type="dxa"/>
              <w:bottom w:w="79" w:type="dxa"/>
              <w:right w:w="79" w:type="dxa"/>
            </w:tcMar>
          </w:tcPr>
          <w:p w:rsidR="00DF237B" w:rsidRDefault="00DF237B">
            <w:pPr>
              <w:autoSpaceDE w:val="0"/>
              <w:autoSpaceDN w:val="0"/>
              <w:adjustRightInd w:val="0"/>
              <w:rPr>
                <w:b/>
                <w:bCs/>
                <w:color w:val="000000"/>
                <w:sz w:val="20"/>
              </w:rPr>
            </w:pPr>
            <w:r>
              <w:rPr>
                <w:b/>
                <w:color w:val="000000"/>
                <w:sz w:val="20"/>
              </w:rPr>
              <w:t>Členové přítomní při konečném hlasování</w:t>
            </w:r>
          </w:p>
        </w:tc>
        <w:tc>
          <w:tcPr>
            <w:tcW w:w="5952" w:type="dxa"/>
            <w:gridSpan w:val="4"/>
            <w:tcBorders>
              <w:top w:val="single" w:sz="8" w:space="0" w:color="000000"/>
              <w:left w:val="nil"/>
              <w:bottom w:val="single" w:sz="8" w:space="0" w:color="000000"/>
              <w:right w:val="single" w:sz="8" w:space="0" w:color="000000"/>
            </w:tcBorders>
            <w:tcMar>
              <w:top w:w="79" w:type="dxa"/>
              <w:left w:w="79" w:type="dxa"/>
              <w:bottom w:w="79" w:type="dxa"/>
              <w:right w:w="79" w:type="dxa"/>
            </w:tcMar>
          </w:tcPr>
          <w:p w:rsidR="00DF237B" w:rsidRDefault="00DF237B">
            <w:pPr>
              <w:autoSpaceDE w:val="0"/>
              <w:autoSpaceDN w:val="0"/>
              <w:adjustRightInd w:val="0"/>
              <w:rPr>
                <w:color w:val="000000"/>
                <w:sz w:val="20"/>
              </w:rPr>
            </w:pPr>
            <w:r>
              <w:rPr>
                <w:color w:val="000000"/>
                <w:sz w:val="20"/>
              </w:rPr>
              <w:t>Magdalena Adamowicz, Abir Al-Sahlani, Katarina Barley, Pietro Bartolo, Theresa Bielowski, Patrick Breyer, Saskia Bricmont, Jorge Buxadé Villalba, Damien Carême, Patricia Chagnon, Lena Düpont, Lucia Ďuriš Nicholsonová, Cornelia Ernst, Nicolaus Fest, Maria Grapini, Sylvie Guillaume, Andrzej Halicki, Evin Incir, Sophia in ‘t Veld, Patryk Jaki, Marina Kaljurand, Assita Kanko, Łukasz Kohut, Moritz Körner, Alice Kuhnke, Jeroen Lenaers, Juan Fernando López Aguilar, Erik Marquardt, Javier Moreno Sánchez, Maite Pagazaurtundúa, Diana Riba i Giner, Isabel Santos, Birgit Sippel, Vincenzo Sofo, Tineke Strik, Jana Toom, Milan Uhrík, Tom Vandendriessche, Elissavet Vozemberg-Vrionidi, Elena Yoncheva, Javier Zarzalejos</w:t>
            </w:r>
          </w:p>
        </w:tc>
      </w:tr>
      <w:tr w:rsidR="00DF237B">
        <w:tc>
          <w:tcPr>
            <w:tcW w:w="3685" w:type="dxa"/>
            <w:tcBorders>
              <w:top w:val="nil"/>
              <w:left w:val="single" w:sz="8" w:space="0" w:color="000000"/>
              <w:bottom w:val="single" w:sz="8" w:space="0" w:color="000000"/>
              <w:right w:val="single" w:sz="8" w:space="0" w:color="000000"/>
            </w:tcBorders>
            <w:tcMar>
              <w:top w:w="79" w:type="dxa"/>
              <w:left w:w="79" w:type="dxa"/>
              <w:bottom w:w="79" w:type="dxa"/>
              <w:right w:w="79" w:type="dxa"/>
            </w:tcMar>
          </w:tcPr>
          <w:p w:rsidR="00DF237B" w:rsidRDefault="00DF237B">
            <w:pPr>
              <w:autoSpaceDE w:val="0"/>
              <w:autoSpaceDN w:val="0"/>
              <w:adjustRightInd w:val="0"/>
              <w:rPr>
                <w:b/>
                <w:bCs/>
                <w:color w:val="000000"/>
                <w:sz w:val="20"/>
              </w:rPr>
            </w:pPr>
            <w:r>
              <w:rPr>
                <w:b/>
                <w:color w:val="000000"/>
                <w:sz w:val="20"/>
              </w:rPr>
              <w:t>Náhradníci přítomní při konečném hlasování</w:t>
            </w:r>
          </w:p>
        </w:tc>
        <w:tc>
          <w:tcPr>
            <w:tcW w:w="5952" w:type="dxa"/>
            <w:gridSpan w:val="4"/>
            <w:tcBorders>
              <w:top w:val="nil"/>
              <w:left w:val="nil"/>
              <w:bottom w:val="single" w:sz="8" w:space="0" w:color="000000"/>
              <w:right w:val="single" w:sz="8" w:space="0" w:color="000000"/>
            </w:tcBorders>
            <w:tcMar>
              <w:top w:w="79" w:type="dxa"/>
              <w:left w:w="79" w:type="dxa"/>
              <w:bottom w:w="79" w:type="dxa"/>
              <w:right w:w="79" w:type="dxa"/>
            </w:tcMar>
          </w:tcPr>
          <w:p w:rsidR="00DF237B" w:rsidRDefault="00DF237B">
            <w:pPr>
              <w:autoSpaceDE w:val="0"/>
              <w:autoSpaceDN w:val="0"/>
              <w:adjustRightInd w:val="0"/>
              <w:rPr>
                <w:color w:val="000000"/>
                <w:sz w:val="20"/>
              </w:rPr>
            </w:pPr>
            <w:r>
              <w:rPr>
                <w:color w:val="000000"/>
                <w:sz w:val="20"/>
              </w:rPr>
              <w:t>Cyrus Engerer, José Gusmão, Beata Kempa, Leopoldo López Gil, Janina Ochojska, Anne-Sophie Pelletier, Bergur Løkke Rasmussen, Róża Thun und Hohenstein, Maria Walsh, Tomáš Zdechovský</w:t>
            </w:r>
          </w:p>
        </w:tc>
      </w:tr>
      <w:tr w:rsidR="00DF237B">
        <w:tc>
          <w:tcPr>
            <w:tcW w:w="3685" w:type="dxa"/>
            <w:tcBorders>
              <w:top w:val="nil"/>
              <w:left w:val="single" w:sz="8" w:space="0" w:color="000000"/>
              <w:bottom w:val="single" w:sz="8" w:space="0" w:color="000000"/>
              <w:right w:val="single" w:sz="8" w:space="0" w:color="000000"/>
            </w:tcBorders>
            <w:tcMar>
              <w:top w:w="79" w:type="dxa"/>
              <w:left w:w="79" w:type="dxa"/>
              <w:bottom w:w="79" w:type="dxa"/>
              <w:right w:w="79" w:type="dxa"/>
            </w:tcMar>
          </w:tcPr>
          <w:p w:rsidR="00DF237B" w:rsidRDefault="00DF237B">
            <w:pPr>
              <w:autoSpaceDE w:val="0"/>
              <w:autoSpaceDN w:val="0"/>
              <w:adjustRightInd w:val="0"/>
              <w:rPr>
                <w:b/>
                <w:bCs/>
                <w:color w:val="000000"/>
                <w:sz w:val="20"/>
              </w:rPr>
            </w:pPr>
            <w:r>
              <w:rPr>
                <w:b/>
                <w:color w:val="000000"/>
                <w:sz w:val="20"/>
              </w:rPr>
              <w:t>Náhradníci (čl. 209 odst. 7) přítomní při konečném hlasování</w:t>
            </w:r>
          </w:p>
        </w:tc>
        <w:tc>
          <w:tcPr>
            <w:tcW w:w="5952" w:type="dxa"/>
            <w:gridSpan w:val="4"/>
            <w:tcBorders>
              <w:top w:val="nil"/>
              <w:left w:val="nil"/>
              <w:bottom w:val="single" w:sz="8" w:space="0" w:color="000000"/>
              <w:right w:val="single" w:sz="8" w:space="0" w:color="000000"/>
            </w:tcBorders>
            <w:tcMar>
              <w:top w:w="79" w:type="dxa"/>
              <w:left w:w="79" w:type="dxa"/>
              <w:bottom w:w="79" w:type="dxa"/>
              <w:right w:w="79" w:type="dxa"/>
            </w:tcMar>
          </w:tcPr>
          <w:p w:rsidR="00DF237B" w:rsidRDefault="00DF237B">
            <w:pPr>
              <w:autoSpaceDE w:val="0"/>
              <w:autoSpaceDN w:val="0"/>
              <w:adjustRightInd w:val="0"/>
              <w:rPr>
                <w:color w:val="000000"/>
                <w:sz w:val="20"/>
              </w:rPr>
            </w:pPr>
            <w:r>
              <w:rPr>
                <w:color w:val="000000"/>
                <w:sz w:val="20"/>
              </w:rPr>
              <w:t>Andrus Ansip, Hildegard Bentele, Maria da Graça Carvalho, Marisa Matias, Caroline Nagtegaal</w:t>
            </w:r>
          </w:p>
        </w:tc>
      </w:tr>
    </w:tbl>
    <w:p w:rsidR="00DF237B" w:rsidRDefault="00DF237B"/>
    <w:bookmarkEnd w:id="0"/>
    <w:p w:rsidR="00583B6A" w:rsidRDefault="00583B6A">
      <w:pPr>
        <w:widowControl/>
      </w:pPr>
      <w:r>
        <w:br w:type="page"/>
      </w:r>
    </w:p>
    <w:p w:rsidR="00583B6A" w:rsidRPr="00500ABC" w:rsidRDefault="00583B6A" w:rsidP="00583B6A">
      <w:pPr>
        <w:jc w:val="center"/>
        <w:outlineLvl w:val="0"/>
        <w:rPr>
          <w:rFonts w:ascii="Arial" w:hAnsi="Arial"/>
          <w:b/>
          <w:caps/>
        </w:rPr>
      </w:pPr>
      <w:bookmarkStart w:id="1" w:name="FootprintPageAD"/>
      <w:r>
        <w:rPr>
          <w:rFonts w:ascii="Arial" w:hAnsi="Arial"/>
          <w:b/>
        </w:rPr>
        <w:t xml:space="preserve">PŘÍLOHA: </w:t>
      </w:r>
      <w:r>
        <w:rPr>
          <w:rFonts w:ascii="Arial" w:hAnsi="Arial"/>
          <w:b/>
          <w:caps/>
        </w:rPr>
        <w:t>SUBJEKTY nebo OSOBY,</w:t>
      </w:r>
    </w:p>
    <w:p w:rsidR="00583B6A" w:rsidRPr="006F453E" w:rsidRDefault="00583B6A" w:rsidP="00583B6A">
      <w:pPr>
        <w:pStyle w:val="PageHeadingNotTOC"/>
        <w:rPr>
          <w:noProof/>
        </w:rPr>
      </w:pPr>
      <w:r>
        <w:rPr>
          <w:caps/>
        </w:rPr>
        <w:t>OD NICHŽ ZPRAVODAJ OBDRŽEL PODNĚTY</w:t>
      </w:r>
    </w:p>
    <w:p w:rsidR="00583B6A" w:rsidRPr="00583B6A" w:rsidRDefault="00583B6A" w:rsidP="00583B6A">
      <w:pPr>
        <w:pStyle w:val="Normal24a"/>
        <w:rPr>
          <w:szCs w:val="24"/>
        </w:rPr>
      </w:pPr>
      <w:r>
        <w:t>Zpravodaj v souladu s přílohou I čl. 8 jednacího řádu prohlašuje, že při vypracovávání stanoviska až do okamžiku jeho přijetí ve výboru obdržel podněty od těchto subjektů nebo osob:</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060"/>
      </w:tblGrid>
      <w:tr w:rsidR="00583B6A" w:rsidRPr="006F453E" w:rsidTr="00DF65BF">
        <w:tc>
          <w:tcPr>
            <w:tcW w:w="9286" w:type="dxa"/>
            <w:shd w:val="clear" w:color="auto" w:fill="auto"/>
          </w:tcPr>
          <w:p w:rsidR="00583B6A" w:rsidRPr="006F453E" w:rsidRDefault="00583B6A" w:rsidP="00DF65BF">
            <w:pPr>
              <w:pStyle w:val="NormalBoldCenter"/>
            </w:pPr>
            <w:r>
              <w:rPr>
                <w:sz w:val="22"/>
              </w:rPr>
              <w:t>Subjekt nebo osoba</w:t>
            </w:r>
          </w:p>
        </w:tc>
      </w:tr>
      <w:tr w:rsidR="00583B6A" w:rsidRPr="006F453E" w:rsidTr="00DF65BF">
        <w:tc>
          <w:tcPr>
            <w:tcW w:w="9286" w:type="dxa"/>
            <w:shd w:val="clear" w:color="auto" w:fill="auto"/>
          </w:tcPr>
          <w:p w:rsidR="00583B6A" w:rsidRPr="006F453E" w:rsidRDefault="00583B6A" w:rsidP="00DF65BF">
            <w:r>
              <w:t>European Union Agency for Law Enforcement (“EUROPOL”)</w:t>
            </w:r>
          </w:p>
        </w:tc>
      </w:tr>
    </w:tbl>
    <w:p w:rsidR="00583B6A" w:rsidRPr="006F453E" w:rsidRDefault="00583B6A" w:rsidP="00583B6A"/>
    <w:p w:rsidR="00583B6A" w:rsidRPr="00583B6A" w:rsidRDefault="00583B6A" w:rsidP="00583B6A">
      <w:pPr>
        <w:rPr>
          <w:szCs w:val="24"/>
        </w:rPr>
      </w:pPr>
      <w:r>
        <w:t>Výše uvedený seznam je sestaven na výhradní odpovědnost zpravodaje.</w:t>
      </w:r>
    </w:p>
    <w:p w:rsidR="00583B6A" w:rsidRPr="006F453E" w:rsidRDefault="00583B6A" w:rsidP="00583B6A">
      <w:pPr>
        <w:widowControl/>
        <w:rPr>
          <w:szCs w:val="24"/>
        </w:rPr>
      </w:pPr>
      <w:r>
        <w:br w:type="page"/>
      </w:r>
    </w:p>
    <w:p w:rsidR="00583B6A" w:rsidRPr="006F453E" w:rsidRDefault="00583B6A" w:rsidP="00583B6A">
      <w:pPr>
        <w:pStyle w:val="PageHeadingNotTOC"/>
      </w:pPr>
      <w:bookmarkStart w:id="2" w:name="RollCallPageAD"/>
      <w:bookmarkEnd w:id="1"/>
      <w:r>
        <w:t xml:space="preserve">JMENOVITÉ KONEČNÉ HLASOVÁNÍ </w:t>
      </w:r>
      <w:r w:rsidR="001303A8">
        <w:br/>
      </w:r>
      <w:r>
        <w:t xml:space="preserve">VE VÝBORU </w:t>
      </w:r>
      <w:bookmarkStart w:id="3" w:name="_GoBack"/>
      <w:bookmarkEnd w:id="3"/>
      <w:r>
        <w:t>POŽÁDANÉM O STANOVISKO</w:t>
      </w:r>
    </w:p>
    <w:tbl>
      <w:tblPr>
        <w:tblW w:w="0" w:type="auto"/>
        <w:tblInd w:w="145" w:type="dxa"/>
        <w:tblBorders>
          <w:top w:val="double" w:sz="2" w:space="0" w:color="000000"/>
          <w:left w:val="double" w:sz="2" w:space="0" w:color="000000"/>
          <w:bottom w:val="double" w:sz="2" w:space="0" w:color="000000"/>
          <w:right w:val="double" w:sz="2" w:space="0" w:color="000000"/>
          <w:insideH w:val="single" w:sz="2" w:space="0" w:color="000000"/>
          <w:insideV w:val="single" w:sz="2" w:space="0" w:color="000000"/>
        </w:tblBorders>
        <w:tblLayout w:type="fixed"/>
        <w:tblCellMar>
          <w:left w:w="145" w:type="dxa"/>
          <w:right w:w="145" w:type="dxa"/>
        </w:tblCellMar>
        <w:tblLook w:val="0000" w:firstRow="0" w:lastRow="0" w:firstColumn="0" w:lastColumn="0" w:noHBand="0" w:noVBand="0"/>
      </w:tblPr>
      <w:tblGrid>
        <w:gridCol w:w="1701"/>
        <w:gridCol w:w="7371"/>
      </w:tblGrid>
      <w:tr w:rsidR="00583B6A" w:rsidRPr="006F453E" w:rsidTr="00DF65BF">
        <w:trPr>
          <w:cantSplit/>
        </w:trPr>
        <w:tc>
          <w:tcPr>
            <w:tcW w:w="1701" w:type="dxa"/>
            <w:shd w:val="pct10" w:color="000000" w:fill="FFFFFF"/>
            <w:vAlign w:val="center"/>
          </w:tcPr>
          <w:p w:rsidR="00583B6A" w:rsidRPr="006F453E" w:rsidRDefault="00583B6A" w:rsidP="00DF65BF">
            <w:pPr>
              <w:pStyle w:val="RollCallVotes"/>
            </w:pPr>
            <w:r>
              <w:t>54</w:t>
            </w:r>
          </w:p>
        </w:tc>
        <w:tc>
          <w:tcPr>
            <w:tcW w:w="7371" w:type="dxa"/>
            <w:shd w:val="pct10" w:color="000000" w:fill="FFFFFF"/>
          </w:tcPr>
          <w:p w:rsidR="00583B6A" w:rsidRPr="006F453E" w:rsidRDefault="00583B6A" w:rsidP="00DF65BF">
            <w:pPr>
              <w:pStyle w:val="RollCallSymbols14pt"/>
            </w:pPr>
            <w:r>
              <w:t>+</w:t>
            </w:r>
          </w:p>
        </w:tc>
      </w:tr>
      <w:tr w:rsidR="00583B6A" w:rsidRPr="006F453E" w:rsidTr="00DF65BF">
        <w:trPr>
          <w:cantSplit/>
        </w:trPr>
        <w:tc>
          <w:tcPr>
            <w:tcW w:w="1701" w:type="dxa"/>
            <w:shd w:val="clear" w:color="auto" w:fill="FFFFFF"/>
          </w:tcPr>
          <w:p w:rsidR="00583B6A" w:rsidRPr="006F453E" w:rsidRDefault="00583B6A" w:rsidP="00DF65BF">
            <w:pPr>
              <w:pStyle w:val="RollCallTable"/>
            </w:pPr>
            <w:r>
              <w:t>ECR</w:t>
            </w:r>
          </w:p>
        </w:tc>
        <w:tc>
          <w:tcPr>
            <w:tcW w:w="7371" w:type="dxa"/>
            <w:shd w:val="clear" w:color="auto" w:fill="FFFFFF"/>
          </w:tcPr>
          <w:p w:rsidR="00583B6A" w:rsidRPr="006F453E" w:rsidRDefault="00583B6A" w:rsidP="00DF65BF">
            <w:pPr>
              <w:pStyle w:val="RollCallTable"/>
            </w:pPr>
            <w:r>
              <w:t>Jorge Buxadé Villalba, Patryk Jaki, Assita Kanko, Beata Kempa, Vincenzo Sofo</w:t>
            </w:r>
          </w:p>
        </w:tc>
      </w:tr>
      <w:tr w:rsidR="00583B6A" w:rsidRPr="006F453E" w:rsidTr="00DF65BF">
        <w:trPr>
          <w:cantSplit/>
        </w:trPr>
        <w:tc>
          <w:tcPr>
            <w:tcW w:w="1701" w:type="dxa"/>
            <w:shd w:val="clear" w:color="auto" w:fill="FFFFFF"/>
          </w:tcPr>
          <w:p w:rsidR="00583B6A" w:rsidRPr="006F453E" w:rsidRDefault="00583B6A" w:rsidP="00DF65BF">
            <w:pPr>
              <w:pStyle w:val="RollCallTable"/>
            </w:pPr>
            <w:r>
              <w:t>ID</w:t>
            </w:r>
          </w:p>
        </w:tc>
        <w:tc>
          <w:tcPr>
            <w:tcW w:w="7371" w:type="dxa"/>
            <w:shd w:val="clear" w:color="auto" w:fill="FFFFFF"/>
          </w:tcPr>
          <w:p w:rsidR="00583B6A" w:rsidRPr="006F453E" w:rsidRDefault="00583B6A" w:rsidP="00DF65BF">
            <w:pPr>
              <w:pStyle w:val="RollCallTable"/>
            </w:pPr>
            <w:r>
              <w:t>Nicolaus Fest, Tom Vandendriessche</w:t>
            </w:r>
          </w:p>
        </w:tc>
      </w:tr>
      <w:tr w:rsidR="00583B6A" w:rsidRPr="006F453E" w:rsidTr="00DF65BF">
        <w:trPr>
          <w:cantSplit/>
        </w:trPr>
        <w:tc>
          <w:tcPr>
            <w:tcW w:w="1701" w:type="dxa"/>
            <w:shd w:val="clear" w:color="auto" w:fill="FFFFFF"/>
          </w:tcPr>
          <w:p w:rsidR="00583B6A" w:rsidRPr="006F453E" w:rsidRDefault="00583B6A" w:rsidP="00DF65BF">
            <w:pPr>
              <w:pStyle w:val="RollCallTable"/>
            </w:pPr>
            <w:r>
              <w:t>PPE</w:t>
            </w:r>
          </w:p>
        </w:tc>
        <w:tc>
          <w:tcPr>
            <w:tcW w:w="7371" w:type="dxa"/>
            <w:shd w:val="clear" w:color="auto" w:fill="FFFFFF"/>
          </w:tcPr>
          <w:p w:rsidR="00583B6A" w:rsidRPr="006F453E" w:rsidRDefault="00583B6A" w:rsidP="00DF65BF">
            <w:pPr>
              <w:pStyle w:val="RollCallTable"/>
            </w:pPr>
            <w:r>
              <w:t>Magdalena Adamowicz, Hildegard Bentele, Maria da Graça Carvalho, Lena Düpont, Andrzej Halicki, Jeroen Lenaers, Leopoldo López Gil, Janina Ochojska, Elissavet Vozemberg-Vrionidi, Maria Walsh, Javier Zarzalejos, Tomáš Zdechovský</w:t>
            </w:r>
          </w:p>
        </w:tc>
      </w:tr>
      <w:tr w:rsidR="00583B6A" w:rsidRPr="006F453E" w:rsidTr="00DF65BF">
        <w:trPr>
          <w:cantSplit/>
        </w:trPr>
        <w:tc>
          <w:tcPr>
            <w:tcW w:w="1701" w:type="dxa"/>
            <w:shd w:val="clear" w:color="auto" w:fill="FFFFFF"/>
          </w:tcPr>
          <w:p w:rsidR="00583B6A" w:rsidRPr="006F453E" w:rsidRDefault="00583B6A" w:rsidP="00DF65BF">
            <w:pPr>
              <w:pStyle w:val="RollCallTable"/>
            </w:pPr>
            <w:r>
              <w:t>Renew</w:t>
            </w:r>
          </w:p>
        </w:tc>
        <w:tc>
          <w:tcPr>
            <w:tcW w:w="7371" w:type="dxa"/>
            <w:shd w:val="clear" w:color="auto" w:fill="FFFFFF"/>
          </w:tcPr>
          <w:p w:rsidR="00583B6A" w:rsidRPr="006F453E" w:rsidRDefault="00583B6A" w:rsidP="00DF65BF">
            <w:pPr>
              <w:pStyle w:val="RollCallTable"/>
            </w:pPr>
            <w:r>
              <w:t>Abir Al-Sahlani, Andrus Ansip, Lucia Ďuriš Nicholsonová, Sophia in 't Veld, Moritz Körner, Caroline Nagtegaal, Maite Pagazaurtundúa, Bergur Løkke Rasmussen, Róża Thun und Hohenstein, Jana Toom</w:t>
            </w:r>
          </w:p>
        </w:tc>
      </w:tr>
      <w:tr w:rsidR="00583B6A" w:rsidRPr="006F453E" w:rsidTr="00DF65BF">
        <w:trPr>
          <w:cantSplit/>
        </w:trPr>
        <w:tc>
          <w:tcPr>
            <w:tcW w:w="1701" w:type="dxa"/>
            <w:shd w:val="clear" w:color="auto" w:fill="FFFFFF"/>
          </w:tcPr>
          <w:p w:rsidR="00583B6A" w:rsidRPr="006F453E" w:rsidRDefault="00583B6A" w:rsidP="00DF65BF">
            <w:pPr>
              <w:pStyle w:val="RollCallTable"/>
            </w:pPr>
            <w:r>
              <w:t>S&amp;D</w:t>
            </w:r>
          </w:p>
        </w:tc>
        <w:tc>
          <w:tcPr>
            <w:tcW w:w="7371" w:type="dxa"/>
            <w:shd w:val="clear" w:color="auto" w:fill="FFFFFF"/>
          </w:tcPr>
          <w:p w:rsidR="00583B6A" w:rsidRPr="006F453E" w:rsidRDefault="00583B6A" w:rsidP="00DF65BF">
            <w:pPr>
              <w:pStyle w:val="RollCallTable"/>
            </w:pPr>
            <w:r>
              <w:t>Katarina Barley, Pietro Bartolo, Theresa Bielowski, Cyrus Engerer, Maria Grapini, Sylvie Guillaume, Evin Incir, Marina Kaljurand, Łukasz Kohut, Juan Fernando López Aguilar, Javier Moreno Sánchez, Isabel Santos, Birgit Sippel, Elena Yoncheva</w:t>
            </w:r>
          </w:p>
        </w:tc>
      </w:tr>
      <w:tr w:rsidR="00583B6A" w:rsidRPr="006F453E" w:rsidTr="00DF65BF">
        <w:trPr>
          <w:cantSplit/>
        </w:trPr>
        <w:tc>
          <w:tcPr>
            <w:tcW w:w="1701" w:type="dxa"/>
            <w:shd w:val="clear" w:color="auto" w:fill="FFFFFF"/>
          </w:tcPr>
          <w:p w:rsidR="00583B6A" w:rsidRPr="006F453E" w:rsidRDefault="00583B6A" w:rsidP="00DF65BF">
            <w:pPr>
              <w:pStyle w:val="RollCallTable"/>
            </w:pPr>
            <w:r>
              <w:t>The Left</w:t>
            </w:r>
          </w:p>
        </w:tc>
        <w:tc>
          <w:tcPr>
            <w:tcW w:w="7371" w:type="dxa"/>
            <w:shd w:val="clear" w:color="auto" w:fill="FFFFFF"/>
          </w:tcPr>
          <w:p w:rsidR="00583B6A" w:rsidRPr="006F453E" w:rsidRDefault="00583B6A" w:rsidP="00DF65BF">
            <w:pPr>
              <w:pStyle w:val="RollCallTable"/>
            </w:pPr>
            <w:r>
              <w:t>Cornelia Ernst, José Gusmão, Marisa Matias, Anne-Sophie Pelletier</w:t>
            </w:r>
          </w:p>
        </w:tc>
      </w:tr>
      <w:tr w:rsidR="00583B6A" w:rsidRPr="006F453E" w:rsidTr="00DF65BF">
        <w:trPr>
          <w:cantSplit/>
        </w:trPr>
        <w:tc>
          <w:tcPr>
            <w:tcW w:w="1701" w:type="dxa"/>
            <w:shd w:val="clear" w:color="auto" w:fill="FFFFFF"/>
          </w:tcPr>
          <w:p w:rsidR="00583B6A" w:rsidRPr="006F453E" w:rsidRDefault="00583B6A" w:rsidP="00DF65BF">
            <w:pPr>
              <w:pStyle w:val="RollCallTable"/>
            </w:pPr>
            <w:r>
              <w:t>Verts/ALE</w:t>
            </w:r>
          </w:p>
        </w:tc>
        <w:tc>
          <w:tcPr>
            <w:tcW w:w="7371" w:type="dxa"/>
            <w:shd w:val="clear" w:color="auto" w:fill="FFFFFF"/>
          </w:tcPr>
          <w:p w:rsidR="00583B6A" w:rsidRPr="006F453E" w:rsidRDefault="00583B6A" w:rsidP="00DF65BF">
            <w:pPr>
              <w:pStyle w:val="RollCallTable"/>
            </w:pPr>
            <w:r>
              <w:t>Patrick Breyer, Saskia Bricmont, Damien Carême, Alice Kuhnke, Erik Marquardt, Diana Riba i Giner, Tineke Strik</w:t>
            </w:r>
          </w:p>
        </w:tc>
      </w:tr>
    </w:tbl>
    <w:p w:rsidR="00583B6A" w:rsidRPr="006F453E" w:rsidRDefault="00583B6A" w:rsidP="00583B6A"/>
    <w:tbl>
      <w:tblPr>
        <w:tblW w:w="0" w:type="auto"/>
        <w:tblInd w:w="145" w:type="dxa"/>
        <w:tblBorders>
          <w:top w:val="double" w:sz="2" w:space="0" w:color="000000"/>
          <w:left w:val="double" w:sz="2" w:space="0" w:color="000000"/>
          <w:bottom w:val="double" w:sz="2" w:space="0" w:color="000000"/>
          <w:right w:val="double" w:sz="2" w:space="0" w:color="000000"/>
          <w:insideH w:val="single" w:sz="2" w:space="0" w:color="000000"/>
          <w:insideV w:val="single" w:sz="2" w:space="0" w:color="000000"/>
        </w:tblBorders>
        <w:tblLayout w:type="fixed"/>
        <w:tblCellMar>
          <w:left w:w="145" w:type="dxa"/>
          <w:right w:w="145" w:type="dxa"/>
        </w:tblCellMar>
        <w:tblLook w:val="0000" w:firstRow="0" w:lastRow="0" w:firstColumn="0" w:lastColumn="0" w:noHBand="0" w:noVBand="0"/>
      </w:tblPr>
      <w:tblGrid>
        <w:gridCol w:w="1701"/>
        <w:gridCol w:w="7371"/>
      </w:tblGrid>
      <w:tr w:rsidR="00583B6A" w:rsidRPr="006F453E" w:rsidTr="00DF65BF">
        <w:trPr>
          <w:cantSplit/>
        </w:trPr>
        <w:tc>
          <w:tcPr>
            <w:tcW w:w="1701" w:type="dxa"/>
            <w:shd w:val="pct10" w:color="000000" w:fill="FFFFFF"/>
            <w:vAlign w:val="center"/>
          </w:tcPr>
          <w:p w:rsidR="00583B6A" w:rsidRPr="006F453E" w:rsidRDefault="00583B6A" w:rsidP="00DF65BF">
            <w:pPr>
              <w:pStyle w:val="RollCallVotes"/>
            </w:pPr>
            <w:r>
              <w:t>2</w:t>
            </w:r>
          </w:p>
        </w:tc>
        <w:tc>
          <w:tcPr>
            <w:tcW w:w="7371" w:type="dxa"/>
            <w:shd w:val="pct10" w:color="000000" w:fill="FFFFFF"/>
          </w:tcPr>
          <w:p w:rsidR="00583B6A" w:rsidRPr="006F453E" w:rsidRDefault="00583B6A" w:rsidP="00DF65BF">
            <w:pPr>
              <w:pStyle w:val="RollCallSymbols14pt"/>
            </w:pPr>
            <w:r>
              <w:t>-</w:t>
            </w:r>
          </w:p>
        </w:tc>
      </w:tr>
      <w:tr w:rsidR="00583B6A" w:rsidRPr="006F453E" w:rsidTr="00DF65BF">
        <w:trPr>
          <w:cantSplit/>
        </w:trPr>
        <w:tc>
          <w:tcPr>
            <w:tcW w:w="1701" w:type="dxa"/>
            <w:shd w:val="clear" w:color="auto" w:fill="FFFFFF"/>
          </w:tcPr>
          <w:p w:rsidR="00583B6A" w:rsidRPr="006F453E" w:rsidRDefault="00583B6A" w:rsidP="00DF65BF">
            <w:pPr>
              <w:pStyle w:val="RollCallTable"/>
            </w:pPr>
            <w:r>
              <w:t>ID</w:t>
            </w:r>
          </w:p>
        </w:tc>
        <w:tc>
          <w:tcPr>
            <w:tcW w:w="7371" w:type="dxa"/>
            <w:shd w:val="clear" w:color="auto" w:fill="FFFFFF"/>
          </w:tcPr>
          <w:p w:rsidR="00583B6A" w:rsidRPr="006F453E" w:rsidRDefault="00583B6A" w:rsidP="00DF65BF">
            <w:pPr>
              <w:pStyle w:val="RollCallTable"/>
            </w:pPr>
            <w:r>
              <w:t>Patricia Chagnon</w:t>
            </w:r>
          </w:p>
        </w:tc>
      </w:tr>
      <w:tr w:rsidR="00583B6A" w:rsidRPr="006F453E" w:rsidTr="00DF65BF">
        <w:trPr>
          <w:cantSplit/>
        </w:trPr>
        <w:tc>
          <w:tcPr>
            <w:tcW w:w="1701" w:type="dxa"/>
            <w:shd w:val="clear" w:color="auto" w:fill="FFFFFF"/>
          </w:tcPr>
          <w:p w:rsidR="00583B6A" w:rsidRPr="006F453E" w:rsidRDefault="00583B6A" w:rsidP="00DF65BF">
            <w:pPr>
              <w:pStyle w:val="RollCallTable"/>
            </w:pPr>
            <w:r>
              <w:t>NI</w:t>
            </w:r>
          </w:p>
        </w:tc>
        <w:tc>
          <w:tcPr>
            <w:tcW w:w="7371" w:type="dxa"/>
            <w:shd w:val="clear" w:color="auto" w:fill="FFFFFF"/>
          </w:tcPr>
          <w:p w:rsidR="00583B6A" w:rsidRPr="006F453E" w:rsidRDefault="00583B6A" w:rsidP="00DF65BF">
            <w:pPr>
              <w:pStyle w:val="RollCallTable"/>
            </w:pPr>
            <w:r>
              <w:t>Milan Uhrík</w:t>
            </w:r>
          </w:p>
        </w:tc>
      </w:tr>
    </w:tbl>
    <w:p w:rsidR="00583B6A" w:rsidRPr="006F453E" w:rsidRDefault="00583B6A" w:rsidP="00583B6A"/>
    <w:tbl>
      <w:tblPr>
        <w:tblW w:w="0" w:type="auto"/>
        <w:tblInd w:w="145" w:type="dxa"/>
        <w:tblBorders>
          <w:top w:val="double" w:sz="2" w:space="0" w:color="000000"/>
          <w:left w:val="double" w:sz="2" w:space="0" w:color="000000"/>
          <w:bottom w:val="double" w:sz="2" w:space="0" w:color="000000"/>
          <w:right w:val="double" w:sz="2" w:space="0" w:color="000000"/>
          <w:insideH w:val="single" w:sz="2" w:space="0" w:color="000000"/>
          <w:insideV w:val="single" w:sz="2" w:space="0" w:color="000000"/>
        </w:tblBorders>
        <w:tblLayout w:type="fixed"/>
        <w:tblCellMar>
          <w:left w:w="145" w:type="dxa"/>
          <w:right w:w="145" w:type="dxa"/>
        </w:tblCellMar>
        <w:tblLook w:val="0000" w:firstRow="0" w:lastRow="0" w:firstColumn="0" w:lastColumn="0" w:noHBand="0" w:noVBand="0"/>
      </w:tblPr>
      <w:tblGrid>
        <w:gridCol w:w="1701"/>
        <w:gridCol w:w="7371"/>
      </w:tblGrid>
      <w:tr w:rsidR="00583B6A" w:rsidRPr="006F453E" w:rsidTr="00DF65BF">
        <w:trPr>
          <w:cantSplit/>
        </w:trPr>
        <w:tc>
          <w:tcPr>
            <w:tcW w:w="1701" w:type="dxa"/>
            <w:shd w:val="pct10" w:color="000000" w:fill="FFFFFF"/>
            <w:vAlign w:val="center"/>
          </w:tcPr>
          <w:p w:rsidR="00583B6A" w:rsidRPr="006F453E" w:rsidRDefault="00583B6A" w:rsidP="00DF65BF">
            <w:pPr>
              <w:pStyle w:val="RollCallVotes"/>
            </w:pPr>
            <w:r>
              <w:t>0</w:t>
            </w:r>
          </w:p>
        </w:tc>
        <w:tc>
          <w:tcPr>
            <w:tcW w:w="7371" w:type="dxa"/>
            <w:shd w:val="pct10" w:color="000000" w:fill="FFFFFF"/>
          </w:tcPr>
          <w:p w:rsidR="00583B6A" w:rsidRPr="006F453E" w:rsidRDefault="00583B6A" w:rsidP="00DF65BF">
            <w:pPr>
              <w:pStyle w:val="RollCallSymbols14pt"/>
            </w:pPr>
            <w:r>
              <w:t>0</w:t>
            </w:r>
          </w:p>
        </w:tc>
      </w:tr>
      <w:tr w:rsidR="00583B6A" w:rsidRPr="006F453E" w:rsidTr="00DF65BF">
        <w:trPr>
          <w:cantSplit/>
        </w:trPr>
        <w:tc>
          <w:tcPr>
            <w:tcW w:w="1701" w:type="dxa"/>
            <w:shd w:val="clear" w:color="auto" w:fill="FFFFFF"/>
          </w:tcPr>
          <w:p w:rsidR="00583B6A" w:rsidRPr="006F453E" w:rsidRDefault="00583B6A" w:rsidP="00DF65BF">
            <w:pPr>
              <w:pStyle w:val="RollCallTable"/>
            </w:pPr>
          </w:p>
        </w:tc>
        <w:tc>
          <w:tcPr>
            <w:tcW w:w="7371" w:type="dxa"/>
            <w:shd w:val="clear" w:color="auto" w:fill="FFFFFF"/>
          </w:tcPr>
          <w:p w:rsidR="00583B6A" w:rsidRPr="006F453E" w:rsidRDefault="00583B6A" w:rsidP="00DF65BF">
            <w:pPr>
              <w:pStyle w:val="RollCallTable"/>
            </w:pPr>
          </w:p>
        </w:tc>
      </w:tr>
    </w:tbl>
    <w:p w:rsidR="00583B6A" w:rsidRPr="006F453E" w:rsidRDefault="00583B6A" w:rsidP="00583B6A">
      <w:pPr>
        <w:pStyle w:val="Normal12a"/>
      </w:pPr>
    </w:p>
    <w:p w:rsidR="00583B6A" w:rsidRPr="006F453E" w:rsidRDefault="00583B6A" w:rsidP="00583B6A">
      <w:r>
        <w:t>Význam zkratek:</w:t>
      </w:r>
    </w:p>
    <w:p w:rsidR="00583B6A" w:rsidRPr="006F453E" w:rsidRDefault="00583B6A" w:rsidP="00583B6A">
      <w:pPr>
        <w:pStyle w:val="RollCallTabs"/>
      </w:pPr>
      <w:r>
        <w:t>+</w:t>
      </w:r>
      <w:r>
        <w:tab/>
        <w:t>:</w:t>
      </w:r>
      <w:r>
        <w:tab/>
        <w:t>pro</w:t>
      </w:r>
    </w:p>
    <w:p w:rsidR="00583B6A" w:rsidRPr="006F453E" w:rsidRDefault="00583B6A" w:rsidP="00583B6A">
      <w:pPr>
        <w:pStyle w:val="RollCallTabs"/>
      </w:pPr>
      <w:r>
        <w:t>-</w:t>
      </w:r>
      <w:r>
        <w:tab/>
        <w:t>:</w:t>
      </w:r>
      <w:r>
        <w:tab/>
        <w:t>proti</w:t>
      </w:r>
    </w:p>
    <w:p w:rsidR="00583B6A" w:rsidRPr="006F453E" w:rsidRDefault="00583B6A" w:rsidP="00583B6A">
      <w:pPr>
        <w:pStyle w:val="RollCallTabs"/>
      </w:pPr>
      <w:r>
        <w:t>0</w:t>
      </w:r>
      <w:r>
        <w:tab/>
        <w:t>:</w:t>
      </w:r>
      <w:r>
        <w:tab/>
        <w:t>zdrželi se</w:t>
      </w:r>
    </w:p>
    <w:p w:rsidR="00583B6A" w:rsidRPr="006F453E" w:rsidRDefault="00583B6A" w:rsidP="00583B6A"/>
    <w:bookmarkEnd w:id="2"/>
    <w:p w:rsidR="002E6F98" w:rsidRPr="00DF237B" w:rsidRDefault="002E6F98" w:rsidP="00DF237B"/>
    <w:sectPr w:rsidR="002E6F98" w:rsidRPr="00DF237B" w:rsidSect="0052544E">
      <w:headerReference w:type="even" r:id="rId8"/>
      <w:headerReference w:type="default" r:id="rId9"/>
      <w:footerReference w:type="even" r:id="rId10"/>
      <w:footerReference w:type="default" r:id="rId11"/>
      <w:headerReference w:type="first" r:id="rId12"/>
      <w:footerReference w:type="first" r:id="rId13"/>
      <w:footnotePr>
        <w:numRestart w:val="eachSect"/>
      </w:footnotePr>
      <w:endnotePr>
        <w:numFmt w:val="decimal"/>
      </w:endnotePr>
      <w:pgSz w:w="11906" w:h="16838" w:code="9"/>
      <w:pgMar w:top="1134" w:right="1418" w:bottom="1418" w:left="1418" w:header="1134" w:footer="567" w:gutter="0"/>
      <w:cols w:space="720"/>
      <w:noEndnote/>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2F7D6C" w:rsidRPr="00D45CB8" w:rsidRDefault="002F7D6C">
      <w:r w:rsidRPr="00D45CB8">
        <w:separator/>
      </w:r>
    </w:p>
  </w:endnote>
  <w:endnote w:type="continuationSeparator" w:id="0">
    <w:p w:rsidR="002F7D6C" w:rsidRPr="00D45CB8" w:rsidRDefault="002F7D6C">
      <w:r w:rsidRPr="00D45CB8">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sans-serif">
    <w:panose1 w:val="00000000000000000000"/>
    <w:charset w:val="00"/>
    <w:family w:val="auto"/>
    <w:notTrueType/>
    <w:pitch w:val="default"/>
    <w:sig w:usb0="00000003" w:usb1="00000000" w:usb2="00000000" w:usb3="00000000" w:csb0="00000001"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 w:name="Yu Mincho">
    <w:altName w:val="游明朝"/>
    <w:panose1 w:val="00000000000000000000"/>
    <w:charset w:val="80"/>
    <w:family w:val="roman"/>
    <w:notTrueType/>
    <w:pitch w:val="default"/>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F237B" w:rsidRDefault="00DF237B" w:rsidP="00DF237B">
    <w:pPr>
      <w:pStyle w:val="EPFooter"/>
    </w:pPr>
    <w:r>
      <w:t>PE</w:t>
    </w:r>
    <w:r w:rsidRPr="00DF237B">
      <w:rPr>
        <w:rStyle w:val="HideTWBExt"/>
      </w:rPr>
      <w:t>&lt;NoPE&gt;</w:t>
    </w:r>
    <w:r>
      <w:t>756.200</w:t>
    </w:r>
    <w:r w:rsidRPr="00DF237B">
      <w:rPr>
        <w:rStyle w:val="HideTWBExt"/>
      </w:rPr>
      <w:t>&lt;/NoPE&gt;&lt;Version&gt;</w:t>
    </w:r>
    <w:r>
      <w:t>v02-00</w:t>
    </w:r>
    <w:r w:rsidRPr="00DF237B">
      <w:rPr>
        <w:rStyle w:val="HideTWBExt"/>
      </w:rPr>
      <w:t>&lt;/Version&gt;</w:t>
    </w:r>
    <w:r>
      <w:tab/>
    </w:r>
    <w:r>
      <w:fldChar w:fldCharType="begin"/>
    </w:r>
    <w:r>
      <w:instrText xml:space="preserve"> PAGE  \* MERGEFORMAT </w:instrText>
    </w:r>
    <w:r>
      <w:fldChar w:fldCharType="separate"/>
    </w:r>
    <w:r w:rsidR="001303A8">
      <w:rPr>
        <w:noProof/>
      </w:rPr>
      <w:t>8</w:t>
    </w:r>
    <w:r>
      <w:fldChar w:fldCharType="end"/>
    </w:r>
    <w:r>
      <w:t>/</w:t>
    </w:r>
    <w:r w:rsidR="001303A8">
      <w:fldChar w:fldCharType="begin"/>
    </w:r>
    <w:r w:rsidR="001303A8">
      <w:instrText xml:space="preserve"> NUMPAGES  \* MERGEFORMAT </w:instrText>
    </w:r>
    <w:r w:rsidR="001303A8">
      <w:fldChar w:fldCharType="separate"/>
    </w:r>
    <w:r w:rsidR="001303A8">
      <w:rPr>
        <w:noProof/>
      </w:rPr>
      <w:t>8</w:t>
    </w:r>
    <w:r w:rsidR="001303A8">
      <w:rPr>
        <w:noProof/>
      </w:rPr>
      <w:fldChar w:fldCharType="end"/>
    </w:r>
    <w:r>
      <w:tab/>
    </w:r>
    <w:r w:rsidRPr="00DF237B">
      <w:rPr>
        <w:rStyle w:val="HideTWBExt"/>
      </w:rPr>
      <w:t>&lt;PathFdR&gt;</w:t>
    </w:r>
    <w:r>
      <w:t>AD\1294535CS.docx</w:t>
    </w:r>
    <w:r w:rsidRPr="00DF237B">
      <w:rPr>
        <w:rStyle w:val="HideTWBExt"/>
      </w:rPr>
      <w:t>&lt;/PathFdR&gt;</w:t>
    </w:r>
  </w:p>
  <w:p w:rsidR="002E2F2E" w:rsidRPr="00D45CB8" w:rsidRDefault="00DF237B" w:rsidP="00DF237B">
    <w:pPr>
      <w:pStyle w:val="EPFooter2"/>
    </w:pPr>
    <w:r>
      <w:t>CS</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F237B" w:rsidRDefault="00DF237B" w:rsidP="00DF237B">
    <w:pPr>
      <w:pStyle w:val="EPFooter"/>
    </w:pPr>
    <w:r w:rsidRPr="00DF237B">
      <w:rPr>
        <w:rStyle w:val="HideTWBExt"/>
      </w:rPr>
      <w:t>&lt;PathFdR&gt;</w:t>
    </w:r>
    <w:r>
      <w:t>AD\1294535CS.docx</w:t>
    </w:r>
    <w:r w:rsidRPr="00DF237B">
      <w:rPr>
        <w:rStyle w:val="HideTWBExt"/>
      </w:rPr>
      <w:t>&lt;/PathFdR&gt;</w:t>
    </w:r>
    <w:r>
      <w:tab/>
    </w:r>
    <w:r>
      <w:fldChar w:fldCharType="begin"/>
    </w:r>
    <w:r>
      <w:instrText xml:space="preserve"> PAGE  \* MERGEFORMAT </w:instrText>
    </w:r>
    <w:r>
      <w:fldChar w:fldCharType="separate"/>
    </w:r>
    <w:r w:rsidR="001303A8">
      <w:rPr>
        <w:noProof/>
      </w:rPr>
      <w:t>7</w:t>
    </w:r>
    <w:r>
      <w:fldChar w:fldCharType="end"/>
    </w:r>
    <w:r>
      <w:t>/</w:t>
    </w:r>
    <w:r w:rsidR="001303A8">
      <w:fldChar w:fldCharType="begin"/>
    </w:r>
    <w:r w:rsidR="001303A8">
      <w:instrText xml:space="preserve"> NUMPAGES  \* MERGEFORMAT </w:instrText>
    </w:r>
    <w:r w:rsidR="001303A8">
      <w:fldChar w:fldCharType="separate"/>
    </w:r>
    <w:r w:rsidR="001303A8">
      <w:rPr>
        <w:noProof/>
      </w:rPr>
      <w:t>8</w:t>
    </w:r>
    <w:r w:rsidR="001303A8">
      <w:rPr>
        <w:noProof/>
      </w:rPr>
      <w:fldChar w:fldCharType="end"/>
    </w:r>
    <w:r>
      <w:tab/>
      <w:t>PE</w:t>
    </w:r>
    <w:r w:rsidRPr="00DF237B">
      <w:rPr>
        <w:rStyle w:val="HideTWBExt"/>
      </w:rPr>
      <w:t>&lt;NoPE&gt;</w:t>
    </w:r>
    <w:r>
      <w:t>756.200</w:t>
    </w:r>
    <w:r w:rsidRPr="00DF237B">
      <w:rPr>
        <w:rStyle w:val="HideTWBExt"/>
      </w:rPr>
      <w:t>&lt;/NoPE&gt;&lt;Version&gt;</w:t>
    </w:r>
    <w:r>
      <w:t>v02-00</w:t>
    </w:r>
    <w:r w:rsidRPr="00DF237B">
      <w:rPr>
        <w:rStyle w:val="HideTWBExt"/>
      </w:rPr>
      <w:t>&lt;/Version&gt;</w:t>
    </w:r>
  </w:p>
  <w:p w:rsidR="002E2F2E" w:rsidRPr="00D45CB8" w:rsidRDefault="00DF237B" w:rsidP="00DF237B">
    <w:pPr>
      <w:pStyle w:val="EPFooter2"/>
    </w:pPr>
    <w:r>
      <w:tab/>
    </w:r>
    <w:r>
      <w:tab/>
      <w:t>CS</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F237B" w:rsidRDefault="00DF237B" w:rsidP="00DF237B">
    <w:pPr>
      <w:pStyle w:val="EPFooter"/>
    </w:pPr>
    <w:r w:rsidRPr="00DF237B">
      <w:rPr>
        <w:rStyle w:val="HideTWBExt"/>
      </w:rPr>
      <w:t>&lt;PathFdR&gt;</w:t>
    </w:r>
    <w:r>
      <w:t>AD\1294535CS.docx</w:t>
    </w:r>
    <w:r w:rsidRPr="00DF237B">
      <w:rPr>
        <w:rStyle w:val="HideTWBExt"/>
      </w:rPr>
      <w:t>&lt;/PathFdR&gt;</w:t>
    </w:r>
    <w:r>
      <w:tab/>
    </w:r>
    <w:r>
      <w:tab/>
      <w:t>PE</w:t>
    </w:r>
    <w:r w:rsidRPr="00DF237B">
      <w:rPr>
        <w:rStyle w:val="HideTWBExt"/>
      </w:rPr>
      <w:t>&lt;NoPE&gt;</w:t>
    </w:r>
    <w:r>
      <w:t>756.200</w:t>
    </w:r>
    <w:r w:rsidRPr="00DF237B">
      <w:rPr>
        <w:rStyle w:val="HideTWBExt"/>
      </w:rPr>
      <w:t>&lt;/NoPE&gt;&lt;Version&gt;</w:t>
    </w:r>
    <w:r>
      <w:t>v02-00</w:t>
    </w:r>
    <w:r w:rsidRPr="00DF237B">
      <w:rPr>
        <w:rStyle w:val="HideTWBExt"/>
      </w:rPr>
      <w:t>&lt;/Version&gt;</w:t>
    </w:r>
  </w:p>
  <w:p w:rsidR="002E2F2E" w:rsidRPr="00D45CB8" w:rsidRDefault="00DF237B" w:rsidP="00DF237B">
    <w:pPr>
      <w:pStyle w:val="EPFooter2"/>
    </w:pPr>
    <w:r>
      <w:t>CS</w:t>
    </w:r>
    <w:r>
      <w:tab/>
    </w:r>
    <w:r w:rsidRPr="00DF237B">
      <w:rPr>
        <w:b w:val="0"/>
        <w:i/>
        <w:color w:val="C0C0C0"/>
        <w:sz w:val="22"/>
      </w:rPr>
      <w:t>Jednotná v rozmanitosti</w:t>
    </w:r>
    <w:r>
      <w:tab/>
      <w:t>CS</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2F7D6C" w:rsidRPr="00D45CB8" w:rsidRDefault="002F7D6C">
      <w:r w:rsidRPr="00D45CB8">
        <w:separator/>
      </w:r>
    </w:p>
  </w:footnote>
  <w:footnote w:type="continuationSeparator" w:id="0">
    <w:p w:rsidR="002F7D6C" w:rsidRPr="00D45CB8" w:rsidRDefault="002F7D6C">
      <w:r w:rsidRPr="00D45CB8">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45CB8" w:rsidRDefault="00D45CB8">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45CB8" w:rsidRDefault="00D45CB8">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45CB8" w:rsidRDefault="00D45CB8">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1"/>
  <w:mirrorMargin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evenAndOddHeader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hdrShapeDefaults>
    <o:shapedefaults v:ext="edit" spidmax="14337"/>
  </w:hdrShapeDefault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AMDOCDECMNU" w:val=" 1"/>
    <w:docVar w:name="CJMNU" w:val="1"/>
    <w:docVar w:name="CODEMNU" w:val=" 7"/>
    <w:docVar w:name="COM2KEY" w:val="BUDG"/>
    <w:docVar w:name="COMKEY" w:val="LIBE"/>
    <w:docVar w:name="LastEditedSection" w:val=" 1"/>
    <w:docVar w:name="RepeatBlock-AmendCS"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0000000000000000000}Calibri Light;}_x000d__x000a_{\fbimajor\f31503\fbidi \fswiss\fcharset0\fprq2 DokChampa{\*\falt Leelawadee UI};}{\flominor\f31504\fbidi \froman\fcharset0\fprq2{\*\panose 02020603050405020304}Times New Roman;}_x000d__x000a_{\fdbminor\f31505\fbidi \froman\fcharset0\fprq2{\*\panose 02020603050405020304}Times New Roman;}{\fhiminor\f31506\fbidi \fswiss\fcharset0\fprq2{\*\panose 00000000000000000000}Calibri;}_x000d__x000a_{\fbiminor\f31507\fbidi \fswiss\fcharset0\fprq2 DokChampa{\*\falt Leelawadee UI};}{\f332\fbidi \froman\fcharset238\fprq2 Times New Roman CE;}{\f333\fbidi \froman\fcharset204\fprq2 Times New Roman Cyr;}_x000d__x000a_{\f335\fbidi \froman\fcharset161\fprq2 Times New Roman Greek;}{\f336\fbidi \froman\fcharset162\fprq2 Times New Roman Tur;}{\f337\fbidi \froman\fcharset177\fprq2 Times New Roman (Hebrew);}{\f338\fbidi \froman\fcharset178\fprq2 Times New Roman (Arabic);}_x000d__x000a_{\f339\fbidi \froman\fcharset186\fprq2 Times New Roman Baltic;}{\f340\fbidi \froman\fcharset163\fprq2 Times New Roman (Vietnamese);}{\f342\fbidi \fswiss\fcharset238\fprq2 Arial CE;}{\f343\fbidi \fswiss\fcharset204\fprq2 Arial Cyr;}_x000d__x000a_{\f345\fbidi \fswiss\fcharset161\fprq2 Arial Greek;}{\f346\fbidi \fswiss\fcharset162\fprq2 Arial Tur;}{\f347\fbidi \fswiss\fcharset177\fprq2 Arial (Hebrew);}{\f348\fbidi \fswiss\fcharset178\fprq2 Arial (Arabic);}_x000d__x000a_{\f349\fbidi \fswiss\fcharset186\fprq2 Arial Baltic;}{\f350\fbidi \fswiss\fcharset163\fprq2 Arial (Vietnamese);}{\f672\fbidi \froman\fcharset238\fprq2 Cambria Math CE;}{\f673\fbidi \froman\fcharset204\fprq2 Cambria Math Cyr;}_x000d__x000a_{\f675\fbidi \froman\fcharset161\fprq2 Cambria Math Greek;}{\f676\fbidi \froman\fcharset162\fprq2 Cambria Math Tur;}{\f679\fbidi \froman\fcharset186\fprq2 Cambria Math Baltic;}{\f680\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47\fbidi \fswiss\fcharset222\fprq2 DokChampa (Thai){\*\falt Leelawadee UI};}{\flominor\f31548\fbidi \froman\fcharset238\fprq2 Times New Roman CE;}{\flominor\f31549\fbidi \froman\fcharset204\fprq2 Times New Roman Cyr;}_x000d__x000a_{\flominor\f31551\fbidi \froman\fcharset161\fprq2 Times New Roman Greek;}{\flominor\f31552\fbidi \froman\fcharset162\fprq2 Times New Roman Tur;}{\flominor\f31553\fbidi \froman\fcharset177\fprq2 Times New Roman (Hebrew);}_x000d__x000a_{\flominor\f31554\fbidi \froman\fcharset178\fprq2 Times New Roman (Arabic);}{\flominor\f31555\fbidi \froman\fcharset186\fprq2 Times New Roman Baltic;}{\flominor\f31556\fbidi \froman\fcharset163\fprq2 Times New Roman (Vietnamese);}_x000d__x000a_{\fdbminor\f31558\fbidi \froman\fcharset238\fprq2 Times New Roman CE;}{\fdbminor\f31559\fbidi \froman\fcharset204\fprq2 Times New Roman Cyr;}{\fdbminor\f31561\fbidi \froman\fcharset161\fprq2 Times New Roman Greek;}_x000d__x000a_{\fdbminor\f31562\fbidi \froman\fcharset162\fprq2 Times New Roman Tur;}{\fdbminor\f31563\fbidi \froman\fcharset177\fprq2 Times New Roman (Hebrew);}{\fdbminor\f31564\fbidi \froman\fcharset178\fprq2 Times New Roman (Arabic);}_x000d__x000a_{\fdbminor\f31565\fbidi \froman\fcharset186\fprq2 Times New Roman Baltic;}{\fdbminor\f31566\fbidi \froman\fcharset163\fprq2 Times New Roman (Vietnamese);}{\fhiminor\f31568\fbidi \fswiss\fcharset238\fprq2 Calibri CE;}_x000d__x000a_{\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7\fbidi \fswiss\fcharset222\fprq2 DokChampa (Thai){\*\falt Leelawadee UI};}}{\colortbl;\red0\green0\blue0;\red0\green0\blue255;\red0\green255\blue255;_x000d__x000a_\red0\green255\blue0;\red255\green0\blue255;\red255\green0\blue0;\red255\green255\blue0;\red255\green255\blue255;\red0\green0\blue128;\red0\green128\blue128;\red0\green128\blue0;\red128\green0\blue128;\red128\green0\blue0;\red128\green128\blue0;_x000d__x000a_\red128\green128\blue128;\red192\green192\blue192;\caccentone\ctint255\cshade191\red46\green116\blue181;}{\*\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styrsid7823322 Normal;}{_x000d__x000a_\s1\ql \li0\ri0\sb240\keep\keepn\widctlpar\wrapdefault\aspalpha\aspnum\faauto\outlinelevel0\adjustright\rin0\lin0\itap0 \rtlch\fcs1 \af31503\afs32\alang1025 \ltrch\fcs0 _x000d__x000a_\fs32\cf17\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7\loch\f31502\hich\af31502\dbch\af31501 \sbasedon10 \slink1 \slocked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cs17 \additive \v\f1\fs20\cf15 \spriority0 \styrsid1598873 HideTWBInt;}{_x000d__x000a_\s18\ql \fi-567\li567\ri0\sa240\nowidctlpar\wrapdefault\aspalpha\aspnum\faauto\adjustright\rin0\lin567\itap0 \rtlch\fcs1 \af0\afs20\alang1025 \ltrch\fcs0 \fs24\lang1029\langfe2057\cgrid\langnp1029\langfenp2057 _x000d__x000a_\sbasedon0 \snext18 \spriority0 \styrsid1598873 NormalHanging12a;}}{\*\rsidtbl \rsid24658\rsid223860\rsid735077\rsid1598873\rsid1718133\rsid2892074\rsid3565327\rsid4666813\rsid4997690\rsid6641733\rsid7823322\rsid9636012\rsid10377208\rsid11215221_x000d__x000a_\rsid11549030\rsid12154954\rsid14382809\rsid14424199\rsid15204470\rsid15285974\rsid15950462\rsid16324206\rsid16662270}{\mmathPr\mmathFont34\mbrkBin0\mbrkBinSub0\msmallFrac0\mdispDef1\mlMargin0\mrMargin0\mdefJc1\mwrapIndent1440\mintLim0\mnaryLim1}{\info_x000d__x000a_{\author VIDROVA Kamila}{\operator VIDROVA Kamila}{\creatim\yr2024\mo1\dy29\hr15\min11}{\revtim\yr2024\mo1\dy29\hr15\min11}{\version1}{\edmins0}{\nofpages1}{\nofwords1}{\nofchars11}{\nofcharsws11}{\vern109}}{\*\xmlnstbl {\xmlns1 http://schemas.microsoft.c_x000d__x000a_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4\viewscale100\pgbrdrhead\pgbrdrfoot\splytwnine\ftnlytwnine\htmautsp\nolnhtadjtbl\useltbaln\alntblind\lytcalctblwd\lyttblrtgr\lnbrkrule\nobrkwrptbl\snaptogridincell\allowfieldendsel\wrppunct_x000d__x000a_\asianbrkrule\nojkernpunct\rsidroot1598873\newtblstyruls\nogrowautofit\usenormstyforlist\noindnmbrts\felnbrelev\nocxsptable\indrlsweleven\noafcnsttbl\afelev\utinl\hwelev\spltpgpar\notcvasp\notbrkcnstfrctbl\notvatxbx\krnprsnet\cachedcolbal _x000d__x000a_\nouicompat \fet0{\*\wgrffmtfilter 013f}\nofeaturethrottle1\ilfomacatclnup0{\*\template C:\\Users\\kvidrova\\AppData\\Local\\Temp\\Blank1.dotx}{\*\ftnsep \ltrpar \pard\plain \ltrpar_x000d__x000a_\ql \li0\ri0\widctlpar\wrapdefault\aspalpha\aspnum\faauto\adjustright\rin0\lin0\itap0 \rtlch\fcs1 \af0\afs20\alang1025 \ltrch\fcs0 \fs24\lang2057\langfe2057\cgrid\langnp2057\langfenp2057 {\rtlch\fcs1 \af0 \ltrch\fcs0 \insrsid4997690 \chftnsep _x000d__x000a_\par }}{\*\ftnsepc \ltrpar \pard\plain \ltrpar\ql \li0\ri0\widctlpar\wrapdefault\aspalpha\aspnum\faauto\adjustright\rin0\lin0\itap0 \rtlch\fcs1 \af0\afs20\alang1025 \ltrch\fcs0 \fs24\lang2057\langfe2057\cgrid\langnp2057\langfenp2057 {\rtlch\fcs1 \af0 _x000d__x000a_\ltrch\fcs0 \insrsid4997690 \chftnsepc _x000d__x000a_\par }}{\*\aftnsep \ltrpar \pard\plain \ltrpar\ql \li0\ri0\widctlpar\wrapdefault\aspalpha\aspnum\faauto\adjustright\rin0\lin0\itap0 \rtlch\fcs1 \af0\afs20\alang1025 \ltrch\fcs0 \fs24\lang2057\langfe2057\cgrid\langnp2057\langfenp2057 {\rtlch\fcs1 \af0 _x000d__x000a_\ltrch\fcs0 \insrsid4997690 \chftnsep _x000d__x000a_\par }}{\*\aftnsepc \ltrpar \pard\plain \ltrpar\ql \li0\ri0\widctlpar\wrapdefault\aspalpha\aspnum\faauto\adjustright\rin0\lin0\itap0 \rtlch\fcs1 \af0\afs20\alang1025 \ltrch\fcs0 \fs24\lang2057\langfe2057\cgrid\langnp2057\langfenp2057 {\rtlch\fcs1 \af0 _x000d__x000a_\ltrch\fcs0 \insrsid4997690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_x000d__x000a_\s18\ql \fi-567\li567\ri0\sa240\nowidctlpar\wrapdefault\aspalpha\aspnum\faauto\adjustright\rin0\lin567\itap0\pararsid1598873 \rtlch\fcs1 \af0\afs20\alang1025 \ltrch\fcs0 \fs24\lang1029\langfe2057\cgrid\langnp1029\langfenp2057 {\rtlch\fcs1 \af0 _x000d__x000a_\ltrch\fcs0 \insrsid1598873\charrsid3112300 {\*\bkmkstart restart}#}{\rtlch\fcs1 \af1 \ltrch\fcs0 \cs17\v\f1\fs20\cf15\insrsid1598873\charrsid3112300 NRMSG}{\rtlch\fcs1 \af0 \ltrch\fcs0 \insrsid1598873\charrsid3112300 #\tab ##}{\rtlch\fcs1 \af0 _x000d__x000a_\ltrch\fcs0 \insrsid1598873\charrsid16324206 {\*\bkmkend restart}_x000d__x000a_\par }\pard\plain \ltrpar\ql \li0\ri0\widctlpar\wrapdefault\aspalpha\aspnum\faauto\adjustright\rin0\lin0\itap0\pararsid16324206 \rtlch\fcs1 \af0\afs20\alang1025 \ltrch\fcs0 \fs24\lang2057\langfe2057\cgrid\langnp2057\langfenp2057 {\rtlch\fcs1 \af0 \ltrch\fcs0 _x000d__x000a_\insrsid24658\charrsid16324206 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f093_x000d__x000a_2c0ebd52da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Brut" w:val="{\rtf1\adeflang1025\ansi\ansicpg1252\uc1\adeff0\deff0\stshfdbch0\stshfloch0\stshfhich0\stshfbi0\deflang2057\deflangfe2057\themelang2057\themelangfe0\themelangcs1108{\fonttbl{\f0\fbidi \froman\fcharset0\fprq2{\*\panose 02020603050405020304}Times New Roman;}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0000000000000000000}Calibri Light;}_x000d__x000a_{\fbimajor\f31503\fbidi \fswiss\fcharset0\fprq2 DokChampa{\*\falt Leelawadee UI};}{\flominor\f31504\fbidi \froman\fcharset0\fprq2{\*\panose 02020603050405020304}Times New Roman;}_x000d__x000a_{\fdbminor\f31505\fbidi \froman\fcharset0\fprq2{\*\panose 02020603050405020304}Times New Roman;}{\fhiminor\f31506\fbidi \fswiss\fcharset0\fprq2{\*\panose 00000000000000000000}Calibri;}_x000d__x000a_{\fbiminor\f31507\fbidi \fswiss\fcharset0\fprq2 DokChampa{\*\falt Leelawadee UI};}{\f332\fbidi \froman\fcharset238\fprq2 Times New Roman CE;}{\f333\fbidi \froman\fcharset204\fprq2 Times New Roman Cyr;}_x000d__x000a_{\f335\fbidi \froman\fcharset161\fprq2 Times New Roman Greek;}{\f336\fbidi \froman\fcharset162\fprq2 Times New Roman Tur;}{\f337\fbidi \froman\fcharset177\fprq2 Times New Roman (Hebrew);}{\f338\fbidi \froman\fcharset178\fprq2 Times New Roman (Arabic);}_x000d__x000a_{\f339\fbidi \froman\fcharset186\fprq2 Times New Roman Baltic;}{\f340\fbidi \froman\fcharset163\fprq2 Times New Roman (Vietnamese);}{\f672\fbidi \froman\fcharset238\fprq2 Cambria Math CE;}{\f673\fbidi \froman\fcharset204\fprq2 Cambria Math Cyr;}_x000d__x000a_{\f675\fbidi \froman\fcharset161\fprq2 Cambria Math Greek;}{\f676\fbidi \froman\fcharset162\fprq2 Cambria Math Tur;}{\f679\fbidi \froman\fcharset186\fprq2 Cambria Math Baltic;}{\f680\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47\fbidi \fswiss\fcharset222\fprq2 DokChampa (Thai){\*\falt Leelawadee UI};}{\flominor\f31548\fbidi \froman\fcharset238\fprq2 Times New Roman CE;}{\flominor\f31549\fbidi \froman\fcharset204\fprq2 Times New Roman Cyr;}_x000d__x000a_{\flominor\f31551\fbidi \froman\fcharset161\fprq2 Times New Roman Greek;}{\flominor\f31552\fbidi \froman\fcharset162\fprq2 Times New Roman Tur;}{\flominor\f31553\fbidi \froman\fcharset177\fprq2 Times New Roman (Hebrew);}_x000d__x000a_{\flominor\f31554\fbidi \froman\fcharset178\fprq2 Times New Roman (Arabic);}{\flominor\f31555\fbidi \froman\fcharset186\fprq2 Times New Roman Baltic;}{\flominor\f31556\fbidi \froman\fcharset163\fprq2 Times New Roman (Vietnamese);}_x000d__x000a_{\fdbminor\f31558\fbidi \froman\fcharset238\fprq2 Times New Roman CE;}{\fdbminor\f31559\fbidi \froman\fcharset204\fprq2 Times New Roman Cyr;}{\fdbminor\f31561\fbidi \froman\fcharset161\fprq2 Times New Roman Greek;}_x000d__x000a_{\fdbminor\f31562\fbidi \froman\fcharset162\fprq2 Times New Roman Tur;}{\fdbminor\f31563\fbidi \froman\fcharset177\fprq2 Times New Roman (Hebrew);}{\fdbminor\f31564\fbidi \froman\fcharset178\fprq2 Times New Roman (Arabic);}_x000d__x000a_{\fdbminor\f31565\fbidi \froman\fcharset186\fprq2 Times New Roman Baltic;}{\fdbminor\f31566\fbidi \froman\fcharset163\fprq2 Times New Roman (Vietnamese);}{\fhiminor\f31568\fbidi \fswiss\fcharset238\fprq2 Calibri CE;}_x000d__x000a_{\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7\fbidi \fswiss\fcharset222\fprq2 DokChampa (Thai){\*\falt Leelawadee UI};}}{\colortbl;\red0\green0\blue0;\red0\green0\blue255;\red0\green255\blue255;_x000d__x000a_\red0\green255\blue0;\red255\green0\blue255;\red255\green0\blue0;\red255\green255\blue0;\red255\green255\blue255;\red0\green0\blue128;\red0\green128\blue128;\red0\green128\blue0;\red128\green0\blue128;\red128\green0\blue0;\red128\green128\blue0;_x000d__x000a_\red128\green128\blue128;\red192\green192\blue192;\caccentone\ctint255\cshade191\red46\green116\blue181;}{\*\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styrsid7823322 Normal;}{_x000d__x000a_\s1\ql \li0\ri0\sb240\keep\keepn\widctlpar\wrapdefault\aspalpha\aspnum\faauto\outlinelevel0\adjustright\rin0\lin0\itap0 \rtlch\fcs1 \af31503\afs32\alang1025 \ltrch\fcs0 _x000d__x000a_\fs32\cf17\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7\loch\f31502\hich\af31502\dbch\af31501 \sbasedon10 \slink1 \slocked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s17\ql \fi-567\li567\ri0\sa240\nowidctlpar\wrapdefault\aspalpha\aspnum\faauto\adjustright\rin0\lin567\itap0 \rtlch\fcs1 \af0\afs20\alang1025 \ltrch\fcs0 _x000d__x000a_\fs24\lang2057\langfe2057\cgrid\langnp2057\langfenp2057 \sbasedon0 \snext17 \spriority0 \styrsid3687357 NormalHanging12a;}}{\*\rsidtbl \rsid24658\rsid223860\rsid735077\rsid1718133\rsid2892074\rsid3565327\rsid3687357\rsid4666813\rsid6641733\rsid7823322_x000d__x000a_\rsid9636012\rsid10377208\rsid11215221\rsid11549030\rsid12154954\rsid12204465\rsid14382809\rsid14424199\rsid15204470\rsid15285974\rsid15950462\rsid16324206\rsid16662270}{\mmathPr\mmathFont34\mbrkBin0\mbrkBinSub0\msmallFrac0\mdispDef1\mlMargin0\mrMargin0_x000d__x000a_\mdefJc1\mwrapIndent1440\mintLim0\mnaryLim1}{\info{\author VIDROVA Kamila}{\operator VIDROVA Kamila}{\creatim\yr2024\mo1\dy29\hr15\min11}{\revtim\yr2024\mo1\dy29\hr15\min11}{\version1}{\edmins0}{\nofpages1}{\nofwords5}{\nofchars30}{\nofcharsws34}_x000d__x000a_{\vern109}}{\*\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4\viewscale100\pgbrdrhead\pgbrdrfoot\splytwnine\ftnlytwnine\htmautsp\nolnhtadjtbl\useltbaln\alntblind\lytcalctblwd\lyttblrtgr\lnbrkrule\nobrkwrptbl\snaptogridincell\allowfieldendsel\wrppunct_x000d__x000a_\asianbrkrule\nojkernpunct\rsidroot3687357\newtblstyruls\nogrowautofit\usenormstyforlist\noindnmbrts\felnbrelev\nocxsptable\indrlsweleven\noafcnsttbl\afelev\utinl\hwelev\spltpgpar\notcvasp\notbrkcnstfrctbl\notvatxbx\krnprsnet\cachedcolbal _x000d__x000a_\nouicompat \fet0{\*\wgrffmtfilter 013f}\nofeaturethrottle1\ilfomacatclnup0{\*\template C:\\Users\\kvidrova\\AppData\\Local\\Temp\\Blank1.dotx}{\*\ftnsep \ltrpar \pard\plain \ltrpar_x000d__x000a_\ql \li0\ri0\widctlpar\wrapdefault\aspalpha\aspnum\faauto\adjustright\rin0\lin0\itap0 \rtlch\fcs1 \af0\afs20\alang1025 \ltrch\fcs0 \fs24\lang2057\langfe2057\cgrid\langnp2057\langfenp2057 {\rtlch\fcs1 \af0 \ltrch\fcs0 \insrsid12204465 \chftnsep _x000d__x000a_\par }}{\*\ftnsepc \ltrpar \pard\plain \ltrpar\ql \li0\ri0\widctlpar\wrapdefault\aspalpha\aspnum\faauto\adjustright\rin0\lin0\itap0 \rtlch\fcs1 \af0\afs20\alang1025 \ltrch\fcs0 \fs24\lang2057\langfe2057\cgrid\langnp2057\langfenp2057 {\rtlch\fcs1 \af0 _x000d__x000a_\ltrch\fcs0 \insrsid12204465 \chftnsepc _x000d__x000a_\par }}{\*\aftnsep \ltrpar \pard\plain \ltrpar\ql \li0\ri0\widctlpar\wrapdefault\aspalpha\aspnum\faauto\adjustright\rin0\lin0\itap0 \rtlch\fcs1 \af0\afs20\alang1025 \ltrch\fcs0 \fs24\lang2057\langfe2057\cgrid\langnp2057\langfenp2057 {\rtlch\fcs1 \af0 _x000d__x000a_\ltrch\fcs0 \insrsid12204465 \chftnsep _x000d__x000a_\par }}{\*\aftnsepc \ltrpar \pard\plain \ltrpar\ql \li0\ri0\widctlpar\wrapdefault\aspalpha\aspnum\faauto\adjustright\rin0\lin0\itap0 \rtlch\fcs1 \af0\afs20\alang1025 \ltrch\fcs0 \fs24\lang2057\langfe2057\cgrid\langnp2057\langfenp2057 {\rtlch\fcs1 \af0 _x000d__x000a_\ltrch\fcs0 \insrsid12204465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_x000d__x000a_\s17\ql \fi-567\li567\ri0\sa240\nowidctlpar\wrapdefault\aspalpha\aspnum\faauto\adjustright\rin0\lin567\itap0\pararsid3687357 \rtlch\fcs1 \af0\afs20\alang1025 \ltrch\fcs0 \fs24\lang2057\langfe2057\cgrid\langnp2057\langfenp2057 {\rtlch\fcs1 \af0 _x000d__x000a_\ltrch\fcs0 \insrsid3687357\charrsid1525456 {\*\bkmkstart restart}[ZSUGGESTIONNR]\tab [ZSUGGESTIONTEXT]}{\rtlch\fcs1 \af0 \ltrch\fcs0 \insrsid3687357\charrsid16324206 {\*\bkmkend restart}_x000d__x000a_\par }\pard\plain \ltrpar\ql \li0\ri0\widctlpar\wrapdefault\aspalpha\aspnum\faauto\adjustright\rin0\lin0\itap0\pararsid16324206 \rtlch\fcs1 \af0\afs20\alang1025 \ltrch\fcs0 \fs24\lang2057\langfe2057\cgrid\langnp2057\langfenp2057 {\rtlch\fcs1 \af0 \ltrch\fcs0 _x000d__x000a_\insrsid24658\charrsid16324206 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607e_x000d__x000a_6610bd52da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strDocTypeID" w:val="PA_NonLeg"/>
    <w:docVar w:name="strSubDir" w:val="1294"/>
    <w:docVar w:name="TXTLANGUE" w:val="CS"/>
    <w:docVar w:name="TXTLANGUEMIN" w:val="cs"/>
    <w:docVar w:name="TXTNRPE" w:val="756.200"/>
    <w:docVar w:name="TXTNRPROC" w:val="2023/2169"/>
    <w:docVar w:name="TXTPEorAP" w:val="PE"/>
    <w:docVar w:name="TXTROUTE" w:val="AD\1294535CS.docx"/>
    <w:docVar w:name="TXTVERSION" w:val="02-00"/>
  </w:docVars>
  <w:rsids>
    <w:rsidRoot w:val="002F7D6C"/>
    <w:rsid w:val="000E7EBF"/>
    <w:rsid w:val="00124F60"/>
    <w:rsid w:val="001303A8"/>
    <w:rsid w:val="00135121"/>
    <w:rsid w:val="00140BE6"/>
    <w:rsid w:val="00147F4E"/>
    <w:rsid w:val="0016635E"/>
    <w:rsid w:val="001746D0"/>
    <w:rsid w:val="001B7393"/>
    <w:rsid w:val="001D2ED9"/>
    <w:rsid w:val="001F21C1"/>
    <w:rsid w:val="002D28A7"/>
    <w:rsid w:val="002E2F2E"/>
    <w:rsid w:val="002E6F98"/>
    <w:rsid w:val="002F7D6C"/>
    <w:rsid w:val="00325BCB"/>
    <w:rsid w:val="00331944"/>
    <w:rsid w:val="00332AD9"/>
    <w:rsid w:val="00345621"/>
    <w:rsid w:val="00347D2C"/>
    <w:rsid w:val="0037356F"/>
    <w:rsid w:val="00390EB2"/>
    <w:rsid w:val="00396A0E"/>
    <w:rsid w:val="003E2402"/>
    <w:rsid w:val="004C28FB"/>
    <w:rsid w:val="004C44C0"/>
    <w:rsid w:val="0052544E"/>
    <w:rsid w:val="00583B6A"/>
    <w:rsid w:val="005940C3"/>
    <w:rsid w:val="00594C48"/>
    <w:rsid w:val="005B2F11"/>
    <w:rsid w:val="005C0BDF"/>
    <w:rsid w:val="005D60C6"/>
    <w:rsid w:val="006102E7"/>
    <w:rsid w:val="00640C1B"/>
    <w:rsid w:val="00657AFB"/>
    <w:rsid w:val="006D5BF7"/>
    <w:rsid w:val="00801575"/>
    <w:rsid w:val="008313E7"/>
    <w:rsid w:val="00854CAC"/>
    <w:rsid w:val="008A32C5"/>
    <w:rsid w:val="008C6203"/>
    <w:rsid w:val="008D61E7"/>
    <w:rsid w:val="008F7002"/>
    <w:rsid w:val="00957F3E"/>
    <w:rsid w:val="0099493F"/>
    <w:rsid w:val="00A16BEA"/>
    <w:rsid w:val="00A312B3"/>
    <w:rsid w:val="00A72C35"/>
    <w:rsid w:val="00AE180F"/>
    <w:rsid w:val="00B21D7D"/>
    <w:rsid w:val="00B362F7"/>
    <w:rsid w:val="00B5456B"/>
    <w:rsid w:val="00B74B53"/>
    <w:rsid w:val="00BC26E4"/>
    <w:rsid w:val="00BD1EAA"/>
    <w:rsid w:val="00C52739"/>
    <w:rsid w:val="00C827FF"/>
    <w:rsid w:val="00CD34AC"/>
    <w:rsid w:val="00D45CB8"/>
    <w:rsid w:val="00D75A88"/>
    <w:rsid w:val="00DE19FF"/>
    <w:rsid w:val="00DF237B"/>
    <w:rsid w:val="00E81BA6"/>
    <w:rsid w:val="00E856D2"/>
    <w:rsid w:val="00E929A7"/>
    <w:rsid w:val="00FB0126"/>
    <w:rsid w:val="00FC6460"/>
    <w:rsid w:val="00FD0D14"/>
    <w:rsid w:val="00FD4BC4"/>
    <w:rsid w:val="00FF4B5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4337"/>
    <o:shapelayout v:ext="edit">
      <o:idmap v:ext="edit" data="1"/>
    </o:shapelayout>
  </w:shapeDefaults>
  <w:decimalSymbol w:val=","/>
  <w:listSeparator w:val=";"/>
  <w14:docId w14:val="669FB15B"/>
  <w15:chartTrackingRefBased/>
  <w15:docId w15:val="{7092967F-006F-4E65-9782-9FDA1CD9D35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cs-CZ"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uiPriority="9" w:qFormat="1"/>
    <w:lsdException w:name="heading 8" w:qFormat="1"/>
    <w:lsdException w:name="heading 9" w:qFormat="1"/>
    <w:lsdException w:name="footer" w:semiHidden="1"/>
    <w:lsdException w:name="caption" w:semiHidden="1" w:unhideWhenUsed="1" w:qFormat="1"/>
    <w:lsdException w:name="Title" w:qFormat="1"/>
    <w:lsdException w:name="Subtitle" w:qFormat="1"/>
    <w:lsdException w:name="Strong" w:qFormat="1"/>
    <w:lsdException w:name="Emphasis" w:qFormat="1"/>
    <w:lsdException w:name="HTML Keyboar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331944"/>
    <w:pPr>
      <w:widowControl w:val="0"/>
    </w:pPr>
    <w:rPr>
      <w:sz w:val="24"/>
    </w:rPr>
  </w:style>
  <w:style w:type="paragraph" w:styleId="Heading1">
    <w:name w:val="heading 1"/>
    <w:basedOn w:val="Normal"/>
    <w:next w:val="Normal"/>
    <w:semiHidden/>
    <w:qFormat/>
    <w:pPr>
      <w:keepNext/>
      <w:spacing w:before="240" w:after="60"/>
      <w:outlineLvl w:val="0"/>
    </w:pPr>
    <w:rPr>
      <w:rFonts w:ascii="Arial" w:hAnsi="Arial"/>
      <w:b/>
      <w:kern w:val="28"/>
      <w:sz w:val="28"/>
    </w:rPr>
  </w:style>
  <w:style w:type="paragraph" w:styleId="Heading2">
    <w:name w:val="heading 2"/>
    <w:basedOn w:val="Normal"/>
    <w:next w:val="Normal"/>
    <w:semiHidden/>
    <w:qFormat/>
    <w:pPr>
      <w:keepNext/>
      <w:spacing w:before="240" w:after="60"/>
      <w:outlineLvl w:val="1"/>
    </w:pPr>
    <w:rPr>
      <w:rFonts w:ascii="Arial" w:hAnsi="Arial"/>
      <w:b/>
      <w:i/>
    </w:rPr>
  </w:style>
  <w:style w:type="paragraph" w:styleId="Heading3">
    <w:name w:val="heading 3"/>
    <w:basedOn w:val="Normal"/>
    <w:next w:val="Normal"/>
    <w:semiHidden/>
    <w:qFormat/>
    <w:pPr>
      <w:keepNext/>
      <w:spacing w:before="240" w:after="60"/>
      <w:outlineLvl w:val="2"/>
    </w:pPr>
    <w:rPr>
      <w:rFonts w:ascii="Arial" w:hAnsi="Arial"/>
    </w:rPr>
  </w:style>
  <w:style w:type="paragraph" w:styleId="Heading4">
    <w:name w:val="heading 4"/>
    <w:basedOn w:val="Normal"/>
    <w:next w:val="Normal"/>
    <w:semiHidden/>
    <w:qFormat/>
    <w:pPr>
      <w:keepNext/>
      <w:spacing w:before="240" w:after="60"/>
      <w:outlineLvl w:val="3"/>
    </w:pPr>
    <w:rPr>
      <w:rFonts w:ascii="Arial" w:hAnsi="Arial"/>
      <w:b/>
    </w:rPr>
  </w:style>
  <w:style w:type="paragraph" w:styleId="Heading5">
    <w:name w:val="heading 5"/>
    <w:basedOn w:val="Normal"/>
    <w:next w:val="Normal"/>
    <w:semiHidden/>
    <w:qFormat/>
    <w:pPr>
      <w:spacing w:before="240" w:after="60"/>
      <w:outlineLvl w:val="4"/>
    </w:pPr>
    <w:rPr>
      <w:sz w:val="22"/>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link w:val="Heading7Char"/>
    <w:uiPriority w:val="9"/>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basedOn w:val="DefaultParagraphFont"/>
    <w:rPr>
      <w:rFonts w:ascii="Arial" w:hAnsi="Arial" w:cs="Arial"/>
      <w:noProof/>
      <w:vanish/>
      <w:color w:val="000080"/>
      <w:sz w:val="20"/>
    </w:rPr>
  </w:style>
  <w:style w:type="paragraph" w:customStyle="1" w:styleId="EPFooter2">
    <w:name w:val="EPFooter2"/>
    <w:basedOn w:val="Normal"/>
    <w:next w:val="Normal"/>
    <w:pPr>
      <w:widowControl/>
      <w:tabs>
        <w:tab w:val="center" w:pos="4535"/>
        <w:tab w:val="right" w:pos="9921"/>
      </w:tabs>
      <w:ind w:left="-850" w:right="-850"/>
    </w:pPr>
    <w:rPr>
      <w:rFonts w:ascii="Arial" w:hAnsi="Arial" w:cs="Arial"/>
      <w:b/>
      <w:sz w:val="48"/>
    </w:rPr>
  </w:style>
  <w:style w:type="paragraph" w:customStyle="1" w:styleId="Normal12a">
    <w:name w:val="Normal12a"/>
    <w:basedOn w:val="Normal"/>
    <w:pPr>
      <w:spacing w:after="240"/>
    </w:pPr>
  </w:style>
  <w:style w:type="paragraph" w:styleId="TOC1">
    <w:name w:val="toc 1"/>
    <w:basedOn w:val="Normal12a"/>
    <w:next w:val="Normal12a"/>
    <w:autoRedefine/>
    <w:semiHidden/>
  </w:style>
  <w:style w:type="paragraph" w:styleId="TOCHeading">
    <w:name w:val="TOC Heading"/>
    <w:basedOn w:val="Normal"/>
    <w:next w:val="Normal"/>
    <w:semiHidden/>
    <w:qFormat/>
    <w:pPr>
      <w:keepNext/>
      <w:spacing w:before="240" w:after="240"/>
      <w:jc w:val="center"/>
    </w:pPr>
    <w:rPr>
      <w:rFonts w:ascii="Arial" w:hAnsi="Arial"/>
      <w:b/>
    </w:rPr>
  </w:style>
  <w:style w:type="character" w:customStyle="1" w:styleId="HideTWBInt">
    <w:name w:val="HideTWBInt"/>
    <w:rPr>
      <w:rFonts w:ascii="Arial" w:hAnsi="Arial" w:cs="Arial"/>
      <w:vanish/>
      <w:color w:val="808080"/>
      <w:sz w:val="20"/>
    </w:rPr>
  </w:style>
  <w:style w:type="paragraph" w:customStyle="1" w:styleId="PageHeadingNotTOC">
    <w:name w:val="PageHeadingNotTOC"/>
    <w:basedOn w:val="Normal"/>
    <w:pPr>
      <w:keepNext/>
      <w:spacing w:after="480"/>
      <w:jc w:val="center"/>
    </w:pPr>
    <w:rPr>
      <w:rFonts w:ascii="Arial" w:hAnsi="Arial" w:cs="Arial"/>
      <w:b/>
    </w:rPr>
  </w:style>
  <w:style w:type="paragraph" w:customStyle="1" w:styleId="EPName">
    <w:name w:val="EPName"/>
    <w:basedOn w:val="Normal"/>
    <w:rsid w:val="00E856D2"/>
    <w:pPr>
      <w:spacing w:before="80" w:after="80"/>
    </w:pPr>
    <w:rPr>
      <w:rFonts w:ascii="Arial Narrow" w:hAnsi="Arial Narrow" w:cs="Arial"/>
      <w:b/>
      <w:sz w:val="32"/>
      <w:szCs w:val="22"/>
    </w:rPr>
  </w:style>
  <w:style w:type="paragraph" w:customStyle="1" w:styleId="CoverNormal24a">
    <w:name w:val="CoverNormal24a"/>
    <w:basedOn w:val="Normal"/>
    <w:rsid w:val="00347D2C"/>
    <w:pPr>
      <w:spacing w:after="480"/>
      <w:ind w:left="1417"/>
    </w:pPr>
  </w:style>
  <w:style w:type="paragraph" w:customStyle="1" w:styleId="CoverNormal">
    <w:name w:val="CoverNormal"/>
    <w:basedOn w:val="Normal"/>
    <w:pPr>
      <w:ind w:left="1418"/>
    </w:pPr>
  </w:style>
  <w:style w:type="paragraph" w:styleId="Header">
    <w:name w:val="header"/>
    <w:basedOn w:val="Normal"/>
    <w:link w:val="HeaderChar"/>
    <w:semiHidden/>
    <w:rsid w:val="005C0BDF"/>
    <w:pPr>
      <w:tabs>
        <w:tab w:val="center" w:pos="4513"/>
        <w:tab w:val="right" w:pos="9026"/>
      </w:tabs>
    </w:pPr>
  </w:style>
  <w:style w:type="paragraph" w:customStyle="1" w:styleId="CoverReference">
    <w:name w:val="CoverReference"/>
    <w:basedOn w:val="Normal"/>
    <w:rsid w:val="00E81BA6"/>
    <w:pPr>
      <w:spacing w:before="1080"/>
      <w:jc w:val="right"/>
    </w:pPr>
    <w:rPr>
      <w:rFonts w:ascii="Arial" w:hAnsi="Arial" w:cs="Arial"/>
      <w:b/>
    </w:rPr>
  </w:style>
  <w:style w:type="paragraph" w:customStyle="1" w:styleId="CoverDocType24a">
    <w:name w:val="CoverDocType24a"/>
    <w:basedOn w:val="Normal"/>
    <w:rsid w:val="00347D2C"/>
    <w:pPr>
      <w:spacing w:after="480"/>
      <w:ind w:left="1418"/>
    </w:pPr>
    <w:rPr>
      <w:rFonts w:ascii="Arial" w:hAnsi="Arial"/>
      <w:b/>
      <w:sz w:val="48"/>
    </w:rPr>
  </w:style>
  <w:style w:type="paragraph" w:customStyle="1" w:styleId="CoverDate">
    <w:name w:val="CoverDate"/>
    <w:basedOn w:val="Normal"/>
    <w:pPr>
      <w:spacing w:before="240" w:after="1200"/>
    </w:pPr>
  </w:style>
  <w:style w:type="table" w:styleId="TableGrid">
    <w:name w:val="Table Grid"/>
    <w:basedOn w:val="TableNormal"/>
    <w:rsid w:val="001746D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
    <w:name w:val="EPBody"/>
    <w:basedOn w:val="Normal"/>
    <w:rsid w:val="001746D0"/>
    <w:pPr>
      <w:jc w:val="center"/>
    </w:pPr>
    <w:rPr>
      <w:rFonts w:ascii="Arial" w:hAnsi="Arial" w:cs="Arial"/>
      <w:i/>
      <w:sz w:val="22"/>
      <w:szCs w:val="22"/>
    </w:rPr>
  </w:style>
  <w:style w:type="paragraph" w:customStyle="1" w:styleId="LineTop">
    <w:name w:val="LineTop"/>
    <w:basedOn w:val="Normal"/>
    <w:next w:val="Normal"/>
    <w:rsid w:val="001746D0"/>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1746D0"/>
    <w:pPr>
      <w:pBdr>
        <w:bottom w:val="single" w:sz="4" w:space="1" w:color="auto"/>
      </w:pBdr>
      <w:spacing w:after="240"/>
      <w:jc w:val="center"/>
    </w:pPr>
    <w:rPr>
      <w:rFonts w:ascii="Arial" w:hAnsi="Arial" w:cs="Arial"/>
      <w:sz w:val="16"/>
      <w:szCs w:val="16"/>
    </w:rPr>
  </w:style>
  <w:style w:type="paragraph" w:customStyle="1" w:styleId="EPTerm">
    <w:name w:val="EPTerm"/>
    <w:basedOn w:val="Normal"/>
    <w:next w:val="Normal"/>
    <w:rsid w:val="00E856D2"/>
    <w:pPr>
      <w:spacing w:after="80"/>
    </w:pPr>
    <w:rPr>
      <w:rFonts w:ascii="Arial" w:hAnsi="Arial" w:cs="Arial"/>
      <w:sz w:val="20"/>
      <w:szCs w:val="22"/>
    </w:rPr>
  </w:style>
  <w:style w:type="paragraph" w:customStyle="1" w:styleId="EPLogo">
    <w:name w:val="EPLogo"/>
    <w:basedOn w:val="Normal"/>
    <w:qFormat/>
    <w:rsid w:val="00E856D2"/>
    <w:pPr>
      <w:jc w:val="right"/>
    </w:pPr>
  </w:style>
  <w:style w:type="paragraph" w:customStyle="1" w:styleId="NormalHanging12a">
    <w:name w:val="NormalHanging12a"/>
    <w:basedOn w:val="Normal"/>
    <w:link w:val="NormalHanging12aChar"/>
    <w:rsid w:val="008313E7"/>
    <w:pPr>
      <w:spacing w:after="240"/>
      <w:ind w:left="567" w:hanging="567"/>
    </w:pPr>
  </w:style>
  <w:style w:type="paragraph" w:customStyle="1" w:styleId="EPFooter">
    <w:name w:val="EPFooter"/>
    <w:basedOn w:val="Normal"/>
    <w:rsid w:val="00347D2C"/>
    <w:pPr>
      <w:tabs>
        <w:tab w:val="center" w:pos="4535"/>
        <w:tab w:val="right" w:pos="9071"/>
      </w:tabs>
      <w:spacing w:before="240" w:after="240"/>
    </w:pPr>
    <w:rPr>
      <w:color w:val="010000"/>
      <w:sz w:val="22"/>
    </w:rPr>
  </w:style>
  <w:style w:type="character" w:customStyle="1" w:styleId="HeaderChar">
    <w:name w:val="Header Char"/>
    <w:basedOn w:val="DefaultParagraphFont"/>
    <w:link w:val="Header"/>
    <w:semiHidden/>
    <w:rsid w:val="005C0BDF"/>
    <w:rPr>
      <w:sz w:val="24"/>
    </w:rPr>
  </w:style>
  <w:style w:type="paragraph" w:styleId="Footer">
    <w:name w:val="footer"/>
    <w:basedOn w:val="Normal"/>
    <w:link w:val="FooterChar"/>
    <w:semiHidden/>
    <w:rsid w:val="00D45CB8"/>
    <w:pPr>
      <w:tabs>
        <w:tab w:val="center" w:pos="4513"/>
        <w:tab w:val="right" w:pos="9026"/>
      </w:tabs>
    </w:pPr>
  </w:style>
  <w:style w:type="character" w:customStyle="1" w:styleId="FooterChar">
    <w:name w:val="Footer Char"/>
    <w:basedOn w:val="DefaultParagraphFont"/>
    <w:link w:val="Footer"/>
    <w:semiHidden/>
    <w:rsid w:val="00D45CB8"/>
    <w:rPr>
      <w:sz w:val="24"/>
      <w:lang w:val="cs-CZ"/>
    </w:rPr>
  </w:style>
  <w:style w:type="character" w:customStyle="1" w:styleId="NormalHanging12aChar">
    <w:name w:val="NormalHanging12a Char"/>
    <w:basedOn w:val="DefaultParagraphFont"/>
    <w:link w:val="NormalHanging12a"/>
    <w:locked/>
    <w:rsid w:val="00583B6A"/>
    <w:rPr>
      <w:sz w:val="24"/>
    </w:rPr>
  </w:style>
  <w:style w:type="paragraph" w:styleId="BalloonText">
    <w:name w:val="Balloon Text"/>
    <w:basedOn w:val="Normal"/>
    <w:link w:val="BalloonTextChar"/>
    <w:semiHidden/>
    <w:unhideWhenUsed/>
    <w:rsid w:val="00583B6A"/>
    <w:rPr>
      <w:rFonts w:ascii="Segoe UI" w:hAnsi="Segoe UI" w:cs="Segoe UI"/>
      <w:sz w:val="18"/>
      <w:szCs w:val="18"/>
    </w:rPr>
  </w:style>
  <w:style w:type="character" w:customStyle="1" w:styleId="BalloonTextChar">
    <w:name w:val="Balloon Text Char"/>
    <w:basedOn w:val="DefaultParagraphFont"/>
    <w:link w:val="BalloonText"/>
    <w:semiHidden/>
    <w:rsid w:val="00583B6A"/>
    <w:rPr>
      <w:rFonts w:ascii="Segoe UI" w:hAnsi="Segoe UI" w:cs="Segoe UI"/>
      <w:sz w:val="18"/>
      <w:szCs w:val="18"/>
    </w:rPr>
  </w:style>
  <w:style w:type="paragraph" w:customStyle="1" w:styleId="RollCallSymbols14pt">
    <w:name w:val="RollCallSymbols14pt"/>
    <w:basedOn w:val="Normal"/>
    <w:rsid w:val="00583B6A"/>
    <w:pPr>
      <w:spacing w:before="120" w:after="120"/>
      <w:jc w:val="center"/>
    </w:pPr>
    <w:rPr>
      <w:rFonts w:ascii="Arial" w:hAnsi="Arial"/>
      <w:b/>
      <w:bCs/>
      <w:snapToGrid w:val="0"/>
      <w:sz w:val="28"/>
      <w:lang w:eastAsia="en-US"/>
    </w:rPr>
  </w:style>
  <w:style w:type="paragraph" w:customStyle="1" w:styleId="RollCallTabs">
    <w:name w:val="RollCallTabs"/>
    <w:basedOn w:val="Normal"/>
    <w:qFormat/>
    <w:rsid w:val="00583B6A"/>
    <w:pPr>
      <w:tabs>
        <w:tab w:val="center" w:pos="284"/>
        <w:tab w:val="left" w:pos="426"/>
      </w:tabs>
    </w:pPr>
    <w:rPr>
      <w:snapToGrid w:val="0"/>
      <w:lang w:eastAsia="en-US"/>
    </w:rPr>
  </w:style>
  <w:style w:type="paragraph" w:customStyle="1" w:styleId="RollCallVotes">
    <w:name w:val="RollCallVotes"/>
    <w:basedOn w:val="Normal"/>
    <w:rsid w:val="00583B6A"/>
    <w:pPr>
      <w:spacing w:before="120" w:after="120"/>
      <w:jc w:val="center"/>
    </w:pPr>
    <w:rPr>
      <w:b/>
      <w:bCs/>
      <w:snapToGrid w:val="0"/>
      <w:sz w:val="16"/>
      <w:lang w:eastAsia="en-US"/>
    </w:rPr>
  </w:style>
  <w:style w:type="paragraph" w:customStyle="1" w:styleId="RollCallTable">
    <w:name w:val="RollCallTable"/>
    <w:basedOn w:val="Normal"/>
    <w:rsid w:val="00583B6A"/>
    <w:pPr>
      <w:spacing w:before="120" w:after="120"/>
    </w:pPr>
    <w:rPr>
      <w:snapToGrid w:val="0"/>
      <w:sz w:val="16"/>
      <w:lang w:eastAsia="en-US"/>
    </w:rPr>
  </w:style>
  <w:style w:type="paragraph" w:customStyle="1" w:styleId="Normal24a">
    <w:name w:val="Normal24a"/>
    <w:basedOn w:val="Normal"/>
    <w:rsid w:val="00583B6A"/>
    <w:pPr>
      <w:spacing w:after="480"/>
    </w:pPr>
  </w:style>
  <w:style w:type="paragraph" w:customStyle="1" w:styleId="NormalBoldCenter">
    <w:name w:val="NormalBoldCenter"/>
    <w:basedOn w:val="Normal"/>
    <w:rsid w:val="00583B6A"/>
    <w:pPr>
      <w:jc w:val="center"/>
    </w:pPr>
    <w:rPr>
      <w:b/>
    </w:rPr>
  </w:style>
  <w:style w:type="character" w:customStyle="1" w:styleId="Heading7Char">
    <w:name w:val="Heading 7 Char"/>
    <w:basedOn w:val="DefaultParagraphFont"/>
    <w:link w:val="Heading7"/>
    <w:uiPriority w:val="9"/>
    <w:semiHidden/>
    <w:rsid w:val="00583B6A"/>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00272995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header" Target="head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8</Pages>
  <Words>1415</Words>
  <Characters>8686</Characters>
  <Application>Microsoft Office Word</Application>
  <DocSecurity>0</DocSecurity>
  <Lines>199</Lines>
  <Paragraphs>75</Paragraphs>
  <ScaleCrop>false</ScaleCrop>
  <HeadingPairs>
    <vt:vector size="2" baseType="variant">
      <vt:variant>
        <vt:lpstr>Title</vt:lpstr>
      </vt:variant>
      <vt:variant>
        <vt:i4>1</vt:i4>
      </vt:variant>
    </vt:vector>
  </HeadingPairs>
  <TitlesOfParts>
    <vt:vector size="1" baseType="lpstr">
      <vt:lpstr>PA_NonLeg</vt:lpstr>
    </vt:vector>
  </TitlesOfParts>
  <Company/>
  <LinksUpToDate>false</LinksUpToDate>
  <CharactersWithSpaces>10033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PA_NonLeg</dc:title>
  <dc:subject/>
  <dc:creator>European Parliament</dc:creator>
  <cp:keywords/>
  <dc:description/>
  <cp:lastModifiedBy>European Parliament</cp:lastModifiedBy>
  <cp:revision>2</cp:revision>
  <cp:lastPrinted>2004-10-28T10:33:00Z</cp:lastPrinted>
  <dcterms:created xsi:type="dcterms:W3CDTF">2024-02-08T09:43:00Z</dcterms:created>
  <dcterms:modified xsi:type="dcterms:W3CDTF">2024-02-08T09:43:00Z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CS</vt:lpwstr>
  </property>
  <property fmtid="{D5CDD505-2E9C-101B-9397-08002B2CF9AE}" pid="3" name="Created with">
    <vt:lpwstr>9.16.1 Build [20230915]</vt:lpwstr>
  </property>
  <property fmtid="{D5CDD505-2E9C-101B-9397-08002B2CF9AE}" pid="4" name="LastEdited with">
    <vt:lpwstr>9.17.1 Build [20240111]</vt:lpwstr>
  </property>
  <property fmtid="{D5CDD505-2E9C-101B-9397-08002B2CF9AE}" pid="5" name="&lt;FdR&gt;">
    <vt:lpwstr>1294535</vt:lpwstr>
  </property>
  <property fmtid="{D5CDD505-2E9C-101B-9397-08002B2CF9AE}" pid="6" name="&lt;Type&gt;">
    <vt:lpwstr>AD</vt:lpwstr>
  </property>
  <property fmtid="{D5CDD505-2E9C-101B-9397-08002B2CF9AE}" pid="7" name="&lt;ModelCod&gt;">
    <vt:lpwstr>\\eiciLUXpr1\pdocep$\DocEP\DOCS\General\PA\PA_NonLeg\PA_NonLeg.dotx(18/09/2023 10:25:02)</vt:lpwstr>
  </property>
  <property fmtid="{D5CDD505-2E9C-101B-9397-08002B2CF9AE}" pid="8" name="&lt;ModelTra&gt;">
    <vt:lpwstr>\\eiciLUXpr1\pdocep$\DocEP\TRANSFIL\CS\PA_NonLeg.CS(18/09/2023 10:08:00)</vt:lpwstr>
  </property>
  <property fmtid="{D5CDD505-2E9C-101B-9397-08002B2CF9AE}" pid="9" name="&lt;Model&gt;">
    <vt:lpwstr>PA_NonLeg</vt:lpwstr>
  </property>
  <property fmtid="{D5CDD505-2E9C-101B-9397-08002B2CF9AE}" pid="10" name="FooterPath">
    <vt:lpwstr>AD\1294535CS.docx</vt:lpwstr>
  </property>
  <property fmtid="{D5CDD505-2E9C-101B-9397-08002B2CF9AE}" pid="11" name="PE number">
    <vt:lpwstr>756.200</vt:lpwstr>
  </property>
  <property fmtid="{D5CDD505-2E9C-101B-9397-08002B2CF9AE}" pid="12" name="Bookout">
    <vt:lpwstr>OK - 2024/02/08 10:43</vt:lpwstr>
  </property>
  <property fmtid="{D5CDD505-2E9C-101B-9397-08002B2CF9AE}" pid="13" name="SDLStudio">
    <vt:lpwstr/>
  </property>
</Properties>
</file>