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216299" w:rsidTr="00C85D0F">
        <w:trPr>
          <w:trHeight w:hRule="exact" w:val="1418"/>
        </w:trPr>
        <w:tc>
          <w:tcPr>
            <w:tcW w:w="6804" w:type="dxa"/>
            <w:shd w:val="clear" w:color="auto" w:fill="auto"/>
            <w:vAlign w:val="center"/>
          </w:tcPr>
          <w:p w:rsidR="00854CAC" w:rsidRPr="00216299" w:rsidRDefault="002268C4" w:rsidP="00C85D0F">
            <w:pPr>
              <w:pStyle w:val="EPName"/>
            </w:pPr>
            <w:r>
              <w:t>Evropský parlament</w:t>
            </w:r>
          </w:p>
          <w:p w:rsidR="00854CAC" w:rsidRPr="00216299" w:rsidRDefault="00C853FB" w:rsidP="00C853FB">
            <w:pPr>
              <w:pStyle w:val="EPTerm"/>
            </w:pPr>
            <w:r>
              <w:t>2019-2024</w:t>
            </w:r>
          </w:p>
        </w:tc>
        <w:tc>
          <w:tcPr>
            <w:tcW w:w="2268" w:type="dxa"/>
            <w:shd w:val="clear" w:color="auto" w:fill="auto"/>
          </w:tcPr>
          <w:p w:rsidR="00854CAC" w:rsidRPr="00216299" w:rsidRDefault="00854CAC" w:rsidP="00C85D0F">
            <w:pPr>
              <w:pStyle w:val="EPLogo"/>
            </w:pPr>
            <w:r w:rsidRPr="00216299">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216299" w:rsidRDefault="001746D0" w:rsidP="001746D0">
      <w:pPr>
        <w:pStyle w:val="LineTop"/>
      </w:pPr>
    </w:p>
    <w:p w:rsidR="001746D0" w:rsidRPr="00216299" w:rsidRDefault="001746D0" w:rsidP="001746D0">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 a vnitřní věci</w:t>
      </w:r>
      <w:r>
        <w:rPr>
          <w:rStyle w:val="HideTWBExt"/>
        </w:rPr>
        <w:t>&lt;/</w:t>
      </w:r>
      <w:r>
        <w:rPr>
          <w:rStyle w:val="HideTWBExt"/>
          <w:i w:val="0"/>
        </w:rPr>
        <w:t>Commission</w:t>
      </w:r>
      <w:r>
        <w:rPr>
          <w:rStyle w:val="HideTWBExt"/>
        </w:rPr>
        <w:t>&gt;</w:t>
      </w:r>
    </w:p>
    <w:p w:rsidR="001746D0" w:rsidRPr="00216299" w:rsidRDefault="001746D0" w:rsidP="001746D0">
      <w:pPr>
        <w:pStyle w:val="LineBottom"/>
      </w:pPr>
    </w:p>
    <w:p w:rsidR="002E2F2E" w:rsidRPr="00216299" w:rsidRDefault="002E2F2E">
      <w:pPr>
        <w:pStyle w:val="CoverReference"/>
      </w:pPr>
      <w:r>
        <w:rPr>
          <w:rStyle w:val="HideTWBExt"/>
          <w:b w:val="0"/>
        </w:rPr>
        <w:t>&lt;RefProc&gt;</w:t>
      </w:r>
      <w:r>
        <w:t>2023/2171</w:t>
      </w:r>
      <w:r>
        <w:rPr>
          <w:rStyle w:val="HideTWBExt"/>
          <w:b w:val="0"/>
        </w:rPr>
        <w:t>&lt;/RefProc&gt;&lt;RefTypeProc&gt;</w:t>
      </w:r>
      <w:r>
        <w:t>(DEC)</w:t>
      </w:r>
      <w:r>
        <w:rPr>
          <w:rStyle w:val="HideTWBExt"/>
          <w:b w:val="0"/>
        </w:rPr>
        <w:t>&lt;/RefTypeProc&gt;</w:t>
      </w:r>
    </w:p>
    <w:p w:rsidR="002E2F2E" w:rsidRPr="00216299" w:rsidRDefault="002E2F2E">
      <w:pPr>
        <w:pStyle w:val="CoverDate"/>
      </w:pPr>
      <w:r>
        <w:rPr>
          <w:rStyle w:val="HideTWBExt"/>
        </w:rPr>
        <w:t>&lt;Date&gt;</w:t>
      </w:r>
      <w:r>
        <w:rPr>
          <w:rStyle w:val="HideTWBInt"/>
        </w:rPr>
        <w:t>{24/01/2024}</w:t>
      </w:r>
      <w:r>
        <w:t>24.1.2024</w:t>
      </w:r>
      <w:r>
        <w:rPr>
          <w:rStyle w:val="HideTWBExt"/>
        </w:rPr>
        <w:t>&lt;/Date&gt;</w:t>
      </w:r>
    </w:p>
    <w:p w:rsidR="002E2F2E" w:rsidRPr="00216299" w:rsidRDefault="002E2F2E">
      <w:pPr>
        <w:pStyle w:val="CoverDocType24a"/>
      </w:pPr>
      <w:r>
        <w:rPr>
          <w:rStyle w:val="HideTWBExt"/>
          <w:b w:val="0"/>
        </w:rPr>
        <w:t>&lt;TitreType&gt;</w:t>
      </w:r>
      <w:r>
        <w:t>STANOVISKO</w:t>
      </w:r>
      <w:r>
        <w:rPr>
          <w:rStyle w:val="HideTWBExt"/>
          <w:b w:val="0"/>
        </w:rPr>
        <w:t>&lt;/TitreType&gt;</w:t>
      </w:r>
    </w:p>
    <w:p w:rsidR="002E2F2E" w:rsidRPr="00216299" w:rsidRDefault="002E2F2E">
      <w:pPr>
        <w:pStyle w:val="CoverNormal24a"/>
      </w:pPr>
      <w:r>
        <w:rPr>
          <w:rStyle w:val="HideTWBExt"/>
        </w:rPr>
        <w:t>&lt;CommissionResp&gt;</w:t>
      </w:r>
      <w:r>
        <w:t>Výboru pro občanské svobody, spravedlnost a vnitřní věci</w:t>
      </w:r>
      <w:r>
        <w:rPr>
          <w:rStyle w:val="HideTWBExt"/>
        </w:rPr>
        <w:t>&lt;/CommissionResp&gt;</w:t>
      </w:r>
    </w:p>
    <w:p w:rsidR="002E2F2E" w:rsidRPr="00216299" w:rsidRDefault="002E2F2E">
      <w:pPr>
        <w:pStyle w:val="CoverNormal24a"/>
      </w:pPr>
      <w:r>
        <w:rPr>
          <w:rStyle w:val="HideTWBExt"/>
        </w:rPr>
        <w:t>&lt;CommissionInt&gt;</w:t>
      </w:r>
      <w:r>
        <w:t>pro Výbor pro rozpočtovou kontrolu</w:t>
      </w:r>
      <w:r>
        <w:rPr>
          <w:rStyle w:val="HideTWBExt"/>
        </w:rPr>
        <w:t>&lt;/CommissionInt&gt;</w:t>
      </w:r>
    </w:p>
    <w:p w:rsidR="002E2F2E" w:rsidRPr="00216299" w:rsidRDefault="002E2F2E">
      <w:pPr>
        <w:pStyle w:val="CoverNormal"/>
      </w:pPr>
      <w:r>
        <w:rPr>
          <w:rStyle w:val="HideTWBExt"/>
        </w:rPr>
        <w:t>&lt;Titre&gt;</w:t>
      </w:r>
      <w:r>
        <w:t>k udělení absolutoria za plnění rozpočtu Agentury Evropské unie pro základní práva na rozpočtový rok 2022</w:t>
      </w:r>
      <w:r>
        <w:rPr>
          <w:rStyle w:val="HideTWBExt"/>
        </w:rPr>
        <w:t>&lt;/Titre&gt;</w:t>
      </w:r>
    </w:p>
    <w:p w:rsidR="002E2F2E" w:rsidRPr="00216299" w:rsidRDefault="002E2F2E">
      <w:pPr>
        <w:pStyle w:val="CoverNormal24a"/>
      </w:pPr>
      <w:r>
        <w:rPr>
          <w:rStyle w:val="HideTWBExt"/>
        </w:rPr>
        <w:t>&lt;DocRef&gt;</w:t>
      </w:r>
      <w:r>
        <w:t>(2023/2171(DEC))</w:t>
      </w:r>
      <w:r>
        <w:rPr>
          <w:rStyle w:val="HideTWBExt"/>
        </w:rPr>
        <w:t>&lt;/DocRef&gt;</w:t>
      </w:r>
    </w:p>
    <w:p w:rsidR="002E2F2E" w:rsidRPr="00216299" w:rsidRDefault="007B52B1">
      <w:pPr>
        <w:pStyle w:val="CoverNormal24a"/>
      </w:pPr>
      <w:r>
        <w:t xml:space="preserve">Zpravodaj: </w:t>
      </w:r>
      <w:r>
        <w:rPr>
          <w:rStyle w:val="HideTWBExt"/>
        </w:rPr>
        <w:t>&lt;Depute&gt;</w:t>
      </w:r>
      <w:r>
        <w:t>Tomáš Zdechovský</w:t>
      </w:r>
      <w:r>
        <w:rPr>
          <w:rStyle w:val="HideTWBExt"/>
        </w:rPr>
        <w:t>&lt;/Depute&gt;</w:t>
      </w:r>
    </w:p>
    <w:p w:rsidR="00A72C35" w:rsidRPr="00216299" w:rsidRDefault="00A72C35" w:rsidP="00A72C35">
      <w:pPr>
        <w:pStyle w:val="CoverNormal"/>
      </w:pPr>
    </w:p>
    <w:p w:rsidR="002E2F2E" w:rsidRPr="00216299" w:rsidRDefault="002E2F2E" w:rsidP="00E856D2">
      <w:pPr>
        <w:widowControl/>
        <w:tabs>
          <w:tab w:val="center" w:pos="4677"/>
        </w:tabs>
      </w:pPr>
      <w:r>
        <w:br w:type="page"/>
      </w:r>
      <w:r>
        <w:lastRenderedPageBreak/>
        <w:t>PA_NonLeg</w:t>
      </w:r>
    </w:p>
    <w:p w:rsidR="002E2F2E" w:rsidRPr="00216299" w:rsidRDefault="002E2F2E" w:rsidP="007B52B1">
      <w:pPr>
        <w:pStyle w:val="PageHeadingNotTOC"/>
        <w:spacing w:after="360"/>
      </w:pPr>
      <w:r>
        <w:br w:type="page"/>
      </w:r>
      <w:r>
        <w:lastRenderedPageBreak/>
        <w:t>NÁVRHY</w:t>
      </w:r>
    </w:p>
    <w:p w:rsidR="007B52B1" w:rsidRPr="00AD5B51" w:rsidRDefault="007B52B1" w:rsidP="007B52B1">
      <w:pPr>
        <w:tabs>
          <w:tab w:val="left" w:pos="432"/>
          <w:tab w:val="left" w:pos="720"/>
          <w:tab w:val="left" w:pos="1008"/>
          <w:tab w:val="right" w:leader="dot" w:pos="8400"/>
          <w:tab w:val="decimal" w:pos="9552"/>
        </w:tabs>
        <w:suppressAutoHyphens/>
        <w:rPr>
          <w:spacing w:val="-3"/>
        </w:rPr>
      </w:pPr>
      <w:r>
        <w:t>Výbor pro občanské svobody, spravedlnost a vnitřní věci vyzývá Výbor pro rozpočtovou kontrolu</w:t>
      </w:r>
      <w:r>
        <w:rPr>
          <w:b/>
        </w:rPr>
        <w:t xml:space="preserve"> </w:t>
      </w:r>
      <w:r>
        <w:t>jako příslušný výbor, aby do návrhu usnesení, který přijme, začlenil tyto návrhy:</w:t>
      </w:r>
    </w:p>
    <w:p w:rsidR="007B52B1" w:rsidRPr="00216299" w:rsidRDefault="007B52B1" w:rsidP="007B52B1">
      <w:pPr>
        <w:pStyle w:val="Normal12a"/>
        <w:spacing w:after="120"/>
      </w:pPr>
    </w:p>
    <w:p w:rsidR="004377B7" w:rsidRPr="00DB0E0D" w:rsidRDefault="004377B7" w:rsidP="004377B7">
      <w:pPr>
        <w:pStyle w:val="NormalHanging12a"/>
      </w:pPr>
      <w:r>
        <w:t>1.</w:t>
      </w:r>
      <w:r>
        <w:tab/>
        <w:t>vítá prohlášení Účetního dvora, že transakce, na nichž se zakládá roční účetní závěrka Agentury Evropské unie pro základní práva (FRA) za rozpočtový rok 2022, jsou ve všech významných ohledech legální a správné; bere na vědomí připomínku Účetního dvora, že agentura opakovaně ve vysoké míře přenáší prostředky na operační činnosti, konkrétně z roku 2022 do roku 2023 přenesla dostupné prostředky na závazky ve výši 6,4 milionu EUR; zdůrazňuje, že podle Účetního dvora je opakující se vysoká míra přenesených prostředků v rozporu se zásadou ročního rozpočtu a svědčí o strukturálních problémech v rozpočtovém procesu a cyklu plnění rozpočtu; bere na vědomí odpověď agentury FRA, v níž se uvádí, že kvůli zvláštnímu provoznímu rámci agentury je těžké přidělit operační výdaje na začátku roku, a proto je obtížné zcela se vyhnout přenosům prostředků; zdůrazňuje, že agentura FRA udržuje dobrou úroveň plnění rozpočtu, přičemž za posledních deset let dosahuje její výsledek více než 99 %;</w:t>
      </w:r>
    </w:p>
    <w:p w:rsidR="004377B7" w:rsidRPr="00DB0E0D" w:rsidRDefault="004377B7" w:rsidP="004377B7">
      <w:pPr>
        <w:pStyle w:val="NormalHanging12a"/>
      </w:pPr>
      <w:r>
        <w:t>2.</w:t>
      </w:r>
      <w:r>
        <w:tab/>
        <w:t xml:space="preserve">s uspokojením bere na vědomí pomoc agentury FRA při zjišťování trendů v oblasti boje proti diskriminaci a v oblasti umělé inteligence, jakož i to, že přispívá k lepší tvorbě a provádění právních předpisů, neboť poskytuje legislativní a politické poradenství ve věcech týkajících se např. práv dětí, práv obětí, boje proti terorismu, ochrany údajů, potírání rasismu a antisemitismu a otázek etnických menšin, osob LGBTIQ a dalších zranitelných skupin; </w:t>
      </w:r>
    </w:p>
    <w:p w:rsidR="004377B7" w:rsidRPr="00DB0E0D" w:rsidRDefault="004377B7" w:rsidP="004377B7">
      <w:pPr>
        <w:pStyle w:val="NormalHanging12a"/>
      </w:pPr>
      <w:r>
        <w:t>3.</w:t>
      </w:r>
      <w:r>
        <w:tab/>
        <w:t>bere na vědomí rychlou reakci agentury FRA na ruskou invazi na Ukrajinu, konkrétně například to, že byla jednou z prvních agentur EU na hranicích, která situaci začala sledovat a vypracovala zprávu, dva bulletiny a on-line průzkum; vítá včasnou reakci agentury FRA na vznikající problémy v oblasti základních práv, jako jsou obecné pokyny agentury uvedené v její zprávě o zřízení nezávislých vnitrostátních mechanismů pro sledování dodržování základních práv na vnějších hranicích EU; vítá pomoc, kterou agentura poskytuje členským státům EU při zřizování nebo posilování vnitrostátních mechanismů pro sledování dodržování základních práv a zajišťování záruk nezávislosti mechanismu; připomíná, že mezinárodní právo požaduje nediskriminační zacházení se všemi uprchlíky;</w:t>
      </w:r>
    </w:p>
    <w:p w:rsidR="004377B7" w:rsidRPr="00DB0E0D" w:rsidRDefault="004377B7" w:rsidP="004377B7">
      <w:pPr>
        <w:pStyle w:val="NormalHanging12a"/>
      </w:pPr>
      <w:r>
        <w:t>4.</w:t>
      </w:r>
      <w:r>
        <w:tab/>
        <w:t>vítá pokračující iniciativy agentury FRA na podporu součinnosti mezi agenturami EU a její koordinační úlohu v řadě iniciativ se sítí agentur působících v oblasti spravedlnosti a vnitřních věcí, mimo jiné v oblasti ochrany údajů a genderově podmíněného násilí; bere na vědomí a oceňuje úzkou spolupráci s Evropskou agenturou pro pohraniční a pobřežní stráž (Frontex), konkrétně spolupředsednictví poradního fóra agentury Frontex, a její účast jakožto odborníka na základní práva na zasedání správní rady agentury Frontex; vítá pořádání školení pro Agenturu Evropské unie pro vzdělávání a</w:t>
      </w:r>
      <w:r w:rsidR="00193B17">
        <w:t> </w:t>
      </w:r>
      <w:r>
        <w:t>výcvik v oblasti prosazování práva (CEPOL), agenturu Frontex a Agenturu Evropské unie pro provozní řízení rozsáhlých informačních systémů v prostoru svobody, bezpečnosti a práva (eu-LISA) o základních právech a využívání informačních systémů v oblasti správy hranic a v oblasti bezpečnosti; oceňuje, že se agentura spolu s</w:t>
      </w:r>
      <w:r w:rsidR="00193B17">
        <w:t> </w:t>
      </w:r>
      <w:r>
        <w:t xml:space="preserve">Agenturou Evropské unie pro spolupráci v oblasti prosazování práva (Europol) podílí </w:t>
      </w:r>
      <w:r>
        <w:lastRenderedPageBreak/>
        <w:t>na činnosti v oblasti bezpečnosti; vítá spolupráci s Evropským institutem pro rovnost žen a mužů (EIGE) při přípravě práce v terénu v souvislosti s druhým průzkumem o</w:t>
      </w:r>
      <w:r w:rsidR="00193B17">
        <w:t> </w:t>
      </w:r>
      <w:r>
        <w:t>násilí páchaném na ženách;</w:t>
      </w:r>
    </w:p>
    <w:p w:rsidR="004377B7" w:rsidRPr="00DB0E0D" w:rsidRDefault="004377B7" w:rsidP="004377B7">
      <w:pPr>
        <w:pStyle w:val="NormalHanging12a"/>
      </w:pPr>
      <w:r>
        <w:t>5.</w:t>
      </w:r>
      <w:r>
        <w:tab/>
        <w:t>s uspokojením konstatuje, že agentura FRA do značné míry překročila své cíle klíčových ukazatelů výkonnosti a zachovala vysokou úroveň spokojenosti zúčastněných stran; vítá, že v roce 2022 agentura FRA vypracovala 28 publikací, 3 062 výstupů výzkumu, 342 písemných nebo ústních příspěvků a uspořádala nebo spolupořádala 134 setkání a akcí a že ve sdělovacích prostředcích bylo na tuto agenturu uvedeno 4 319 odkazů; s uspokojením bere na vědomí aktivnější působení agentury v sociálních médiích v roce 2022;</w:t>
      </w:r>
    </w:p>
    <w:p w:rsidR="004377B7" w:rsidRPr="00DB0E0D" w:rsidRDefault="004377B7" w:rsidP="004377B7">
      <w:pPr>
        <w:pStyle w:val="NormalHanging12a"/>
      </w:pPr>
      <w:r>
        <w:t>6.</w:t>
      </w:r>
      <w:r>
        <w:tab/>
        <w:t>vítá, že zúčastněné strany byly velmi spokojeny s činností agentury FRA na podporu spolupráce prostřednictvím platformy pro základní práva v roce 2022; oceňuje, že agentura FRA uspořádala řadu akcí, včetně čtvrtého dialogu o základních právech s mladými lidmi a dalších workshopů a webinářů zaměřených na prosazování práv, hodnot a svobod;</w:t>
      </w:r>
      <w:r>
        <w:rPr>
          <w:rStyle w:val="FootnoteReference"/>
        </w:rPr>
        <w:t xml:space="preserve"> </w:t>
      </w:r>
    </w:p>
    <w:p w:rsidR="004377B7" w:rsidRPr="00DB0E0D" w:rsidRDefault="004377B7" w:rsidP="004377B7">
      <w:pPr>
        <w:pStyle w:val="NormalHanging12a"/>
        <w:ind w:left="560" w:hanging="560"/>
      </w:pPr>
      <w:r>
        <w:t>7.</w:t>
      </w:r>
      <w:r>
        <w:tab/>
        <w:t xml:space="preserve">uznává úlohu agentury FRA při posilování vnitrostátních infrastruktur v oblasti lidských práv, kdy spolupracuje s institucemi pro lidská práva, vytváří s nimi synergie a navazuje partnerství s institucemi občanské společnosti; bere na vědomí průběžné poradenství v oblasti azylu a migrace, včetně pravidelných přehledů pro členské státy, pokud jde o otázky základních práv související s migrací; vítá skutečnost, že agentura FRA podporuje narativ založený na lidských právech tím, že rozvíjí účinnou komunikaci, podílí se na vývoji nových digitálních aplikací a nástrojů a sdružuje aktéry v oblasti lidských práv s cílem prosazovat evropské hodnoty a svobody. </w:t>
      </w:r>
    </w:p>
    <w:p w:rsidR="00E77BB4" w:rsidRDefault="00E77BB4">
      <w:pPr>
        <w:widowControl/>
      </w:pPr>
      <w:r>
        <w:br w:type="page"/>
      </w:r>
    </w:p>
    <w:p w:rsidR="004377B7" w:rsidRDefault="004377B7" w:rsidP="006D4E57">
      <w:pPr>
        <w:sectPr w:rsidR="004377B7" w:rsidSect="004377B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6D4E57" w:rsidRPr="006D4E57" w:rsidRDefault="006D4E57" w:rsidP="006D4E57"/>
    <w:p w:rsidR="00E77BB4" w:rsidRDefault="00E77BB4" w:rsidP="00E77BB4">
      <w:pPr>
        <w:pStyle w:val="PageHeadingNotTOC"/>
        <w:rPr>
          <w:noProof/>
        </w:rPr>
      </w:pPr>
      <w:bookmarkStart w:id="0" w:name="ProcPageAD"/>
      <w:r>
        <w:t>PŘÍLOHA: SUBJEKTY NEBO OSOBY,</w:t>
      </w:r>
      <w:r>
        <w:br/>
        <w:t>OD NICHŽ ZPRAVODAJ OBDRŽEL PODNĚTY</w:t>
      </w:r>
    </w:p>
    <w:p w:rsidR="00E77BB4" w:rsidRPr="0099178F" w:rsidRDefault="00E77BB4" w:rsidP="00E77BB4">
      <w:pPr>
        <w:pStyle w:val="Normal24a"/>
      </w:pPr>
      <w:r>
        <w:rPr>
          <w:rStyle w:val="HideTWBExt"/>
        </w:rPr>
        <w:t>&lt;FootprintIntro&gt;</w:t>
      </w:r>
      <w:r>
        <w:t>Zpravodaj prohlašuje na svou výhradní odpovědnost, že neobdržel žádný podnět od subjektu nebo osoby, který musí být uveden v této příloze v souladu s článkem 8 přílohy I jednacího řádu.</w:t>
      </w:r>
      <w:r>
        <w:rPr>
          <w:rStyle w:val="HideTWBExt"/>
        </w:rPr>
        <w:t>&lt;/FootprintIntro&gt;</w:t>
      </w:r>
    </w:p>
    <w:p w:rsidR="00E77BB4" w:rsidRDefault="00E77BB4" w:rsidP="00E77BB4">
      <w:pPr>
        <w:widowControl/>
      </w:pPr>
    </w:p>
    <w:p w:rsidR="00E77BB4" w:rsidRDefault="00E77BB4">
      <w:pPr>
        <w:widowControl/>
        <w:rPr>
          <w:rFonts w:ascii="Arial" w:hAnsi="Arial" w:cs="Arial"/>
          <w:b/>
        </w:rPr>
      </w:pPr>
      <w:bookmarkStart w:id="1" w:name="_GoBack"/>
      <w:bookmarkEnd w:id="1"/>
      <w:r>
        <w:br w:type="page"/>
      </w:r>
    </w:p>
    <w:p w:rsidR="006D4E57" w:rsidRDefault="006D4E57" w:rsidP="006D4E57">
      <w:pPr>
        <w:pStyle w:val="PageHeadingNotTOC"/>
      </w:pPr>
      <w:r>
        <w:lastRenderedPageBreak/>
        <w:t>INFORMACE O PŘIJETÍ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D4E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D4E57" w:rsidRDefault="006D4E57">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D4E57" w:rsidRDefault="006D4E57">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D4E57" w:rsidRDefault="006D4E5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D4E57" w:rsidRDefault="006D4E5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D4E57" w:rsidRDefault="006D4E57">
            <w:pPr>
              <w:autoSpaceDE w:val="0"/>
              <w:autoSpaceDN w:val="0"/>
              <w:adjustRightInd w:val="0"/>
              <w:rPr>
                <w:rFonts w:ascii="sans-serif" w:hAnsi="sans-serif" w:cs="sans-serif"/>
                <w:color w:val="000000"/>
                <w:szCs w:val="24"/>
              </w:rPr>
            </w:pPr>
          </w:p>
        </w:tc>
      </w:tr>
      <w:tr w:rsidR="006D4E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D4E57" w:rsidRDefault="006D4E57">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D4E57" w:rsidRDefault="006D4E57">
            <w:pPr>
              <w:autoSpaceDE w:val="0"/>
              <w:autoSpaceDN w:val="0"/>
              <w:adjustRightInd w:val="0"/>
              <w:rPr>
                <w:color w:val="000000"/>
                <w:sz w:val="20"/>
              </w:rPr>
            </w:pPr>
            <w:r>
              <w:rPr>
                <w:color w:val="000000"/>
                <w:sz w:val="20"/>
              </w:rPr>
              <w:t>+:</w:t>
            </w:r>
          </w:p>
          <w:p w:rsidR="006D4E57" w:rsidRDefault="006D4E57">
            <w:pPr>
              <w:autoSpaceDE w:val="0"/>
              <w:autoSpaceDN w:val="0"/>
              <w:adjustRightInd w:val="0"/>
              <w:rPr>
                <w:color w:val="000000"/>
                <w:sz w:val="20"/>
              </w:rPr>
            </w:pPr>
            <w:r>
              <w:rPr>
                <w:color w:val="000000"/>
                <w:sz w:val="20"/>
              </w:rPr>
              <w:t>–:</w:t>
            </w:r>
          </w:p>
          <w:p w:rsidR="006D4E57" w:rsidRDefault="006D4E5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D4E57" w:rsidRDefault="006D4E57">
            <w:pPr>
              <w:autoSpaceDE w:val="0"/>
              <w:autoSpaceDN w:val="0"/>
              <w:adjustRightInd w:val="0"/>
              <w:rPr>
                <w:color w:val="000000"/>
                <w:sz w:val="20"/>
              </w:rPr>
            </w:pPr>
            <w:r>
              <w:rPr>
                <w:color w:val="000000"/>
                <w:sz w:val="20"/>
              </w:rPr>
              <w:t>47</w:t>
            </w:r>
          </w:p>
          <w:p w:rsidR="006D4E57" w:rsidRDefault="006D4E57">
            <w:pPr>
              <w:autoSpaceDE w:val="0"/>
              <w:autoSpaceDN w:val="0"/>
              <w:adjustRightInd w:val="0"/>
              <w:rPr>
                <w:color w:val="000000"/>
                <w:sz w:val="20"/>
              </w:rPr>
            </w:pPr>
            <w:r>
              <w:rPr>
                <w:color w:val="000000"/>
                <w:sz w:val="20"/>
              </w:rPr>
              <w:t>9</w:t>
            </w:r>
          </w:p>
          <w:p w:rsidR="006D4E57" w:rsidRDefault="006D4E57">
            <w:pPr>
              <w:autoSpaceDE w:val="0"/>
              <w:autoSpaceDN w:val="0"/>
              <w:adjustRightInd w:val="0"/>
              <w:rPr>
                <w:color w:val="000000"/>
                <w:sz w:val="20"/>
              </w:rPr>
            </w:pPr>
            <w:r>
              <w:rPr>
                <w:color w:val="000000"/>
                <w:sz w:val="20"/>
              </w:rPr>
              <w:t>0</w:t>
            </w:r>
          </w:p>
        </w:tc>
      </w:tr>
      <w:tr w:rsidR="006D4E5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D4E57" w:rsidRDefault="006D4E57">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D4E57" w:rsidRDefault="006D4E57">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Elena Yoncheva, Javier Zarzalejos</w:t>
            </w:r>
          </w:p>
        </w:tc>
      </w:tr>
      <w:tr w:rsidR="006D4E5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D4E57" w:rsidRDefault="006D4E57">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D4E57" w:rsidRDefault="006D4E57">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6D4E5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D4E57" w:rsidRDefault="006D4E57">
            <w:pPr>
              <w:autoSpaceDE w:val="0"/>
              <w:autoSpaceDN w:val="0"/>
              <w:adjustRightInd w:val="0"/>
              <w:rPr>
                <w:b/>
                <w:bCs/>
                <w:color w:val="000000"/>
                <w:sz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D4E57" w:rsidRDefault="006D4E57">
            <w:pPr>
              <w:autoSpaceDE w:val="0"/>
              <w:autoSpaceDN w:val="0"/>
              <w:adjustRightInd w:val="0"/>
              <w:rPr>
                <w:color w:val="000000"/>
                <w:sz w:val="20"/>
              </w:rPr>
            </w:pPr>
            <w:r>
              <w:rPr>
                <w:color w:val="000000"/>
                <w:sz w:val="20"/>
              </w:rPr>
              <w:t>Andrus Ansip, Hildegard Bentele, Maria da Graça Carvalho, Marisa Matias, Caroline Nagtegaal</w:t>
            </w:r>
          </w:p>
        </w:tc>
      </w:tr>
    </w:tbl>
    <w:p w:rsidR="006D4E57" w:rsidRDefault="006D4E57"/>
    <w:bookmarkEnd w:id="0"/>
    <w:p w:rsidR="004377B7" w:rsidRPr="004377B7" w:rsidRDefault="004377B7" w:rsidP="00E77BB4">
      <w:pPr>
        <w:pStyle w:val="PageHeadingNotTOC"/>
      </w:pPr>
      <w:r>
        <w:br w:type="page"/>
      </w:r>
    </w:p>
    <w:p w:rsidR="004377B7" w:rsidRPr="0099178F" w:rsidRDefault="004377B7" w:rsidP="00C36610">
      <w:pPr>
        <w:pStyle w:val="PageHeadingNotTOC"/>
      </w:pPr>
      <w:bookmarkStart w:id="2" w:name="RollCallPageAD"/>
      <w:r>
        <w:lastRenderedPageBreak/>
        <w:t xml:space="preserve">JMENOVITÉ KONEČNÉ HLASOVÁNÍ </w:t>
      </w:r>
      <w:r w:rsidR="0001244A">
        <w:br/>
      </w:r>
      <w:r>
        <w:t>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377B7" w:rsidRPr="00DB0E0D" w:rsidTr="00F16692">
        <w:trPr>
          <w:cantSplit/>
        </w:trPr>
        <w:tc>
          <w:tcPr>
            <w:tcW w:w="1701" w:type="dxa"/>
            <w:shd w:val="pct10" w:color="000000" w:fill="FFFFFF"/>
            <w:vAlign w:val="center"/>
          </w:tcPr>
          <w:p w:rsidR="004377B7" w:rsidRPr="00DB0E0D" w:rsidRDefault="004377B7" w:rsidP="00F16692">
            <w:pPr>
              <w:pStyle w:val="RollCallVotes"/>
            </w:pPr>
            <w:r>
              <w:t>47</w:t>
            </w:r>
          </w:p>
        </w:tc>
        <w:tc>
          <w:tcPr>
            <w:tcW w:w="7371" w:type="dxa"/>
            <w:shd w:val="pct10" w:color="000000" w:fill="FFFFFF"/>
          </w:tcPr>
          <w:p w:rsidR="004377B7" w:rsidRPr="00DB0E0D" w:rsidRDefault="004377B7" w:rsidP="00F16692">
            <w:pPr>
              <w:pStyle w:val="RollCallSymbols14pt"/>
            </w:pPr>
            <w:r>
              <w:t>+</w:t>
            </w:r>
          </w:p>
        </w:tc>
      </w:tr>
      <w:tr w:rsidR="004377B7" w:rsidRPr="00DB0E0D" w:rsidTr="00F16692">
        <w:trPr>
          <w:cantSplit/>
        </w:trPr>
        <w:tc>
          <w:tcPr>
            <w:tcW w:w="1701" w:type="dxa"/>
            <w:shd w:val="clear" w:color="auto" w:fill="FFFFFF"/>
          </w:tcPr>
          <w:p w:rsidR="004377B7" w:rsidRPr="00DB0E0D" w:rsidRDefault="004377B7" w:rsidP="00F16692">
            <w:pPr>
              <w:pStyle w:val="RollCallTable"/>
            </w:pPr>
            <w:r>
              <w:t>PPE</w:t>
            </w:r>
          </w:p>
        </w:tc>
        <w:tc>
          <w:tcPr>
            <w:tcW w:w="7371" w:type="dxa"/>
            <w:shd w:val="clear" w:color="auto" w:fill="FFFFFF"/>
          </w:tcPr>
          <w:p w:rsidR="004377B7" w:rsidRPr="00DB0E0D" w:rsidRDefault="004377B7" w:rsidP="00F16692">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4377B7" w:rsidRPr="00DB0E0D" w:rsidTr="00F16692">
        <w:trPr>
          <w:cantSplit/>
        </w:trPr>
        <w:tc>
          <w:tcPr>
            <w:tcW w:w="1701" w:type="dxa"/>
            <w:shd w:val="clear" w:color="auto" w:fill="FFFFFF"/>
          </w:tcPr>
          <w:p w:rsidR="004377B7" w:rsidRPr="00DB0E0D" w:rsidRDefault="004377B7" w:rsidP="00F16692">
            <w:pPr>
              <w:pStyle w:val="RollCallTable"/>
            </w:pPr>
            <w:r>
              <w:t>Renew</w:t>
            </w:r>
          </w:p>
        </w:tc>
        <w:tc>
          <w:tcPr>
            <w:tcW w:w="7371" w:type="dxa"/>
            <w:shd w:val="clear" w:color="auto" w:fill="FFFFFF"/>
          </w:tcPr>
          <w:p w:rsidR="004377B7" w:rsidRPr="00DB0E0D" w:rsidRDefault="004377B7" w:rsidP="00F16692">
            <w:pPr>
              <w:pStyle w:val="RollCallTable"/>
            </w:pPr>
            <w:r>
              <w:t>Abir Al-Sahlani, Andrus Ansip, Lucia Ďuriš Nicholsonová, Sophia in 't Veld, Moritz Körner, Caroline Nagtegaal, Maite Pagazaurtundúa, Bergur Løkke Rasmussen, Róża Thun und Hohenstein, Jana Toom</w:t>
            </w:r>
          </w:p>
        </w:tc>
      </w:tr>
      <w:tr w:rsidR="004377B7" w:rsidRPr="00DB0E0D" w:rsidTr="00F16692">
        <w:trPr>
          <w:cantSplit/>
        </w:trPr>
        <w:tc>
          <w:tcPr>
            <w:tcW w:w="1701" w:type="dxa"/>
            <w:shd w:val="clear" w:color="auto" w:fill="FFFFFF"/>
          </w:tcPr>
          <w:p w:rsidR="004377B7" w:rsidRPr="00DB0E0D" w:rsidRDefault="004377B7" w:rsidP="00F16692">
            <w:pPr>
              <w:pStyle w:val="RollCallTable"/>
            </w:pPr>
            <w:r>
              <w:t>S&amp;D</w:t>
            </w:r>
          </w:p>
        </w:tc>
        <w:tc>
          <w:tcPr>
            <w:tcW w:w="7371" w:type="dxa"/>
            <w:shd w:val="clear" w:color="auto" w:fill="FFFFFF"/>
          </w:tcPr>
          <w:p w:rsidR="004377B7" w:rsidRPr="00DB0E0D" w:rsidRDefault="004377B7" w:rsidP="00F16692">
            <w:pPr>
              <w:pStyle w:val="RollCallTable"/>
            </w:pPr>
            <w:r>
              <w:t>Katarina Barley, Pietro Bartolo, Theresa Bielowski, Cyrus Engerer, Maria Grapini, Sylvie Guillaume, Evin Incir, Marina Kaljurand, Łukasz Kohut, Juan Fernando López Aguilar, Javier Moreno Sánchez, Isabel Santos, Birgit Sippel, Elena Yoncheva</w:t>
            </w:r>
          </w:p>
        </w:tc>
      </w:tr>
      <w:tr w:rsidR="004377B7" w:rsidRPr="00DB0E0D" w:rsidTr="00F16692">
        <w:trPr>
          <w:cantSplit/>
        </w:trPr>
        <w:tc>
          <w:tcPr>
            <w:tcW w:w="1701" w:type="dxa"/>
            <w:shd w:val="clear" w:color="auto" w:fill="FFFFFF"/>
          </w:tcPr>
          <w:p w:rsidR="004377B7" w:rsidRPr="00DB0E0D" w:rsidRDefault="004377B7" w:rsidP="00F16692">
            <w:pPr>
              <w:pStyle w:val="RollCallTable"/>
            </w:pPr>
            <w:r>
              <w:t>The Left</w:t>
            </w:r>
          </w:p>
        </w:tc>
        <w:tc>
          <w:tcPr>
            <w:tcW w:w="7371" w:type="dxa"/>
            <w:shd w:val="clear" w:color="auto" w:fill="FFFFFF"/>
          </w:tcPr>
          <w:p w:rsidR="004377B7" w:rsidRPr="00DB0E0D" w:rsidRDefault="004377B7" w:rsidP="00F16692">
            <w:pPr>
              <w:pStyle w:val="RollCallTable"/>
            </w:pPr>
            <w:r>
              <w:t>Cornelia Ernst, José Gusmão, Marisa Matias, Anne-Sophie Pelletier</w:t>
            </w:r>
          </w:p>
        </w:tc>
      </w:tr>
      <w:tr w:rsidR="004377B7" w:rsidRPr="00DB0E0D" w:rsidTr="00F16692">
        <w:trPr>
          <w:cantSplit/>
        </w:trPr>
        <w:tc>
          <w:tcPr>
            <w:tcW w:w="1701" w:type="dxa"/>
            <w:shd w:val="clear" w:color="auto" w:fill="FFFFFF"/>
          </w:tcPr>
          <w:p w:rsidR="004377B7" w:rsidRPr="00DB0E0D" w:rsidRDefault="004377B7" w:rsidP="00F16692">
            <w:pPr>
              <w:pStyle w:val="RollCallTable"/>
            </w:pPr>
            <w:r>
              <w:t>Verts/ALE</w:t>
            </w:r>
          </w:p>
        </w:tc>
        <w:tc>
          <w:tcPr>
            <w:tcW w:w="7371" w:type="dxa"/>
            <w:shd w:val="clear" w:color="auto" w:fill="FFFFFF"/>
          </w:tcPr>
          <w:p w:rsidR="004377B7" w:rsidRPr="00DB0E0D" w:rsidRDefault="004377B7" w:rsidP="00F16692">
            <w:pPr>
              <w:pStyle w:val="RollCallTable"/>
            </w:pPr>
            <w:r>
              <w:t>Patrick Breyer, Saskia Bricmont, Damien Carême, Alice Kuhnke, Erik Marquardt, Diana Riba i Giner, Tineke Strik</w:t>
            </w:r>
          </w:p>
        </w:tc>
      </w:tr>
    </w:tbl>
    <w:p w:rsidR="004377B7" w:rsidRPr="00DB0E0D" w:rsidRDefault="004377B7" w:rsidP="004377B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377B7" w:rsidRPr="00DB0E0D" w:rsidTr="00F16692">
        <w:trPr>
          <w:cantSplit/>
        </w:trPr>
        <w:tc>
          <w:tcPr>
            <w:tcW w:w="1701" w:type="dxa"/>
            <w:shd w:val="pct10" w:color="000000" w:fill="FFFFFF"/>
            <w:vAlign w:val="center"/>
          </w:tcPr>
          <w:p w:rsidR="004377B7" w:rsidRPr="00DB0E0D" w:rsidRDefault="004377B7" w:rsidP="00F16692">
            <w:pPr>
              <w:pStyle w:val="RollCallVotes"/>
            </w:pPr>
            <w:r>
              <w:t>9</w:t>
            </w:r>
          </w:p>
        </w:tc>
        <w:tc>
          <w:tcPr>
            <w:tcW w:w="7371" w:type="dxa"/>
            <w:shd w:val="pct10" w:color="000000" w:fill="FFFFFF"/>
          </w:tcPr>
          <w:p w:rsidR="004377B7" w:rsidRPr="00DB0E0D" w:rsidRDefault="004377B7" w:rsidP="00F16692">
            <w:pPr>
              <w:pStyle w:val="RollCallSymbols14pt"/>
            </w:pPr>
            <w:r>
              <w:t>-</w:t>
            </w:r>
          </w:p>
        </w:tc>
      </w:tr>
      <w:tr w:rsidR="004377B7" w:rsidRPr="00DB0E0D" w:rsidTr="00F16692">
        <w:trPr>
          <w:cantSplit/>
        </w:trPr>
        <w:tc>
          <w:tcPr>
            <w:tcW w:w="1701" w:type="dxa"/>
            <w:shd w:val="clear" w:color="auto" w:fill="FFFFFF"/>
          </w:tcPr>
          <w:p w:rsidR="004377B7" w:rsidRPr="00DB0E0D" w:rsidRDefault="004377B7" w:rsidP="00F16692">
            <w:pPr>
              <w:pStyle w:val="RollCallTable"/>
            </w:pPr>
            <w:r>
              <w:t>ECR</w:t>
            </w:r>
          </w:p>
        </w:tc>
        <w:tc>
          <w:tcPr>
            <w:tcW w:w="7371" w:type="dxa"/>
            <w:shd w:val="clear" w:color="auto" w:fill="FFFFFF"/>
          </w:tcPr>
          <w:p w:rsidR="004377B7" w:rsidRPr="00DB0E0D" w:rsidRDefault="004377B7" w:rsidP="00F16692">
            <w:pPr>
              <w:pStyle w:val="RollCallTable"/>
            </w:pPr>
            <w:r>
              <w:t>Jorge Buxadé Villalba, Patryk Jaki, Assita Kanko, Beata Kempa, Vincenzo Sofo</w:t>
            </w:r>
          </w:p>
        </w:tc>
      </w:tr>
      <w:tr w:rsidR="004377B7" w:rsidRPr="00DB0E0D" w:rsidTr="00F16692">
        <w:trPr>
          <w:cantSplit/>
        </w:trPr>
        <w:tc>
          <w:tcPr>
            <w:tcW w:w="1701" w:type="dxa"/>
            <w:shd w:val="clear" w:color="auto" w:fill="FFFFFF"/>
          </w:tcPr>
          <w:p w:rsidR="004377B7" w:rsidRPr="00DB0E0D" w:rsidRDefault="004377B7" w:rsidP="00F16692">
            <w:pPr>
              <w:pStyle w:val="RollCallTable"/>
            </w:pPr>
            <w:r>
              <w:t>ID</w:t>
            </w:r>
          </w:p>
        </w:tc>
        <w:tc>
          <w:tcPr>
            <w:tcW w:w="7371" w:type="dxa"/>
            <w:shd w:val="clear" w:color="auto" w:fill="FFFFFF"/>
          </w:tcPr>
          <w:p w:rsidR="004377B7" w:rsidRPr="00DB0E0D" w:rsidRDefault="004377B7" w:rsidP="00F16692">
            <w:pPr>
              <w:pStyle w:val="RollCallTable"/>
            </w:pPr>
            <w:r>
              <w:t>Patricia Chagnon, Nicolaus Fest, Tom Vandendriessche</w:t>
            </w:r>
          </w:p>
        </w:tc>
      </w:tr>
      <w:tr w:rsidR="004377B7" w:rsidRPr="00DB0E0D" w:rsidTr="00F16692">
        <w:trPr>
          <w:cantSplit/>
        </w:trPr>
        <w:tc>
          <w:tcPr>
            <w:tcW w:w="1701" w:type="dxa"/>
            <w:shd w:val="clear" w:color="auto" w:fill="FFFFFF"/>
          </w:tcPr>
          <w:p w:rsidR="004377B7" w:rsidRPr="00DB0E0D" w:rsidRDefault="004377B7" w:rsidP="00F16692">
            <w:pPr>
              <w:pStyle w:val="RollCallTable"/>
            </w:pPr>
            <w:r>
              <w:t>NI</w:t>
            </w:r>
          </w:p>
        </w:tc>
        <w:tc>
          <w:tcPr>
            <w:tcW w:w="7371" w:type="dxa"/>
            <w:shd w:val="clear" w:color="auto" w:fill="FFFFFF"/>
          </w:tcPr>
          <w:p w:rsidR="004377B7" w:rsidRPr="00DB0E0D" w:rsidRDefault="004377B7" w:rsidP="00F16692">
            <w:pPr>
              <w:pStyle w:val="RollCallTable"/>
            </w:pPr>
            <w:r>
              <w:t>Milan Uhrík</w:t>
            </w:r>
          </w:p>
        </w:tc>
      </w:tr>
    </w:tbl>
    <w:p w:rsidR="004377B7" w:rsidRPr="00DB0E0D" w:rsidRDefault="004377B7" w:rsidP="004377B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377B7" w:rsidRPr="00DB0E0D" w:rsidTr="00F16692">
        <w:trPr>
          <w:cantSplit/>
        </w:trPr>
        <w:tc>
          <w:tcPr>
            <w:tcW w:w="1701" w:type="dxa"/>
            <w:shd w:val="pct10" w:color="000000" w:fill="FFFFFF"/>
            <w:vAlign w:val="center"/>
          </w:tcPr>
          <w:p w:rsidR="004377B7" w:rsidRPr="00DB0E0D" w:rsidRDefault="004377B7" w:rsidP="00F16692">
            <w:pPr>
              <w:pStyle w:val="RollCallVotes"/>
            </w:pPr>
            <w:r>
              <w:t>0</w:t>
            </w:r>
          </w:p>
        </w:tc>
        <w:tc>
          <w:tcPr>
            <w:tcW w:w="7371" w:type="dxa"/>
            <w:shd w:val="pct10" w:color="000000" w:fill="FFFFFF"/>
          </w:tcPr>
          <w:p w:rsidR="004377B7" w:rsidRPr="00DB0E0D" w:rsidRDefault="004377B7" w:rsidP="00F16692">
            <w:pPr>
              <w:pStyle w:val="RollCallSymbols14pt"/>
            </w:pPr>
            <w:r>
              <w:t>0</w:t>
            </w:r>
          </w:p>
        </w:tc>
      </w:tr>
      <w:tr w:rsidR="004377B7" w:rsidRPr="00DB0E0D" w:rsidTr="00F16692">
        <w:trPr>
          <w:cantSplit/>
        </w:trPr>
        <w:tc>
          <w:tcPr>
            <w:tcW w:w="1701" w:type="dxa"/>
            <w:shd w:val="clear" w:color="auto" w:fill="FFFFFF"/>
          </w:tcPr>
          <w:p w:rsidR="004377B7" w:rsidRPr="00DB0E0D" w:rsidRDefault="004377B7" w:rsidP="00F16692">
            <w:pPr>
              <w:pStyle w:val="RollCallTable"/>
            </w:pPr>
          </w:p>
        </w:tc>
        <w:tc>
          <w:tcPr>
            <w:tcW w:w="7371" w:type="dxa"/>
            <w:shd w:val="clear" w:color="auto" w:fill="FFFFFF"/>
          </w:tcPr>
          <w:p w:rsidR="004377B7" w:rsidRPr="00DB0E0D" w:rsidRDefault="004377B7" w:rsidP="00F16692">
            <w:pPr>
              <w:pStyle w:val="RollCallTable"/>
            </w:pPr>
          </w:p>
        </w:tc>
      </w:tr>
    </w:tbl>
    <w:p w:rsidR="004377B7" w:rsidRDefault="004377B7" w:rsidP="00147FBF">
      <w:pPr>
        <w:pStyle w:val="Normal12a"/>
      </w:pPr>
    </w:p>
    <w:p w:rsidR="004377B7" w:rsidRDefault="004377B7" w:rsidP="00B735E3">
      <w:r>
        <w:t>Význam zkratek:</w:t>
      </w:r>
    </w:p>
    <w:p w:rsidR="004377B7" w:rsidRDefault="004377B7" w:rsidP="003858C5">
      <w:pPr>
        <w:pStyle w:val="RollCallTabs"/>
      </w:pPr>
      <w:r>
        <w:t>+</w:t>
      </w:r>
      <w:r>
        <w:tab/>
        <w:t>:</w:t>
      </w:r>
      <w:r>
        <w:tab/>
        <w:t>pro</w:t>
      </w:r>
    </w:p>
    <w:p w:rsidR="004377B7" w:rsidRDefault="004377B7" w:rsidP="003858C5">
      <w:pPr>
        <w:pStyle w:val="RollCallTabs"/>
      </w:pPr>
      <w:r>
        <w:t>-</w:t>
      </w:r>
      <w:r>
        <w:tab/>
        <w:t>:</w:t>
      </w:r>
      <w:r>
        <w:tab/>
        <w:t>proti</w:t>
      </w:r>
    </w:p>
    <w:p w:rsidR="004377B7" w:rsidRDefault="004377B7" w:rsidP="003858C5">
      <w:pPr>
        <w:pStyle w:val="RollCallTabs"/>
      </w:pPr>
      <w:r>
        <w:t>0</w:t>
      </w:r>
      <w:r>
        <w:tab/>
        <w:t>:</w:t>
      </w:r>
      <w:r>
        <w:tab/>
        <w:t>zdrželi se</w:t>
      </w:r>
    </w:p>
    <w:p w:rsidR="004377B7" w:rsidRDefault="004377B7" w:rsidP="00207509"/>
    <w:bookmarkEnd w:id="2"/>
    <w:p w:rsidR="002E6F98" w:rsidRPr="004377B7" w:rsidRDefault="002E6F98" w:rsidP="004377B7"/>
    <w:sectPr w:rsidR="002E6F98" w:rsidRPr="004377B7" w:rsidSect="004377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8C4" w:rsidRPr="00216299" w:rsidRDefault="002268C4">
      <w:r w:rsidRPr="00216299">
        <w:separator/>
      </w:r>
    </w:p>
  </w:endnote>
  <w:endnote w:type="continuationSeparator" w:id="0">
    <w:p w:rsidR="002268C4" w:rsidRPr="00216299" w:rsidRDefault="002268C4">
      <w:r w:rsidRPr="002162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E57" w:rsidRDefault="006D4E57" w:rsidP="006D4E57">
    <w:pPr>
      <w:pStyle w:val="EPFooter"/>
    </w:pPr>
    <w:r>
      <w:t>PE</w:t>
    </w:r>
    <w:r w:rsidRPr="006D4E57">
      <w:rPr>
        <w:rStyle w:val="HideTWBExt"/>
      </w:rPr>
      <w:t>&lt;NoPE&gt;</w:t>
    </w:r>
    <w:r>
      <w:t>756.201</w:t>
    </w:r>
    <w:r w:rsidRPr="006D4E57">
      <w:rPr>
        <w:rStyle w:val="HideTWBExt"/>
      </w:rPr>
      <w:t>&lt;/NoPE&gt;&lt;Version&gt;</w:t>
    </w:r>
    <w:r>
      <w:t>v02-00</w:t>
    </w:r>
    <w:r w:rsidRPr="006D4E57">
      <w:rPr>
        <w:rStyle w:val="HideTWBExt"/>
      </w:rPr>
      <w:t>&lt;/Version&gt;</w:t>
    </w:r>
    <w:r>
      <w:tab/>
    </w:r>
    <w:r>
      <w:fldChar w:fldCharType="begin"/>
    </w:r>
    <w:r>
      <w:instrText xml:space="preserve"> PAGE  \* MERGEFORMAT </w:instrText>
    </w:r>
    <w:r>
      <w:fldChar w:fldCharType="separate"/>
    </w:r>
    <w:r w:rsidR="00E77BB4">
      <w:rPr>
        <w:noProof/>
      </w:rPr>
      <w:t>6</w:t>
    </w:r>
    <w:r>
      <w:fldChar w:fldCharType="end"/>
    </w:r>
    <w:r>
      <w:t>/</w:t>
    </w:r>
    <w:r w:rsidR="00E77BB4">
      <w:fldChar w:fldCharType="begin"/>
    </w:r>
    <w:r w:rsidR="00E77BB4">
      <w:instrText xml:space="preserve"> NUMPAGES  \* MERGEFORMAT </w:instrText>
    </w:r>
    <w:r w:rsidR="00E77BB4">
      <w:fldChar w:fldCharType="separate"/>
    </w:r>
    <w:r w:rsidR="00E77BB4">
      <w:rPr>
        <w:noProof/>
      </w:rPr>
      <w:t>7</w:t>
    </w:r>
    <w:r w:rsidR="00E77BB4">
      <w:rPr>
        <w:noProof/>
      </w:rPr>
      <w:fldChar w:fldCharType="end"/>
    </w:r>
    <w:r>
      <w:tab/>
    </w:r>
    <w:r w:rsidRPr="006D4E57">
      <w:rPr>
        <w:rStyle w:val="HideTWBExt"/>
      </w:rPr>
      <w:t>&lt;PathFdR&gt;</w:t>
    </w:r>
    <w:r>
      <w:t>AD\1294536CS.docx</w:t>
    </w:r>
    <w:r w:rsidRPr="006D4E57">
      <w:rPr>
        <w:rStyle w:val="HideTWBExt"/>
      </w:rPr>
      <w:t>&lt;/PathFdR&gt;</w:t>
    </w:r>
  </w:p>
  <w:p w:rsidR="002E2F2E" w:rsidRPr="00216299" w:rsidRDefault="006D4E57" w:rsidP="006D4E57">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E57" w:rsidRDefault="006D4E57" w:rsidP="006D4E57">
    <w:pPr>
      <w:pStyle w:val="EPFooter"/>
    </w:pPr>
    <w:r w:rsidRPr="006D4E57">
      <w:rPr>
        <w:rStyle w:val="HideTWBExt"/>
      </w:rPr>
      <w:t>&lt;PathFdR&gt;</w:t>
    </w:r>
    <w:r>
      <w:t>AD\1294536CS.docx</w:t>
    </w:r>
    <w:r w:rsidRPr="006D4E57">
      <w:rPr>
        <w:rStyle w:val="HideTWBExt"/>
      </w:rPr>
      <w:t>&lt;/PathFdR&gt;</w:t>
    </w:r>
    <w:r>
      <w:tab/>
    </w:r>
    <w:r>
      <w:fldChar w:fldCharType="begin"/>
    </w:r>
    <w:r>
      <w:instrText xml:space="preserve"> PAGE  \* MERGEFORMAT </w:instrText>
    </w:r>
    <w:r>
      <w:fldChar w:fldCharType="separate"/>
    </w:r>
    <w:r w:rsidR="00E77BB4">
      <w:rPr>
        <w:noProof/>
      </w:rPr>
      <w:t>5</w:t>
    </w:r>
    <w:r>
      <w:fldChar w:fldCharType="end"/>
    </w:r>
    <w:r>
      <w:t>/</w:t>
    </w:r>
    <w:r w:rsidR="00E77BB4">
      <w:fldChar w:fldCharType="begin"/>
    </w:r>
    <w:r w:rsidR="00E77BB4">
      <w:instrText xml:space="preserve"> NUMPAGES  \* MERGEFORMAT </w:instrText>
    </w:r>
    <w:r w:rsidR="00E77BB4">
      <w:fldChar w:fldCharType="separate"/>
    </w:r>
    <w:r w:rsidR="00E77BB4">
      <w:rPr>
        <w:noProof/>
      </w:rPr>
      <w:t>7</w:t>
    </w:r>
    <w:r w:rsidR="00E77BB4">
      <w:rPr>
        <w:noProof/>
      </w:rPr>
      <w:fldChar w:fldCharType="end"/>
    </w:r>
    <w:r>
      <w:tab/>
      <w:t>PE</w:t>
    </w:r>
    <w:r w:rsidRPr="006D4E57">
      <w:rPr>
        <w:rStyle w:val="HideTWBExt"/>
      </w:rPr>
      <w:t>&lt;NoPE&gt;</w:t>
    </w:r>
    <w:r>
      <w:t>756.201</w:t>
    </w:r>
    <w:r w:rsidRPr="006D4E57">
      <w:rPr>
        <w:rStyle w:val="HideTWBExt"/>
      </w:rPr>
      <w:t>&lt;/NoPE&gt;&lt;Version&gt;</w:t>
    </w:r>
    <w:r>
      <w:t>v02-00</w:t>
    </w:r>
    <w:r w:rsidRPr="006D4E57">
      <w:rPr>
        <w:rStyle w:val="HideTWBExt"/>
      </w:rPr>
      <w:t>&lt;/Version&gt;</w:t>
    </w:r>
  </w:p>
  <w:p w:rsidR="002E2F2E" w:rsidRPr="00216299" w:rsidRDefault="006D4E57" w:rsidP="006D4E57">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E57" w:rsidRDefault="006D4E57" w:rsidP="006D4E57">
    <w:pPr>
      <w:pStyle w:val="EPFooter"/>
    </w:pPr>
    <w:r w:rsidRPr="006D4E57">
      <w:rPr>
        <w:rStyle w:val="HideTWBExt"/>
      </w:rPr>
      <w:t>&lt;PathFdR&gt;</w:t>
    </w:r>
    <w:r>
      <w:t>AD\1294536CS.docx</w:t>
    </w:r>
    <w:r w:rsidRPr="006D4E57">
      <w:rPr>
        <w:rStyle w:val="HideTWBExt"/>
      </w:rPr>
      <w:t>&lt;/PathFdR&gt;</w:t>
    </w:r>
    <w:r>
      <w:tab/>
    </w:r>
    <w:r>
      <w:tab/>
      <w:t>PE</w:t>
    </w:r>
    <w:r w:rsidRPr="006D4E57">
      <w:rPr>
        <w:rStyle w:val="HideTWBExt"/>
      </w:rPr>
      <w:t>&lt;NoPE&gt;</w:t>
    </w:r>
    <w:r>
      <w:t>756.201</w:t>
    </w:r>
    <w:r w:rsidRPr="006D4E57">
      <w:rPr>
        <w:rStyle w:val="HideTWBExt"/>
      </w:rPr>
      <w:t>&lt;/NoPE&gt;&lt;Version&gt;</w:t>
    </w:r>
    <w:r>
      <w:t>v02-00</w:t>
    </w:r>
    <w:r w:rsidRPr="006D4E57">
      <w:rPr>
        <w:rStyle w:val="HideTWBExt"/>
      </w:rPr>
      <w:t>&lt;/Version&gt;</w:t>
    </w:r>
  </w:p>
  <w:p w:rsidR="002E2F2E" w:rsidRPr="00216299" w:rsidRDefault="006D4E57" w:rsidP="006D4E57">
    <w:pPr>
      <w:pStyle w:val="EPFooter2"/>
    </w:pPr>
    <w:r>
      <w:t>CS</w:t>
    </w:r>
    <w:r>
      <w:tab/>
    </w:r>
    <w:r w:rsidRPr="006D4E57">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8C4" w:rsidRPr="00216299" w:rsidRDefault="002268C4">
      <w:r w:rsidRPr="00216299">
        <w:separator/>
      </w:r>
    </w:p>
  </w:footnote>
  <w:footnote w:type="continuationSeparator" w:id="0">
    <w:p w:rsidR="002268C4" w:rsidRPr="00216299" w:rsidRDefault="002268C4">
      <w:r w:rsidRPr="002162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7" w:rsidRDefault="00437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7" w:rsidRDefault="004377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7" w:rsidRDefault="004377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3"/>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023185 HideTWBInt;}{_x000d__x000a_\s18\ql \fi-567\li567\ri0\sa240\nowidctlpar\wrapdefault\aspalpha\aspnum\faauto\adjustright\rin0\lin567\itap0 \rtlch\fcs1 \af0\afs20\alang1025 \ltrch\fcs0 \fs24\lang2057\langfe2057\cgrid\langnp2057\langfenp2057 _x000d__x000a_\sbasedon0 \snext18 \spriority0 \styrsid4023185 NormalHanging12a;}}{\*\rsidtbl \rsid24658\rsid223860\rsid735077\rsid1718133\rsid2892074\rsid3565327\rsid4023185\rsid4666813\rsid6641733\rsid7823322\rsid9636012\rsid10377208\rsid11215221\rsid11549030_x000d__x000a_\rsid12154954\rsid14382809\rsid14424199\rsid15204470\rsid15285974\rsid15744161\rsid15950462\rsid16324206\rsid16662270}{\mmathPr\mmathFont34\mbrkBin0\mbrkBinSub0\msmallFrac0\mdispDef1\mlMargin0\mrMargin0\mdefJc1\mwrapIndent1440\mintLim0\mnaryLim1}{\info_x000d__x000a_{\author VYROUBALOVA Jana}{\operator VYROUBALOVA Jana}{\creatim\yr2024\mo1\dy29\hr14\min53}{\revtim\yr2024\mo1\dy29\hr14\min53}{\version1}{\edmins0}{\nofpages1}{\nofwords1}{\nofchars12}{\nofcharsws12}{\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3185\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5744161 \chftnsep _x000d__x000a_\par }}{\*\ftnsepc \ltrpar \pard\plain \ltrpar\ql \li0\ri0\widctlpar\wrapdefault\aspalpha\aspnum\faauto\adjustright\rin0\lin0\itap0 \rtlch\fcs1 \af0\afs20\alang1025 \ltrch\fcs0 \fs24\lang2057\langfe2057\cgrid\langnp2057\langfenp2057 {\rtlch\fcs1 \af0 _x000d__x000a_\ltrch\fcs0 \insrsid15744161 \chftnsepc _x000d__x000a_\par }}{\*\aftnsep \ltrpar \pard\plain \ltrpar\ql \li0\ri0\widctlpar\wrapdefault\aspalpha\aspnum\faauto\adjustright\rin0\lin0\itap0 \rtlch\fcs1 \af0\afs20\alang1025 \ltrch\fcs0 \fs24\lang2057\langfe2057\cgrid\langnp2057\langfenp2057 {\rtlch\fcs1 \af0 _x000d__x000a_\ltrch\fcs0 \insrsid15744161 \chftnsep _x000d__x000a_\par }}{\*\aftnsepc \ltrpar \pard\plain \ltrpar\ql \li0\ri0\widctlpar\wrapdefault\aspalpha\aspnum\faauto\adjustright\rin0\lin0\itap0 \rtlch\fcs1 \af0\afs20\alang1025 \ltrch\fcs0 \fs24\lang2057\langfe2057\cgrid\langnp2057\langfenp2057 {\rtlch\fcs1 \af0 _x000d__x000a_\ltrch\fcs0 \insrsid157441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023185 \rtlch\fcs1 \af0\afs20\alang1025 \ltrch\fcs0 \fs24\lang2057\langfe2057\cgrid\langnp2057\langfenp2057 {\rtlch\fcs1 \af0 _x000d__x000a_\ltrch\fcs0 \insrsid4023185\charrsid13044652 {\*\bkmkstart restart}#}{\rtlch\fcs1 \af1 \ltrch\fcs0 \cs17\v\f1\fs20\cf15\insrsid4023185\charrsid13044652 NRMSG}{\rtlch\fcs1 \af0 \ltrch\fcs0 \insrsid4023185\charrsid13044652 #.\tab ##}{\rtlch\fcs1 \af0 _x000d__x000a_\ltrch\fcs0 \insrsid402318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2_x000d__x000a_a77dba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9644206 NormalHanging12a;}}{\*\rsidtbl \rsid24658\rsid223860\rsid597609\rsid735077\rsid1718133\rsid2892074\rsid3565327\rsid4666813\rsid6641733\rsid7823322_x000d__x000a_\rsid9636012\rsid9644206\rsid10377208\rsid11215221\rsid11549030\rsid12154954\rsid14382809\rsid14424199\rsid15204470\rsid15285974\rsid15950462\rsid16324206\rsid16662270}{\mmathPr\mmathFont34\mbrkBin0\mbrkBinSub0\msmallFrac0\mdispDef1\mlMargin0\mrMargin0_x000d__x000a_\mdefJc1\mwrapIndent1440\mintLim0\mnaryLim1}{\info{\author VYROUBALOVA Jana}{\operator VYROUBALOVA Jana}{\creatim\yr2024\mo1\dy29\hr14\min53}{\revtim\yr2024\mo1\dy29\hr14\min53}{\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44206\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597609 \chftnsep _x000d__x000a_\par }}{\*\ftnsepc \ltrpar \pard\plain \ltrpar\ql \li0\ri0\widctlpar\wrapdefault\aspalpha\aspnum\faauto\adjustright\rin0\lin0\itap0 \rtlch\fcs1 \af0\afs20\alang1025 \ltrch\fcs0 \fs24\lang2057\langfe2057\cgrid\langnp2057\langfenp2057 {\rtlch\fcs1 \af0 _x000d__x000a_\ltrch\fcs0 \insrsid597609 \chftnsepc _x000d__x000a_\par }}{\*\aftnsep \ltrpar \pard\plain \ltrpar\ql \li0\ri0\widctlpar\wrapdefault\aspalpha\aspnum\faauto\adjustright\rin0\lin0\itap0 \rtlch\fcs1 \af0\afs20\alang1025 \ltrch\fcs0 \fs24\lang2057\langfe2057\cgrid\langnp2057\langfenp2057 {\rtlch\fcs1 \af0 _x000d__x000a_\ltrch\fcs0 \insrsid597609 \chftnsep _x000d__x000a_\par }}{\*\aftnsepc \ltrpar \pard\plain \ltrpar\ql \li0\ri0\widctlpar\wrapdefault\aspalpha\aspnum\faauto\adjustright\rin0\lin0\itap0 \rtlch\fcs1 \af0\afs20\alang1025 \ltrch\fcs0 \fs24\lang2057\langfe2057\cgrid\langnp2057\langfenp2057 {\rtlch\fcs1 \af0 _x000d__x000a_\ltrch\fcs0 \insrsid5976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9644206 \rtlch\fcs1 \af0\afs20\alang1025 \ltrch\fcs0 \fs24\lang2057\langfe2057\cgrid\langnp2057\langfenp2057 {\rtlch\fcs1 \af0 _x000d__x000a_\ltrch\fcs0 \insrsid9644206\charrsid1525456 {\*\bkmkstart restart}[ZSUGGESTIONNR]\tab [ZSUGGESTIONTEXT]}{\rtlch\fcs1 \af0 \ltrch\fcs0 \insrsid964420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e2_x000d__x000a_1b86ba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CS"/>
    <w:docVar w:name="TXTLANGUEMIN" w:val="cs"/>
    <w:docVar w:name="TXTNRPE" w:val="756.201"/>
    <w:docVar w:name="TXTNRPROC" w:val="2023/2171"/>
    <w:docVar w:name="TXTPEorAP" w:val="PE"/>
    <w:docVar w:name="TXTROUTE" w:val="AD\1294536CS.docx"/>
    <w:docVar w:name="TXTTITLE" w:val="of the European Union Agency for Fundamental Rights for the financial year 2022"/>
    <w:docVar w:name="TXTVERSION" w:val="02-00"/>
  </w:docVars>
  <w:rsids>
    <w:rsidRoot w:val="002268C4"/>
    <w:rsid w:val="0001244A"/>
    <w:rsid w:val="000E7EBF"/>
    <w:rsid w:val="00124F60"/>
    <w:rsid w:val="00135121"/>
    <w:rsid w:val="00140BE6"/>
    <w:rsid w:val="00147F4E"/>
    <w:rsid w:val="0016635E"/>
    <w:rsid w:val="001746D0"/>
    <w:rsid w:val="00193B17"/>
    <w:rsid w:val="001B7393"/>
    <w:rsid w:val="001D2ED9"/>
    <w:rsid w:val="001F21C1"/>
    <w:rsid w:val="00216299"/>
    <w:rsid w:val="002268C4"/>
    <w:rsid w:val="002D28A7"/>
    <w:rsid w:val="002E2F2E"/>
    <w:rsid w:val="002E6F98"/>
    <w:rsid w:val="00315071"/>
    <w:rsid w:val="00325BCB"/>
    <w:rsid w:val="00331944"/>
    <w:rsid w:val="00332AD9"/>
    <w:rsid w:val="00347D2C"/>
    <w:rsid w:val="0037356F"/>
    <w:rsid w:val="00390EB2"/>
    <w:rsid w:val="00396A0E"/>
    <w:rsid w:val="003E2402"/>
    <w:rsid w:val="004377B7"/>
    <w:rsid w:val="00464903"/>
    <w:rsid w:val="004C28FB"/>
    <w:rsid w:val="004C44C0"/>
    <w:rsid w:val="0052544E"/>
    <w:rsid w:val="005940C3"/>
    <w:rsid w:val="00594C48"/>
    <w:rsid w:val="005B2F11"/>
    <w:rsid w:val="005C0BDF"/>
    <w:rsid w:val="005D60C6"/>
    <w:rsid w:val="006102E7"/>
    <w:rsid w:val="00640C1B"/>
    <w:rsid w:val="00657AFB"/>
    <w:rsid w:val="006D4E57"/>
    <w:rsid w:val="006D5BF7"/>
    <w:rsid w:val="007006DC"/>
    <w:rsid w:val="0076366E"/>
    <w:rsid w:val="007B2458"/>
    <w:rsid w:val="007B52B1"/>
    <w:rsid w:val="008313E7"/>
    <w:rsid w:val="00854CAC"/>
    <w:rsid w:val="008A32C5"/>
    <w:rsid w:val="008C6203"/>
    <w:rsid w:val="008D61E7"/>
    <w:rsid w:val="008F7002"/>
    <w:rsid w:val="0099493F"/>
    <w:rsid w:val="009A19F9"/>
    <w:rsid w:val="00A16BEA"/>
    <w:rsid w:val="00A312B3"/>
    <w:rsid w:val="00A72C35"/>
    <w:rsid w:val="00AB2EA6"/>
    <w:rsid w:val="00AE180F"/>
    <w:rsid w:val="00B362F7"/>
    <w:rsid w:val="00B5456B"/>
    <w:rsid w:val="00B74B53"/>
    <w:rsid w:val="00BC26E4"/>
    <w:rsid w:val="00BD1EAA"/>
    <w:rsid w:val="00C52739"/>
    <w:rsid w:val="00C827FF"/>
    <w:rsid w:val="00C853FB"/>
    <w:rsid w:val="00CD34AC"/>
    <w:rsid w:val="00DE19FF"/>
    <w:rsid w:val="00E77BB4"/>
    <w:rsid w:val="00E81BA6"/>
    <w:rsid w:val="00E856D2"/>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D98B5619-2623-4A88-B4C3-55538C7C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C853FB"/>
    <w:rPr>
      <w:vertAlign w:val="superscript"/>
    </w:rPr>
  </w:style>
  <w:style w:type="paragraph" w:styleId="Footer">
    <w:name w:val="footer"/>
    <w:basedOn w:val="Normal"/>
    <w:link w:val="FooterChar"/>
    <w:semiHidden/>
    <w:rsid w:val="00C853FB"/>
    <w:pPr>
      <w:tabs>
        <w:tab w:val="center" w:pos="4513"/>
        <w:tab w:val="right" w:pos="9026"/>
      </w:tabs>
    </w:pPr>
  </w:style>
  <w:style w:type="character" w:customStyle="1" w:styleId="FooterChar">
    <w:name w:val="Footer Char"/>
    <w:basedOn w:val="DefaultParagraphFont"/>
    <w:link w:val="Footer"/>
    <w:semiHidden/>
    <w:rsid w:val="00C853FB"/>
    <w:rPr>
      <w:sz w:val="24"/>
    </w:rPr>
  </w:style>
  <w:style w:type="paragraph" w:customStyle="1" w:styleId="Normal24a">
    <w:name w:val="Normal24a"/>
    <w:basedOn w:val="Normal"/>
    <w:rsid w:val="004377B7"/>
    <w:pPr>
      <w:spacing w:after="480"/>
    </w:pPr>
  </w:style>
  <w:style w:type="paragraph" w:customStyle="1" w:styleId="NormalBoldCenter">
    <w:name w:val="NormalBoldCenter"/>
    <w:basedOn w:val="Normal"/>
    <w:rsid w:val="004377B7"/>
    <w:pPr>
      <w:jc w:val="center"/>
    </w:pPr>
    <w:rPr>
      <w:b/>
    </w:rPr>
  </w:style>
  <w:style w:type="paragraph" w:customStyle="1" w:styleId="RollCallSymbols14pt">
    <w:name w:val="RollCallSymbols14pt"/>
    <w:basedOn w:val="Normal"/>
    <w:rsid w:val="004377B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377B7"/>
    <w:pPr>
      <w:tabs>
        <w:tab w:val="center" w:pos="284"/>
        <w:tab w:val="left" w:pos="426"/>
      </w:tabs>
    </w:pPr>
    <w:rPr>
      <w:snapToGrid w:val="0"/>
      <w:lang w:eastAsia="en-US"/>
    </w:rPr>
  </w:style>
  <w:style w:type="paragraph" w:customStyle="1" w:styleId="RollCallVotes">
    <w:name w:val="RollCallVotes"/>
    <w:basedOn w:val="Normal"/>
    <w:rsid w:val="004377B7"/>
    <w:pPr>
      <w:spacing w:before="120" w:after="120"/>
      <w:jc w:val="center"/>
    </w:pPr>
    <w:rPr>
      <w:b/>
      <w:bCs/>
      <w:snapToGrid w:val="0"/>
      <w:sz w:val="16"/>
      <w:lang w:eastAsia="en-US"/>
    </w:rPr>
  </w:style>
  <w:style w:type="paragraph" w:customStyle="1" w:styleId="RollCallTable">
    <w:name w:val="RollCallTable"/>
    <w:basedOn w:val="Normal"/>
    <w:rsid w:val="004377B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408318">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771</Words>
  <Characters>7679</Characters>
  <Application>Microsoft Office Word</Application>
  <DocSecurity>0</DocSecurity>
  <Lines>219</Lines>
  <Paragraphs>112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2024-02-08T08:23:00Z</dcterms:created>
  <dcterms:modified xsi:type="dcterms:W3CDTF">2024-02-08T08:23:00Z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[20230920]</vt:lpwstr>
  </property>
  <property fmtid="{D5CDD505-2E9C-101B-9397-08002B2CF9AE}" pid="4" name="LastEdited with">
    <vt:lpwstr>9.17.1 Build [20240111]</vt:lpwstr>
  </property>
  <property fmtid="{D5CDD505-2E9C-101B-9397-08002B2CF9AE}" pid="5" name="&lt;FdR&gt;">
    <vt:lpwstr>1294536</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AD\1294536CS.docx</vt:lpwstr>
  </property>
  <property fmtid="{D5CDD505-2E9C-101B-9397-08002B2CF9AE}" pid="11" name="PE number">
    <vt:lpwstr>756.201</vt:lpwstr>
  </property>
  <property fmtid="{D5CDD505-2E9C-101B-9397-08002B2CF9AE}" pid="12" name="SendToEpades">
    <vt:lpwstr>OK - 2023/11/20 15:01</vt:lpwstr>
  </property>
  <property fmtid="{D5CDD505-2E9C-101B-9397-08002B2CF9AE}" pid="13" name="Bookout">
    <vt:lpwstr>OK - 2024/02/08 09:18</vt:lpwstr>
  </property>
  <property fmtid="{D5CDD505-2E9C-101B-9397-08002B2CF9AE}" pid="14" name="SDLStudio">
    <vt:lpwstr/>
  </property>
</Properties>
</file>