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974E6" w:rsidRPr="00CD65E8" w:rsidTr="00C85D0F">
        <w:trPr>
          <w:trHeight w:hRule="exact" w:val="1418"/>
        </w:trPr>
        <w:tc>
          <w:tcPr>
            <w:tcW w:w="6804" w:type="dxa"/>
            <w:shd w:val="clear" w:color="auto" w:fill="auto"/>
            <w:vAlign w:val="center"/>
          </w:tcPr>
          <w:p w:rsidR="00854CAC" w:rsidRPr="00CD65E8" w:rsidRDefault="00AC4265" w:rsidP="00C85D0F">
            <w:pPr>
              <w:pStyle w:val="EPName"/>
            </w:pPr>
            <w:r w:rsidRPr="00CD65E8">
              <w:t>Euroopa Parlament</w:t>
            </w:r>
          </w:p>
          <w:p w:rsidR="00854CAC" w:rsidRPr="00CD65E8" w:rsidRDefault="00AC4265" w:rsidP="00C853FB">
            <w:pPr>
              <w:pStyle w:val="EPTerm"/>
            </w:pPr>
            <w:r w:rsidRPr="00CD65E8">
              <w:t>2019-2024</w:t>
            </w:r>
          </w:p>
        </w:tc>
        <w:tc>
          <w:tcPr>
            <w:tcW w:w="2268" w:type="dxa"/>
            <w:shd w:val="clear" w:color="auto" w:fill="auto"/>
          </w:tcPr>
          <w:p w:rsidR="00854CAC" w:rsidRPr="00CD65E8" w:rsidRDefault="00AC4265" w:rsidP="00C85D0F">
            <w:pPr>
              <w:pStyle w:val="EPLogo"/>
            </w:pPr>
            <w:r w:rsidRPr="00CD65E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CD65E8" w:rsidRDefault="001746D0" w:rsidP="001746D0">
      <w:pPr>
        <w:pStyle w:val="LineTop"/>
      </w:pPr>
    </w:p>
    <w:p w:rsidR="001746D0" w:rsidRPr="00CD65E8" w:rsidRDefault="00AC4265" w:rsidP="001746D0">
      <w:pPr>
        <w:pStyle w:val="EPBody"/>
      </w:pPr>
      <w:r w:rsidRPr="00D03A82">
        <w:rPr>
          <w:rStyle w:val="HideTWBExt"/>
          <w:i w:val="0"/>
          <w:szCs w:val="20"/>
        </w:rPr>
        <w:t>&lt;Commission&gt;</w:t>
      </w:r>
      <w:r w:rsidRPr="00D03A82">
        <w:rPr>
          <w:rStyle w:val="HideTWBInt"/>
          <w:i w:val="0"/>
          <w:szCs w:val="20"/>
        </w:rPr>
        <w:t>{LIBE}</w:t>
      </w:r>
      <w:r w:rsidRPr="00CD65E8">
        <w:t>Kodanikuvabaduste, justiits- ja siseasjade komisjon</w:t>
      </w:r>
      <w:r w:rsidRPr="00D03A82">
        <w:rPr>
          <w:rStyle w:val="HideTWBExt"/>
          <w:i w:val="0"/>
          <w:szCs w:val="20"/>
        </w:rPr>
        <w:t>&lt;/Commission&gt;</w:t>
      </w:r>
    </w:p>
    <w:p w:rsidR="001746D0" w:rsidRPr="00CD65E8" w:rsidRDefault="001746D0" w:rsidP="001746D0">
      <w:pPr>
        <w:pStyle w:val="LineBottom"/>
      </w:pPr>
    </w:p>
    <w:p w:rsidR="002E2F2E" w:rsidRPr="00CD65E8" w:rsidRDefault="00AC4265">
      <w:pPr>
        <w:pStyle w:val="CoverReference"/>
      </w:pPr>
      <w:r w:rsidRPr="00D03A82">
        <w:rPr>
          <w:rStyle w:val="HideTWBExt"/>
          <w:b w:val="0"/>
        </w:rPr>
        <w:t>&lt;RefProc&gt;</w:t>
      </w:r>
      <w:r w:rsidRPr="00CD65E8">
        <w:t>2023/2171</w:t>
      </w:r>
      <w:r w:rsidRPr="00D03A82">
        <w:rPr>
          <w:rStyle w:val="HideTWBExt"/>
          <w:b w:val="0"/>
        </w:rPr>
        <w:t>&lt;/RefProc&gt;&lt;RefTypeProc&gt;</w:t>
      </w:r>
      <w:r w:rsidRPr="00CD65E8">
        <w:t>(DEC)</w:t>
      </w:r>
      <w:r w:rsidRPr="00D03A82">
        <w:rPr>
          <w:rStyle w:val="HideTWBExt"/>
          <w:b w:val="0"/>
        </w:rPr>
        <w:t>&lt;/RefTypeProc&gt;</w:t>
      </w:r>
    </w:p>
    <w:p w:rsidR="002E2F2E" w:rsidRPr="00CD65E8" w:rsidRDefault="00AC4265">
      <w:pPr>
        <w:pStyle w:val="CoverDate"/>
      </w:pPr>
      <w:r w:rsidRPr="00D03A82">
        <w:rPr>
          <w:rStyle w:val="HideTWBExt"/>
        </w:rPr>
        <w:t>&lt;Date&gt;</w:t>
      </w:r>
      <w:r w:rsidRPr="00D03A82">
        <w:rPr>
          <w:rStyle w:val="HideTWBInt"/>
        </w:rPr>
        <w:t>{24/01/2024}</w:t>
      </w:r>
      <w:r w:rsidRPr="00CD65E8">
        <w:t>24.1.2024</w:t>
      </w:r>
      <w:r w:rsidRPr="00D03A82">
        <w:rPr>
          <w:rStyle w:val="HideTWBExt"/>
        </w:rPr>
        <w:t>&lt;/Date&gt;</w:t>
      </w:r>
    </w:p>
    <w:p w:rsidR="002E2F2E" w:rsidRPr="00CD65E8" w:rsidRDefault="00AC4265">
      <w:pPr>
        <w:pStyle w:val="CoverDocType24a"/>
      </w:pPr>
      <w:r w:rsidRPr="00D03A82">
        <w:rPr>
          <w:rStyle w:val="HideTWBExt"/>
          <w:b w:val="0"/>
        </w:rPr>
        <w:t>&lt;TitreType&gt;</w:t>
      </w:r>
      <w:r w:rsidRPr="00CD65E8">
        <w:t>ARVAMUS</w:t>
      </w:r>
      <w:r w:rsidRPr="00D03A82">
        <w:rPr>
          <w:rStyle w:val="HideTWBExt"/>
          <w:b w:val="0"/>
        </w:rPr>
        <w:t>&lt;/TitreType&gt;</w:t>
      </w:r>
    </w:p>
    <w:p w:rsidR="002E2F2E" w:rsidRPr="00CD65E8" w:rsidRDefault="00AC4265">
      <w:pPr>
        <w:pStyle w:val="CoverNormal24a"/>
      </w:pPr>
      <w:r w:rsidRPr="00D03A82">
        <w:rPr>
          <w:rStyle w:val="HideTWBExt"/>
        </w:rPr>
        <w:t>&lt;CommissionResp&gt;</w:t>
      </w:r>
      <w:r w:rsidRPr="00CD65E8">
        <w:t>Esitaja: kodanikuvabaduste, justiits- ja siseasjade komisjon</w:t>
      </w:r>
      <w:r w:rsidRPr="00D03A82">
        <w:rPr>
          <w:rStyle w:val="HideTWBExt"/>
        </w:rPr>
        <w:t>&lt;/CommissionResp&gt;</w:t>
      </w:r>
    </w:p>
    <w:p w:rsidR="002E2F2E" w:rsidRPr="00CD65E8" w:rsidRDefault="00AC4265">
      <w:pPr>
        <w:pStyle w:val="CoverNormal24a"/>
      </w:pPr>
      <w:r w:rsidRPr="00D03A82">
        <w:rPr>
          <w:rStyle w:val="HideTWBExt"/>
        </w:rPr>
        <w:t>&lt;CommissionInt&gt;</w:t>
      </w:r>
      <w:r w:rsidRPr="00CD65E8">
        <w:t>Saaja: eelarvekontrollikomisjon</w:t>
      </w:r>
      <w:r w:rsidRPr="00D03A82">
        <w:rPr>
          <w:rStyle w:val="HideTWBExt"/>
        </w:rPr>
        <w:t>&lt;/CommissionInt&gt;</w:t>
      </w:r>
    </w:p>
    <w:p w:rsidR="002E2F2E" w:rsidRPr="00CD65E8" w:rsidRDefault="00AC4265">
      <w:pPr>
        <w:pStyle w:val="CoverNormal"/>
      </w:pPr>
      <w:r w:rsidRPr="00D03A82">
        <w:rPr>
          <w:rStyle w:val="HideTWBExt"/>
        </w:rPr>
        <w:t>&lt;Titre&gt;</w:t>
      </w:r>
      <w:r w:rsidRPr="00CD65E8">
        <w:t>Euroopa Liidu Põhiõiguste Ameti 2022. aasta eelarve täitmisele heakskiidu andmise kohta</w:t>
      </w:r>
      <w:r w:rsidRPr="00D03A82">
        <w:rPr>
          <w:rStyle w:val="HideTWBExt"/>
        </w:rPr>
        <w:t>&lt;/Titre&gt;</w:t>
      </w:r>
    </w:p>
    <w:p w:rsidR="002E2F2E" w:rsidRPr="00CD65E8" w:rsidRDefault="00AC4265">
      <w:pPr>
        <w:pStyle w:val="CoverNormal24a"/>
      </w:pPr>
      <w:r w:rsidRPr="00D03A82">
        <w:rPr>
          <w:rStyle w:val="HideTWBExt"/>
        </w:rPr>
        <w:t>&lt;DocRef&gt;</w:t>
      </w:r>
      <w:r w:rsidRPr="00CD65E8">
        <w:t>(2023/2171(DEC))</w:t>
      </w:r>
      <w:r w:rsidRPr="00D03A82">
        <w:rPr>
          <w:rStyle w:val="HideTWBExt"/>
        </w:rPr>
        <w:t>&lt;/DocRef&gt;</w:t>
      </w:r>
    </w:p>
    <w:p w:rsidR="002E2F2E" w:rsidRPr="00CD65E8" w:rsidRDefault="00AC4265">
      <w:pPr>
        <w:pStyle w:val="CoverNormal24a"/>
      </w:pPr>
      <w:r w:rsidRPr="00CD65E8">
        <w:t xml:space="preserve">Arvamuse koostaja: </w:t>
      </w:r>
      <w:r w:rsidRPr="00D03A82">
        <w:rPr>
          <w:rStyle w:val="HideTWBExt"/>
        </w:rPr>
        <w:t>&lt;Depute&gt;</w:t>
      </w:r>
      <w:r w:rsidRPr="00CD65E8">
        <w:t>Tomáš Zdechovský</w:t>
      </w:r>
      <w:r w:rsidRPr="00D03A82">
        <w:rPr>
          <w:rStyle w:val="HideTWBExt"/>
        </w:rPr>
        <w:t>&lt;/Depute&gt;</w:t>
      </w:r>
    </w:p>
    <w:p w:rsidR="00A72C35" w:rsidRPr="00CD65E8" w:rsidRDefault="00A72C35" w:rsidP="00A72C35">
      <w:pPr>
        <w:pStyle w:val="CoverNormal"/>
      </w:pPr>
    </w:p>
    <w:p w:rsidR="002E2F2E" w:rsidRPr="00CD65E8" w:rsidRDefault="00AC4265" w:rsidP="00E856D2">
      <w:pPr>
        <w:widowControl/>
        <w:tabs>
          <w:tab w:val="center" w:pos="4677"/>
        </w:tabs>
      </w:pPr>
      <w:r w:rsidRPr="00CD65E8">
        <w:br w:type="page"/>
      </w:r>
      <w:r w:rsidRPr="00CD65E8">
        <w:lastRenderedPageBreak/>
        <w:t>PA_NonLeg</w:t>
      </w:r>
    </w:p>
    <w:p w:rsidR="002E2F2E" w:rsidRPr="00CD65E8" w:rsidRDefault="00AC4265">
      <w:pPr>
        <w:pStyle w:val="PageHeadingNotTOC"/>
      </w:pPr>
      <w:r w:rsidRPr="00CD65E8">
        <w:br w:type="page"/>
      </w:r>
      <w:r w:rsidRPr="00CD65E8">
        <w:lastRenderedPageBreak/>
        <w:t>ETTEPANEKUD</w:t>
      </w:r>
    </w:p>
    <w:p w:rsidR="002E2F2E" w:rsidRPr="00CD65E8" w:rsidRDefault="00AC4265" w:rsidP="008313E7">
      <w:pPr>
        <w:pStyle w:val="Normal12a"/>
      </w:pPr>
      <w:r w:rsidRPr="00CD65E8">
        <w:t>Kodanikuvabaduste, justiits- ja siseasjade komisjon palub vastutaval eelarvekontrollikomisjonil lisada oma resolutsiooni ettepanekusse järgmised ettepanekud:</w:t>
      </w:r>
    </w:p>
    <w:p w:rsidR="00C853FB" w:rsidRPr="00CD65E8" w:rsidRDefault="00AC4265" w:rsidP="00C853FB">
      <w:pPr>
        <w:pStyle w:val="NormalHanging12a"/>
      </w:pPr>
      <w:r w:rsidRPr="00CD65E8">
        <w:t>1.</w:t>
      </w:r>
      <w:r w:rsidRPr="00CD65E8">
        <w:tab/>
        <w:t>tunneb heameelt asjaolu üle, et Euroopa Kontrollikoda (edaspidi „kontrollikoda“) on kuulutanud Euroopa Liidu Põhiõiguste Ameti (FRA) 2022. aasta raamatupidamise aastaaruande aluseks olevad tehingud kõigis olulistes aspektides seaduslikeks ja korrektseteks; võtab teadmiseks kontrollikoja tähelepaneku põhitegevusega seotud ülekandmiste korduva kõrge määra kohta ja märgib, et 2023. aastasse kanti kättesaadavatest 2022. aasta kulukohustuste assigneeringutest 6,4 miljonit eurot (26 %); juhib tähelepanu kontrollikoja märkusele, mille kohaselt on ülekandmiste korduv kõrge määr vastuolus eelarve aastasuse põhimõttega ning osutab struktuursetele probleemidele eelarve menetluses ja täitmise tsüklis; võtab teadmiseks FRA vastuse, milles märgitakse, et FRA töö spetsiifilise raamistiku tõttu on tegevuskuludega seotud kulukohustusi aasta alguses raske võtta ning assigneeringute ülekandmist on raske täielikult vältida; rõhutab, et FRA on jätkuvalt eelarvet hästi täitnud, kuna täitmise määr on viimase kümne aasta jooksul olnud suurem kui 99 %;</w:t>
      </w:r>
    </w:p>
    <w:p w:rsidR="00C853FB" w:rsidRPr="00CD65E8" w:rsidRDefault="00AC4265" w:rsidP="00C853FB">
      <w:pPr>
        <w:pStyle w:val="NormalHanging12a"/>
      </w:pPr>
      <w:r w:rsidRPr="00CD65E8">
        <w:t>2.</w:t>
      </w:r>
      <w:r w:rsidRPr="00CD65E8">
        <w:tab/>
        <w:t xml:space="preserve">võtab rahuloluga teadmiseks, et FRA on olnud abiks diskrimineerimisvastase võitluse ja tehisintellekti valdkonnas valitsevate suundumuste kindlakstegemisel ning toetanud paremat õigusloomet ja rakendamist, andes seadusandlikku ja poliitilist nõu sellistes küsimustes nagu laste õigused, ohvrite õigused, terrorismivastane võitlus, andmekaitse, rassismivastane võitlus, antisemitism, rahvusvähemused, LGBTIQ-inimesed ja muud haavatavad rühmad; </w:t>
      </w:r>
    </w:p>
    <w:p w:rsidR="001F5B6C" w:rsidRPr="00CD65E8" w:rsidRDefault="00AC4265" w:rsidP="00C853FB">
      <w:pPr>
        <w:pStyle w:val="NormalHanging12a"/>
      </w:pPr>
      <w:r w:rsidRPr="00CD65E8">
        <w:t>3.</w:t>
      </w:r>
      <w:r w:rsidRPr="00CD65E8">
        <w:tab/>
        <w:t>tunnistab, et FRA reageeris kiiresti Venemaa sissetungile Ukrainasse ning oli sealhulgas üks esimesi ELi ameteid, kes jälgis olukorda piiril ning koostas aruande, kaks bülletääni ja veebiküsitluse; väljendab heameelt, et FRA reageeris esilekerkivatele põhiõigustega seotud küsimustele kiiresti, andes näiteks oma aruandes „Establishing national independent mechanisms to monitor fundamental rights compliance at EU external borders“ (Riiklike sõltumatute mehhanismide loomine põhiõiguste järgimise jälgimiseks ELi välispiiridel) üldised suunised, mis aitavad ELi liikmesriikidel luua või tugevdada riiklikke mehhanisme põhiõiguste järgimise jälgimiseks, pakkudes kaitsemeetmeid mehhanismi sõltumatuse tagamiseks; tuletab meelde, et rahvusvaheline õigus nõuab kõigi pagulaste mittediskrimineerivat kohtlemist;</w:t>
      </w:r>
    </w:p>
    <w:p w:rsidR="00C853FB" w:rsidRPr="00CD65E8" w:rsidRDefault="00AC4265" w:rsidP="00C853FB">
      <w:pPr>
        <w:pStyle w:val="NormalHanging12a"/>
      </w:pPr>
      <w:r w:rsidRPr="00CD65E8">
        <w:t>4.</w:t>
      </w:r>
      <w:r w:rsidRPr="00CD65E8">
        <w:tab/>
        <w:t>väljendab heameelt FRA pidevate algatuste üle, mille eesmärk on edendada sünergiat ELi asutuste vahel, ning tema koordineeriva rolli üle mitmesugustes algatustes, mis on seotud justiits- ja siseküsimustega tegelevate asutuste võrgustikuga, sealhulgas andmekaitse ja soolise vägivalla valdkonnas; märgib tunnustavalt Euroopa Piiri- ja Rannikuvalve Ametiga (Frontex) tehtavat tihedat koostööd, nimelt Frontexi nõuandefoorumi kaasjuhtimist ja Frontexi haldusnõukogu koosolekutel põhiõiguste eksperdina osalemist; tunneb heameelt, et Euroopa Liidu Õiguskaitsekoolituse Ametile (CEPOL), Frontexile ning Vabadusel, Turvalisusel ja Õigusel Rajaneva Ala Suuremahuliste IT-süsteemide Operatiivjuhtimise Euroopa Liidu Ametile (eu-LISA) korraldati koolitusi põhiõiguste teemal ning IT-süsteemide kasutamise kohta piiride ja julgeoleku valdkonnas; tunnustab osalemist Euroopa Liidu Õiguskaitsekoostöö Ametiga (Europol) julgeoleku valdkonnas tehtavas töös; väljendab heameelt koostöö üle Euroopa Soolise Võrdõiguslikkuse Instituudiga (EIGE), et valmistada ette naistevastase vägivalla teise uuringu jaoks tehtavat tööd kohapeal;</w:t>
      </w:r>
    </w:p>
    <w:p w:rsidR="00C853FB" w:rsidRPr="00CD65E8" w:rsidRDefault="00AC4265" w:rsidP="00C853FB">
      <w:pPr>
        <w:pStyle w:val="NormalHanging12a"/>
      </w:pPr>
      <w:r w:rsidRPr="00CD65E8">
        <w:t>5.</w:t>
      </w:r>
      <w:r w:rsidRPr="00CD65E8">
        <w:tab/>
        <w:t>märgib rahuloluga, et FRA ületas suuresti oma peamiste tulemusnäitajate eesmärgid ja säilitas sidusrühmade rahulolu kõrge taseme; väljendab heameelt asjaolu üle, et FRA avaldas 2022. aastal 28 väljaannet, 3062 teadusväljundit, 342 kirjalikku või suulist sisendit ning korraldas või kaaskorraldas 134 kohtumist ja üritust ning et meedias viidati FRA-le 4319 korda; võtab rahuloluga teadmiseks 2022. aastal suurenenud suhtluse sotsiaalmeedias;</w:t>
      </w:r>
    </w:p>
    <w:p w:rsidR="00C853FB" w:rsidRPr="00CD65E8" w:rsidRDefault="00AC4265" w:rsidP="00C853FB">
      <w:pPr>
        <w:pStyle w:val="NormalHanging12a"/>
      </w:pPr>
      <w:r w:rsidRPr="00CD65E8">
        <w:t>6.</w:t>
      </w:r>
      <w:r w:rsidRPr="00CD65E8">
        <w:tab/>
        <w:t>väljendab heameelt selle üle, et sidusrühmad on väga rahul FRA tegevusega, millega edendati 2022. aastal koostööd põhiõiguste platvormi kaudu; tunnustab asjaolu, et FRA korraldas mitmesuguseid üritusi, sealhulgas neljanda põhiõiguste dialoogi noortega, ning muid seminare ja veebinare, et levitada õigusi, väärtusi ja vabadusi;</w:t>
      </w:r>
      <w:r w:rsidRPr="00CD65E8">
        <w:rPr>
          <w:rStyle w:val="FootnoteReference"/>
        </w:rPr>
        <w:t xml:space="preserve"> </w:t>
      </w:r>
    </w:p>
    <w:p w:rsidR="003E0794" w:rsidRPr="00CD65E8" w:rsidRDefault="00AC4265" w:rsidP="00E3133B">
      <w:pPr>
        <w:pStyle w:val="NormalHanging12a"/>
        <w:ind w:left="560" w:hanging="560"/>
      </w:pPr>
      <w:r w:rsidRPr="00CD65E8">
        <w:t>7.</w:t>
      </w:r>
      <w:r w:rsidRPr="00CD65E8">
        <w:tab/>
        <w:t xml:space="preserve">tunnistab FRA rolli riikliku inimõiguste taristu mõjuvõimu suurendamisel, millele aitab kaasa koostöö ja koostoime loomine inimõiguste institutsioonidega ning partnerlus kodanikuühiskonna institutsioonidega; võtab teadmiseks FRA pidevad suunised varjupaiga ja rände valdkonnas ning liikmesriikidele korrapäraselt antavad ülevaated rändega seotud põhiõigusi puudutavate probleemide kohta; väljendab heameelt FRA rolli üle inimõigustel põhineva narratiivi edendamisel, mille käigus ta arendab tõhusat teabevahetust, osaleb uute digitaalsete rakenduste ja vahendite väljatöötamises ning viib kokku inimõigustes osalejad, et edendada Euroopa väärtusi ja vabadusi. </w:t>
      </w:r>
    </w:p>
    <w:p w:rsidR="009A7CBC" w:rsidRPr="00CD65E8" w:rsidRDefault="00AC4265" w:rsidP="009A7CBC">
      <w:r w:rsidRPr="00CD65E8">
        <w:br w:type="page"/>
      </w:r>
      <w:bookmarkStart w:id="0" w:name="_GoBack"/>
      <w:bookmarkEnd w:id="0"/>
    </w:p>
    <w:p w:rsidR="009A7CBC" w:rsidRPr="00CD65E8" w:rsidRDefault="00AC4265" w:rsidP="009A7CBC">
      <w:pPr>
        <w:pStyle w:val="PageHeadingNotTOC"/>
      </w:pPr>
      <w:bookmarkStart w:id="1" w:name="ProcPageAD"/>
      <w:r w:rsidRPr="00CD65E8">
        <w:t>TEAVE VASTUVÕTMISE KOHTA NÕUANDVAS KOMISJONIS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974E6" w:rsidRPr="00CD65E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A7CBC" w:rsidRPr="00CD65E8" w:rsidRDefault="00AC4265">
            <w:pPr>
              <w:autoSpaceDE w:val="0"/>
              <w:autoSpaceDN w:val="0"/>
              <w:adjustRightInd w:val="0"/>
              <w:rPr>
                <w:b/>
                <w:bCs/>
                <w:color w:val="000000"/>
                <w:sz w:val="20"/>
              </w:rPr>
            </w:pPr>
            <w:r w:rsidRPr="00CD65E8">
              <w:rPr>
                <w:b/>
                <w:color w:val="000000"/>
                <w:sz w:val="20"/>
              </w:rPr>
              <w:t>Vastuvõtmise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A7CBC" w:rsidRPr="00CD65E8" w:rsidRDefault="00AC4265">
            <w:pPr>
              <w:autoSpaceDE w:val="0"/>
              <w:autoSpaceDN w:val="0"/>
              <w:adjustRightInd w:val="0"/>
              <w:rPr>
                <w:color w:val="000000"/>
                <w:sz w:val="20"/>
              </w:rPr>
            </w:pPr>
            <w:r w:rsidRPr="00CD65E8">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A7CBC" w:rsidRPr="00CD65E8" w:rsidRDefault="009A7CB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A7CBC" w:rsidRPr="00CD65E8" w:rsidRDefault="009A7CB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A7CBC" w:rsidRPr="00CD65E8" w:rsidRDefault="009A7CBC">
            <w:pPr>
              <w:autoSpaceDE w:val="0"/>
              <w:autoSpaceDN w:val="0"/>
              <w:adjustRightInd w:val="0"/>
              <w:rPr>
                <w:rFonts w:ascii="sans-serif" w:hAnsi="sans-serif" w:cs="sans-serif"/>
                <w:color w:val="000000"/>
                <w:szCs w:val="24"/>
              </w:rPr>
            </w:pPr>
          </w:p>
        </w:tc>
      </w:tr>
      <w:tr w:rsidR="006974E6" w:rsidRPr="00CD65E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A7CBC" w:rsidRPr="00CD65E8" w:rsidRDefault="00AC4265">
            <w:pPr>
              <w:autoSpaceDE w:val="0"/>
              <w:autoSpaceDN w:val="0"/>
              <w:adjustRightInd w:val="0"/>
              <w:rPr>
                <w:b/>
                <w:bCs/>
                <w:color w:val="000000"/>
                <w:sz w:val="20"/>
              </w:rPr>
            </w:pPr>
            <w:r w:rsidRPr="00CD65E8">
              <w:rPr>
                <w:b/>
                <w:color w:val="000000"/>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A7CBC" w:rsidRPr="00CD65E8" w:rsidRDefault="00AC4265">
            <w:pPr>
              <w:autoSpaceDE w:val="0"/>
              <w:autoSpaceDN w:val="0"/>
              <w:adjustRightInd w:val="0"/>
              <w:rPr>
                <w:color w:val="000000"/>
                <w:sz w:val="20"/>
              </w:rPr>
            </w:pPr>
            <w:r w:rsidRPr="00CD65E8">
              <w:rPr>
                <w:color w:val="000000"/>
                <w:sz w:val="20"/>
              </w:rPr>
              <w:t>+:</w:t>
            </w:r>
          </w:p>
          <w:p w:rsidR="009A7CBC" w:rsidRPr="00CD65E8" w:rsidRDefault="00AC4265">
            <w:pPr>
              <w:autoSpaceDE w:val="0"/>
              <w:autoSpaceDN w:val="0"/>
              <w:adjustRightInd w:val="0"/>
              <w:rPr>
                <w:color w:val="000000"/>
                <w:sz w:val="20"/>
              </w:rPr>
            </w:pPr>
            <w:r w:rsidRPr="00CD65E8">
              <w:rPr>
                <w:color w:val="000000"/>
                <w:sz w:val="20"/>
              </w:rPr>
              <w:t>–:</w:t>
            </w:r>
          </w:p>
          <w:p w:rsidR="009A7CBC" w:rsidRPr="00CD65E8" w:rsidRDefault="00AC4265">
            <w:pPr>
              <w:autoSpaceDE w:val="0"/>
              <w:autoSpaceDN w:val="0"/>
              <w:adjustRightInd w:val="0"/>
              <w:rPr>
                <w:color w:val="000000"/>
                <w:sz w:val="20"/>
              </w:rPr>
            </w:pPr>
            <w:r w:rsidRPr="00CD65E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A7CBC" w:rsidRPr="00CD65E8" w:rsidRDefault="00AC4265">
            <w:pPr>
              <w:autoSpaceDE w:val="0"/>
              <w:autoSpaceDN w:val="0"/>
              <w:adjustRightInd w:val="0"/>
              <w:rPr>
                <w:color w:val="000000"/>
                <w:sz w:val="20"/>
              </w:rPr>
            </w:pPr>
            <w:r w:rsidRPr="00CD65E8">
              <w:rPr>
                <w:color w:val="000000"/>
                <w:sz w:val="20"/>
              </w:rPr>
              <w:t>47</w:t>
            </w:r>
          </w:p>
          <w:p w:rsidR="009A7CBC" w:rsidRPr="00CD65E8" w:rsidRDefault="00AC4265">
            <w:pPr>
              <w:autoSpaceDE w:val="0"/>
              <w:autoSpaceDN w:val="0"/>
              <w:adjustRightInd w:val="0"/>
              <w:rPr>
                <w:color w:val="000000"/>
                <w:sz w:val="20"/>
              </w:rPr>
            </w:pPr>
            <w:r w:rsidRPr="00CD65E8">
              <w:rPr>
                <w:color w:val="000000"/>
                <w:sz w:val="20"/>
              </w:rPr>
              <w:t>9</w:t>
            </w:r>
          </w:p>
          <w:p w:rsidR="009A7CBC" w:rsidRPr="00CD65E8" w:rsidRDefault="00AC4265">
            <w:pPr>
              <w:autoSpaceDE w:val="0"/>
              <w:autoSpaceDN w:val="0"/>
              <w:adjustRightInd w:val="0"/>
              <w:rPr>
                <w:color w:val="000000"/>
                <w:sz w:val="20"/>
              </w:rPr>
            </w:pPr>
            <w:r w:rsidRPr="00CD65E8">
              <w:rPr>
                <w:color w:val="000000"/>
                <w:sz w:val="20"/>
              </w:rPr>
              <w:t>0</w:t>
            </w:r>
          </w:p>
        </w:tc>
      </w:tr>
      <w:tr w:rsidR="006974E6" w:rsidRPr="00CD65E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A7CBC" w:rsidRPr="00CD65E8" w:rsidRDefault="00AC4265">
            <w:pPr>
              <w:autoSpaceDE w:val="0"/>
              <w:autoSpaceDN w:val="0"/>
              <w:adjustRightInd w:val="0"/>
              <w:rPr>
                <w:b/>
                <w:bCs/>
                <w:color w:val="000000"/>
                <w:sz w:val="20"/>
              </w:rPr>
            </w:pPr>
            <w:r w:rsidRPr="00CD65E8">
              <w:rPr>
                <w:b/>
                <w:color w:val="000000"/>
                <w:sz w:val="20"/>
              </w:rPr>
              <w:t>Lõpphääletuse ajal kohal olnud liikmed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A7CBC" w:rsidRPr="00CD65E8" w:rsidRDefault="00AC4265">
            <w:pPr>
              <w:autoSpaceDE w:val="0"/>
              <w:autoSpaceDN w:val="0"/>
              <w:adjustRightInd w:val="0"/>
              <w:rPr>
                <w:color w:val="000000"/>
                <w:sz w:val="20"/>
              </w:rPr>
            </w:pPr>
            <w:r w:rsidRPr="00CD65E8">
              <w:rPr>
                <w:color w:val="000000"/>
                <w:sz w:val="20"/>
              </w:rPr>
              <w:t>Magdalena Adamowicz, Abir Al-Sahlani, Katarina Barley, Pietro Bartolo, Theresa Bielowski, Patrick Breyer, Saskia Bricmont, Jorge Buxadé Villalba, Damien Carême, Patricia Chagnon, Lena Düpont, Lucia Ďuriš Nicholsonová, Cornelia Ernst,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Elena Yoncheva, Javier Zarzalejos</w:t>
            </w:r>
          </w:p>
        </w:tc>
      </w:tr>
      <w:tr w:rsidR="006974E6" w:rsidRPr="00CD65E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A7CBC" w:rsidRPr="00CD65E8" w:rsidRDefault="00AC4265">
            <w:pPr>
              <w:autoSpaceDE w:val="0"/>
              <w:autoSpaceDN w:val="0"/>
              <w:adjustRightInd w:val="0"/>
              <w:rPr>
                <w:b/>
                <w:bCs/>
                <w:color w:val="000000"/>
                <w:sz w:val="20"/>
              </w:rPr>
            </w:pPr>
            <w:r w:rsidRPr="00CD65E8">
              <w:rPr>
                <w:b/>
                <w:color w:val="000000"/>
                <w:sz w:val="20"/>
              </w:rPr>
              <w:t>Lõpphääletuse ajal kohal olnud asendusliikmed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A7CBC" w:rsidRPr="00CD65E8" w:rsidRDefault="00AC4265">
            <w:pPr>
              <w:autoSpaceDE w:val="0"/>
              <w:autoSpaceDN w:val="0"/>
              <w:adjustRightInd w:val="0"/>
              <w:rPr>
                <w:color w:val="000000"/>
                <w:sz w:val="20"/>
              </w:rPr>
            </w:pPr>
            <w:r w:rsidRPr="00CD65E8">
              <w:rPr>
                <w:color w:val="000000"/>
                <w:sz w:val="20"/>
              </w:rPr>
              <w:t>Cyrus Engerer, José Gusmão, Beata Kempa, Leopoldo López Gil, Janina Ochojska, Anne-Sophie Pelletier, Bergur Løkke Rasmussen, Róża Thun und Hohenstein, Maria Walsh, Tomáš Zdechovský</w:t>
            </w:r>
          </w:p>
        </w:tc>
      </w:tr>
      <w:tr w:rsidR="006974E6" w:rsidRPr="00CD65E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A7CBC" w:rsidRPr="00CD65E8" w:rsidRDefault="00AC4265">
            <w:pPr>
              <w:autoSpaceDE w:val="0"/>
              <w:autoSpaceDN w:val="0"/>
              <w:adjustRightInd w:val="0"/>
              <w:rPr>
                <w:b/>
                <w:bCs/>
                <w:color w:val="000000"/>
                <w:sz w:val="20"/>
              </w:rPr>
            </w:pPr>
            <w:r w:rsidRPr="00CD65E8">
              <w:rPr>
                <w:b/>
                <w:color w:val="000000"/>
                <w:sz w:val="20"/>
              </w:rPr>
              <w:t>Lõpphääletuse ajal kohal olnud asendusliikmed (art 209 lg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A7CBC" w:rsidRPr="00CD65E8" w:rsidRDefault="00AC4265">
            <w:pPr>
              <w:autoSpaceDE w:val="0"/>
              <w:autoSpaceDN w:val="0"/>
              <w:adjustRightInd w:val="0"/>
              <w:rPr>
                <w:color w:val="000000"/>
                <w:sz w:val="20"/>
              </w:rPr>
            </w:pPr>
            <w:r w:rsidRPr="00CD65E8">
              <w:rPr>
                <w:color w:val="000000"/>
                <w:sz w:val="20"/>
              </w:rPr>
              <w:t>Andrus Ansip, Hildegard Bentele, Maria da Graça Carvalho, Marisa Matias, Caroline Nagtegaal</w:t>
            </w:r>
          </w:p>
        </w:tc>
      </w:tr>
    </w:tbl>
    <w:p w:rsidR="009A7CBC" w:rsidRPr="00CD65E8" w:rsidRDefault="009A7CBC"/>
    <w:bookmarkEnd w:id="1"/>
    <w:p w:rsidR="00F45765" w:rsidRPr="00CD65E8" w:rsidRDefault="00F45765" w:rsidP="009A7CBC">
      <w:pPr>
        <w:sectPr w:rsidR="00F45765" w:rsidRPr="00CD65E8" w:rsidSect="00CD65E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F45765" w:rsidRPr="00CD65E8" w:rsidRDefault="00AC4265" w:rsidP="002B2C72">
      <w:pPr>
        <w:pStyle w:val="PageHeadingNotTOC"/>
        <w:rPr>
          <w:noProof/>
        </w:rPr>
      </w:pPr>
      <w:bookmarkStart w:id="2" w:name="FootprintPageAD"/>
      <w:r w:rsidRPr="00CD65E8">
        <w:t>LISA: ÜKSUSED VÕI ISIKUD,</w:t>
      </w:r>
      <w:r w:rsidRPr="00CD65E8">
        <w:br/>
        <w:t>KELLELT ARVAMUSE KOOSTAJA SAI SISENDMATERJALI</w:t>
      </w:r>
    </w:p>
    <w:p w:rsidR="00F45765" w:rsidRPr="00CD65E8" w:rsidRDefault="00AC4265" w:rsidP="00037518">
      <w:pPr>
        <w:pStyle w:val="Normal24a"/>
      </w:pPr>
      <w:r w:rsidRPr="00D03A82">
        <w:rPr>
          <w:rStyle w:val="HideTWBExt"/>
        </w:rPr>
        <w:t>&lt;FootprintIntro&gt;</w:t>
      </w:r>
      <w:r w:rsidRPr="00CD65E8">
        <w:t>Arvamuse koostaja kinnitab oma ainuvastutusel, et ei saanud mingit sisendmaterjali üksuselt või isikult, kes tuleks kodukorra I lisa artikli 8 kohaselt käesolevas lisas ära märkida.</w:t>
      </w:r>
      <w:r w:rsidRPr="00D03A82">
        <w:rPr>
          <w:rStyle w:val="HideTWBExt"/>
        </w:rPr>
        <w:t>&lt;/FootprintIntro&gt;</w:t>
      </w:r>
    </w:p>
    <w:p w:rsidR="00F45765" w:rsidRPr="00CD65E8" w:rsidRDefault="00F45765" w:rsidP="00AD5932"/>
    <w:p w:rsidR="00F45765" w:rsidRPr="00CD65E8" w:rsidRDefault="00F45765" w:rsidP="00F45765"/>
    <w:bookmarkEnd w:id="2"/>
    <w:p w:rsidR="00F45765" w:rsidRPr="00CD65E8" w:rsidRDefault="00F45765" w:rsidP="009A7CBC">
      <w:pPr>
        <w:sectPr w:rsidR="00F45765" w:rsidRPr="00CD65E8" w:rsidSect="00F4576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3133B" w:rsidRPr="00CD65E8" w:rsidRDefault="00AC4265" w:rsidP="009A7CBC">
      <w:pPr>
        <w:pStyle w:val="PageHeadingNotTOC"/>
      </w:pPr>
      <w:bookmarkStart w:id="3" w:name="RollCallPageAD"/>
      <w:r w:rsidRPr="00CD65E8">
        <w:t>NIMELINE LÕPPHÄÄLETUS NÕUANDVAS KOMISJONIS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974E6" w:rsidRPr="00CD65E8" w:rsidTr="008920AC">
        <w:trPr>
          <w:cantSplit/>
        </w:trPr>
        <w:tc>
          <w:tcPr>
            <w:tcW w:w="1701" w:type="dxa"/>
            <w:shd w:val="pct10" w:color="000000" w:fill="FFFFFF"/>
            <w:vAlign w:val="center"/>
          </w:tcPr>
          <w:p w:rsidR="00E3133B" w:rsidRPr="00CD65E8" w:rsidRDefault="00AC4265" w:rsidP="003858C5">
            <w:pPr>
              <w:pStyle w:val="RollCallVotes"/>
            </w:pPr>
            <w:r w:rsidRPr="00CD65E8">
              <w:t>47</w:t>
            </w:r>
          </w:p>
        </w:tc>
        <w:tc>
          <w:tcPr>
            <w:tcW w:w="7371" w:type="dxa"/>
            <w:shd w:val="pct10" w:color="000000" w:fill="FFFFFF"/>
          </w:tcPr>
          <w:p w:rsidR="00E3133B" w:rsidRPr="00CD65E8" w:rsidRDefault="00AC4265" w:rsidP="003858C5">
            <w:pPr>
              <w:pStyle w:val="RollCallSymbols14pt"/>
            </w:pPr>
            <w:r w:rsidRPr="00CD65E8">
              <w:t>+</w:t>
            </w:r>
          </w:p>
        </w:tc>
      </w:tr>
      <w:tr w:rsidR="006974E6" w:rsidRPr="00CD65E8" w:rsidTr="008920AC">
        <w:trPr>
          <w:cantSplit/>
        </w:trPr>
        <w:tc>
          <w:tcPr>
            <w:tcW w:w="1701" w:type="dxa"/>
            <w:shd w:val="clear" w:color="auto" w:fill="FFFFFF"/>
          </w:tcPr>
          <w:p w:rsidR="00E3133B" w:rsidRPr="00CD65E8" w:rsidRDefault="00AC4265" w:rsidP="003858C5">
            <w:pPr>
              <w:pStyle w:val="RollCallTable"/>
            </w:pPr>
            <w:r w:rsidRPr="00CD65E8">
              <w:t>PPE</w:t>
            </w:r>
          </w:p>
        </w:tc>
        <w:tc>
          <w:tcPr>
            <w:tcW w:w="7371" w:type="dxa"/>
            <w:shd w:val="clear" w:color="auto" w:fill="FFFFFF"/>
          </w:tcPr>
          <w:p w:rsidR="00E3133B" w:rsidRPr="00CD65E8" w:rsidRDefault="00AC4265" w:rsidP="003858C5">
            <w:pPr>
              <w:pStyle w:val="RollCallTable"/>
            </w:pPr>
            <w:r w:rsidRPr="00CD65E8">
              <w:t>Magdalena Adamowicz, Hildegard Bentele, Maria da Graça Carvalho, Lena Düpont, Andrzej Halicki, Jeroen Lenaers, Leopoldo López Gil, Janina Ochojska, Elissavet Vozemberg-Vrionidi, Maria Walsh, Javier Zarzalejos, Tomáš Zdechovský</w:t>
            </w:r>
          </w:p>
        </w:tc>
      </w:tr>
      <w:tr w:rsidR="006974E6" w:rsidRPr="00CD65E8" w:rsidTr="008920AC">
        <w:trPr>
          <w:cantSplit/>
        </w:trPr>
        <w:tc>
          <w:tcPr>
            <w:tcW w:w="1701" w:type="dxa"/>
            <w:shd w:val="clear" w:color="auto" w:fill="FFFFFF"/>
          </w:tcPr>
          <w:p w:rsidR="00E3133B" w:rsidRPr="00CD65E8" w:rsidRDefault="00AC4265" w:rsidP="003858C5">
            <w:pPr>
              <w:pStyle w:val="RollCallTable"/>
            </w:pPr>
            <w:r w:rsidRPr="00CD65E8">
              <w:t>Renew</w:t>
            </w:r>
          </w:p>
        </w:tc>
        <w:tc>
          <w:tcPr>
            <w:tcW w:w="7371" w:type="dxa"/>
            <w:shd w:val="clear" w:color="auto" w:fill="FFFFFF"/>
          </w:tcPr>
          <w:p w:rsidR="00E3133B" w:rsidRPr="00CD65E8" w:rsidRDefault="00AC4265" w:rsidP="003858C5">
            <w:pPr>
              <w:pStyle w:val="RollCallTable"/>
            </w:pPr>
            <w:r w:rsidRPr="00CD65E8">
              <w:t>Abir Al-Sahlani, Andrus Ansip, Lucia Ďuriš Nicholsonová, Sophia in 't Veld, Moritz Körner, Caroline Nagtegaal, Maite Pagazaurtundúa, Bergur Løkke Rasmussen, Róża Thun und Hohenstein, Jana Toom</w:t>
            </w:r>
          </w:p>
        </w:tc>
      </w:tr>
      <w:tr w:rsidR="006974E6" w:rsidRPr="00CD65E8" w:rsidTr="008920AC">
        <w:trPr>
          <w:cantSplit/>
        </w:trPr>
        <w:tc>
          <w:tcPr>
            <w:tcW w:w="1701" w:type="dxa"/>
            <w:shd w:val="clear" w:color="auto" w:fill="FFFFFF"/>
          </w:tcPr>
          <w:p w:rsidR="00E3133B" w:rsidRPr="00CD65E8" w:rsidRDefault="00AC4265" w:rsidP="003858C5">
            <w:pPr>
              <w:pStyle w:val="RollCallTable"/>
            </w:pPr>
            <w:r w:rsidRPr="00CD65E8">
              <w:t>S&amp;D</w:t>
            </w:r>
          </w:p>
        </w:tc>
        <w:tc>
          <w:tcPr>
            <w:tcW w:w="7371" w:type="dxa"/>
            <w:shd w:val="clear" w:color="auto" w:fill="FFFFFF"/>
          </w:tcPr>
          <w:p w:rsidR="00E3133B" w:rsidRPr="00CD65E8" w:rsidRDefault="00AC4265" w:rsidP="003858C5">
            <w:pPr>
              <w:pStyle w:val="RollCallTable"/>
            </w:pPr>
            <w:r w:rsidRPr="00CD65E8">
              <w:t>Katarina Barley, Pietro Bartolo, Theresa Bielowski, Cyrus Engerer, Maria Grapini, Sylvie Guillaume, Evin Incir, Marina Kaljurand, Łukasz Kohut, Juan Fernando López Aguilar, Javier Moreno Sánchez, Isabel Santos, Birgit Sippel, Elena Yoncheva</w:t>
            </w:r>
          </w:p>
        </w:tc>
      </w:tr>
      <w:tr w:rsidR="006974E6" w:rsidRPr="00CD65E8" w:rsidTr="008920AC">
        <w:trPr>
          <w:cantSplit/>
        </w:trPr>
        <w:tc>
          <w:tcPr>
            <w:tcW w:w="1701" w:type="dxa"/>
            <w:shd w:val="clear" w:color="auto" w:fill="FFFFFF"/>
          </w:tcPr>
          <w:p w:rsidR="00E3133B" w:rsidRPr="00CD65E8" w:rsidRDefault="00AC4265" w:rsidP="003858C5">
            <w:pPr>
              <w:pStyle w:val="RollCallTable"/>
            </w:pPr>
            <w:r w:rsidRPr="00CD65E8">
              <w:t>The Left</w:t>
            </w:r>
          </w:p>
        </w:tc>
        <w:tc>
          <w:tcPr>
            <w:tcW w:w="7371" w:type="dxa"/>
            <w:shd w:val="clear" w:color="auto" w:fill="FFFFFF"/>
          </w:tcPr>
          <w:p w:rsidR="00E3133B" w:rsidRPr="00CD65E8" w:rsidRDefault="00AC4265" w:rsidP="003858C5">
            <w:pPr>
              <w:pStyle w:val="RollCallTable"/>
            </w:pPr>
            <w:r w:rsidRPr="00CD65E8">
              <w:t>Cornelia Ernst, José Gusmão, Marisa Matias, Anne-Sophie Pelletier</w:t>
            </w:r>
          </w:p>
        </w:tc>
      </w:tr>
      <w:tr w:rsidR="006974E6" w:rsidRPr="00CD65E8" w:rsidTr="008920AC">
        <w:trPr>
          <w:cantSplit/>
        </w:trPr>
        <w:tc>
          <w:tcPr>
            <w:tcW w:w="1701" w:type="dxa"/>
            <w:shd w:val="clear" w:color="auto" w:fill="FFFFFF"/>
          </w:tcPr>
          <w:p w:rsidR="00E3133B" w:rsidRPr="00CD65E8" w:rsidRDefault="00AC4265" w:rsidP="003858C5">
            <w:pPr>
              <w:pStyle w:val="RollCallTable"/>
            </w:pPr>
            <w:r w:rsidRPr="00CD65E8">
              <w:t>Verts/ALE</w:t>
            </w:r>
          </w:p>
        </w:tc>
        <w:tc>
          <w:tcPr>
            <w:tcW w:w="7371" w:type="dxa"/>
            <w:shd w:val="clear" w:color="auto" w:fill="FFFFFF"/>
          </w:tcPr>
          <w:p w:rsidR="00E3133B" w:rsidRPr="00CD65E8" w:rsidRDefault="00AC4265" w:rsidP="003858C5">
            <w:pPr>
              <w:pStyle w:val="RollCallTable"/>
            </w:pPr>
            <w:r w:rsidRPr="00CD65E8">
              <w:t>Patrick Breyer, Saskia Bricmont, Damien Carême, Alice Kuhnke, Erik Marquardt, Diana Riba i Giner, Tineke Strik</w:t>
            </w:r>
          </w:p>
        </w:tc>
      </w:tr>
    </w:tbl>
    <w:p w:rsidR="00E3133B" w:rsidRPr="00CD65E8" w:rsidRDefault="00E3133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974E6" w:rsidRPr="00CD65E8" w:rsidTr="008920AC">
        <w:trPr>
          <w:cantSplit/>
        </w:trPr>
        <w:tc>
          <w:tcPr>
            <w:tcW w:w="1701" w:type="dxa"/>
            <w:shd w:val="pct10" w:color="000000" w:fill="FFFFFF"/>
            <w:vAlign w:val="center"/>
          </w:tcPr>
          <w:p w:rsidR="00E3133B" w:rsidRPr="00CD65E8" w:rsidRDefault="00AC4265" w:rsidP="003858C5">
            <w:pPr>
              <w:pStyle w:val="RollCallVotes"/>
            </w:pPr>
            <w:r w:rsidRPr="00CD65E8">
              <w:t>9</w:t>
            </w:r>
          </w:p>
        </w:tc>
        <w:tc>
          <w:tcPr>
            <w:tcW w:w="7371" w:type="dxa"/>
            <w:shd w:val="pct10" w:color="000000" w:fill="FFFFFF"/>
          </w:tcPr>
          <w:p w:rsidR="00E3133B" w:rsidRPr="00CD65E8" w:rsidRDefault="00AC4265" w:rsidP="003858C5">
            <w:pPr>
              <w:pStyle w:val="RollCallSymbols14pt"/>
            </w:pPr>
            <w:r w:rsidRPr="00CD65E8">
              <w:t>-</w:t>
            </w:r>
          </w:p>
        </w:tc>
      </w:tr>
      <w:tr w:rsidR="006974E6" w:rsidRPr="00CD65E8" w:rsidTr="008920AC">
        <w:trPr>
          <w:cantSplit/>
        </w:trPr>
        <w:tc>
          <w:tcPr>
            <w:tcW w:w="1701" w:type="dxa"/>
            <w:shd w:val="clear" w:color="auto" w:fill="FFFFFF"/>
          </w:tcPr>
          <w:p w:rsidR="00E3133B" w:rsidRPr="00CD65E8" w:rsidRDefault="00AC4265" w:rsidP="003858C5">
            <w:pPr>
              <w:pStyle w:val="RollCallTable"/>
            </w:pPr>
            <w:r w:rsidRPr="00CD65E8">
              <w:t>ECR</w:t>
            </w:r>
          </w:p>
        </w:tc>
        <w:tc>
          <w:tcPr>
            <w:tcW w:w="7371" w:type="dxa"/>
            <w:shd w:val="clear" w:color="auto" w:fill="FFFFFF"/>
          </w:tcPr>
          <w:p w:rsidR="00E3133B" w:rsidRPr="00CD65E8" w:rsidRDefault="00AC4265" w:rsidP="003858C5">
            <w:pPr>
              <w:pStyle w:val="RollCallTable"/>
            </w:pPr>
            <w:r w:rsidRPr="00CD65E8">
              <w:t>Jorge Buxadé Villalba, Patryk Jaki, Assita Kanko, Beata Kempa, Vincenzo Sofo</w:t>
            </w:r>
          </w:p>
        </w:tc>
      </w:tr>
      <w:tr w:rsidR="006974E6" w:rsidRPr="00CD65E8" w:rsidTr="008920AC">
        <w:trPr>
          <w:cantSplit/>
        </w:trPr>
        <w:tc>
          <w:tcPr>
            <w:tcW w:w="1701" w:type="dxa"/>
            <w:shd w:val="clear" w:color="auto" w:fill="FFFFFF"/>
          </w:tcPr>
          <w:p w:rsidR="00E3133B" w:rsidRPr="00CD65E8" w:rsidRDefault="00AC4265" w:rsidP="003858C5">
            <w:pPr>
              <w:pStyle w:val="RollCallTable"/>
            </w:pPr>
            <w:r w:rsidRPr="00CD65E8">
              <w:t>ID</w:t>
            </w:r>
          </w:p>
        </w:tc>
        <w:tc>
          <w:tcPr>
            <w:tcW w:w="7371" w:type="dxa"/>
            <w:shd w:val="clear" w:color="auto" w:fill="FFFFFF"/>
          </w:tcPr>
          <w:p w:rsidR="00E3133B" w:rsidRPr="00CD65E8" w:rsidRDefault="00AC4265" w:rsidP="003858C5">
            <w:pPr>
              <w:pStyle w:val="RollCallTable"/>
            </w:pPr>
            <w:r w:rsidRPr="00CD65E8">
              <w:t>Patricia Chagnon, Nicolaus Fest, Tom Vandendriessche</w:t>
            </w:r>
          </w:p>
        </w:tc>
      </w:tr>
      <w:tr w:rsidR="006974E6" w:rsidRPr="00CD65E8" w:rsidTr="008920AC">
        <w:trPr>
          <w:cantSplit/>
        </w:trPr>
        <w:tc>
          <w:tcPr>
            <w:tcW w:w="1701" w:type="dxa"/>
            <w:shd w:val="clear" w:color="auto" w:fill="FFFFFF"/>
          </w:tcPr>
          <w:p w:rsidR="00E3133B" w:rsidRPr="00CD65E8" w:rsidRDefault="00AC4265" w:rsidP="003858C5">
            <w:pPr>
              <w:pStyle w:val="RollCallTable"/>
            </w:pPr>
            <w:r w:rsidRPr="00CD65E8">
              <w:t>NI</w:t>
            </w:r>
          </w:p>
        </w:tc>
        <w:tc>
          <w:tcPr>
            <w:tcW w:w="7371" w:type="dxa"/>
            <w:shd w:val="clear" w:color="auto" w:fill="FFFFFF"/>
          </w:tcPr>
          <w:p w:rsidR="00E3133B" w:rsidRPr="00CD65E8" w:rsidRDefault="00AC4265" w:rsidP="003858C5">
            <w:pPr>
              <w:pStyle w:val="RollCallTable"/>
            </w:pPr>
            <w:r w:rsidRPr="00CD65E8">
              <w:t>Milan Uhrík</w:t>
            </w:r>
          </w:p>
        </w:tc>
      </w:tr>
    </w:tbl>
    <w:p w:rsidR="00E3133B" w:rsidRPr="00CD65E8" w:rsidRDefault="00E3133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974E6" w:rsidRPr="00CD65E8" w:rsidTr="008920AC">
        <w:trPr>
          <w:cantSplit/>
        </w:trPr>
        <w:tc>
          <w:tcPr>
            <w:tcW w:w="1701" w:type="dxa"/>
            <w:shd w:val="pct10" w:color="000000" w:fill="FFFFFF"/>
            <w:vAlign w:val="center"/>
          </w:tcPr>
          <w:p w:rsidR="00E3133B" w:rsidRPr="00CD65E8" w:rsidRDefault="00AC4265" w:rsidP="003858C5">
            <w:pPr>
              <w:pStyle w:val="RollCallVotes"/>
            </w:pPr>
            <w:r w:rsidRPr="00CD65E8">
              <w:t>0</w:t>
            </w:r>
          </w:p>
        </w:tc>
        <w:tc>
          <w:tcPr>
            <w:tcW w:w="7371" w:type="dxa"/>
            <w:shd w:val="pct10" w:color="000000" w:fill="FFFFFF"/>
          </w:tcPr>
          <w:p w:rsidR="00E3133B" w:rsidRPr="00CD65E8" w:rsidRDefault="00AC4265" w:rsidP="003858C5">
            <w:pPr>
              <w:pStyle w:val="RollCallSymbols14pt"/>
            </w:pPr>
            <w:r w:rsidRPr="00CD65E8">
              <w:t>0</w:t>
            </w:r>
          </w:p>
        </w:tc>
      </w:tr>
      <w:tr w:rsidR="006974E6" w:rsidRPr="00CD65E8" w:rsidTr="008920AC">
        <w:trPr>
          <w:cantSplit/>
        </w:trPr>
        <w:tc>
          <w:tcPr>
            <w:tcW w:w="1701" w:type="dxa"/>
            <w:shd w:val="clear" w:color="auto" w:fill="FFFFFF"/>
          </w:tcPr>
          <w:p w:rsidR="00E3133B" w:rsidRPr="00CD65E8" w:rsidRDefault="00E3133B" w:rsidP="003858C5">
            <w:pPr>
              <w:pStyle w:val="RollCallTable"/>
            </w:pPr>
          </w:p>
        </w:tc>
        <w:tc>
          <w:tcPr>
            <w:tcW w:w="7371" w:type="dxa"/>
            <w:shd w:val="clear" w:color="auto" w:fill="FFFFFF"/>
          </w:tcPr>
          <w:p w:rsidR="00E3133B" w:rsidRPr="00CD65E8" w:rsidRDefault="00E3133B" w:rsidP="003858C5">
            <w:pPr>
              <w:pStyle w:val="RollCallTable"/>
            </w:pPr>
          </w:p>
        </w:tc>
      </w:tr>
    </w:tbl>
    <w:p w:rsidR="00E3133B" w:rsidRPr="00CD65E8" w:rsidRDefault="00E3133B" w:rsidP="00147FBF">
      <w:pPr>
        <w:pStyle w:val="Normal12a"/>
      </w:pPr>
    </w:p>
    <w:p w:rsidR="00E3133B" w:rsidRPr="00CD65E8" w:rsidRDefault="00AC4265" w:rsidP="00B735E3">
      <w:r w:rsidRPr="00CD65E8">
        <w:t>Kasutatud tähised:</w:t>
      </w:r>
    </w:p>
    <w:p w:rsidR="00E3133B" w:rsidRPr="00CD65E8" w:rsidRDefault="00AC4265" w:rsidP="003858C5">
      <w:pPr>
        <w:pStyle w:val="RollCallTabs"/>
      </w:pPr>
      <w:r w:rsidRPr="00CD65E8">
        <w:t>+</w:t>
      </w:r>
      <w:r w:rsidRPr="00CD65E8">
        <w:tab/>
        <w:t>:</w:t>
      </w:r>
      <w:r w:rsidRPr="00CD65E8">
        <w:tab/>
        <w:t>poolt</w:t>
      </w:r>
    </w:p>
    <w:p w:rsidR="00E3133B" w:rsidRPr="00CD65E8" w:rsidRDefault="00AC4265" w:rsidP="003858C5">
      <w:pPr>
        <w:pStyle w:val="RollCallTabs"/>
      </w:pPr>
      <w:r w:rsidRPr="00CD65E8">
        <w:t>-</w:t>
      </w:r>
      <w:r w:rsidRPr="00CD65E8">
        <w:tab/>
        <w:t>:</w:t>
      </w:r>
      <w:r w:rsidRPr="00CD65E8">
        <w:tab/>
        <w:t>vastu</w:t>
      </w:r>
    </w:p>
    <w:p w:rsidR="00E3133B" w:rsidRPr="00CD65E8" w:rsidRDefault="00AC4265" w:rsidP="003858C5">
      <w:pPr>
        <w:pStyle w:val="RollCallTabs"/>
      </w:pPr>
      <w:r w:rsidRPr="00CD65E8">
        <w:t>0</w:t>
      </w:r>
      <w:r w:rsidRPr="00CD65E8">
        <w:tab/>
        <w:t>:</w:t>
      </w:r>
      <w:r w:rsidRPr="00CD65E8">
        <w:tab/>
        <w:t>erapooletu</w:t>
      </w:r>
    </w:p>
    <w:p w:rsidR="00E3133B" w:rsidRPr="00CD65E8" w:rsidRDefault="00E3133B" w:rsidP="00207509"/>
    <w:bookmarkEnd w:id="3"/>
    <w:p w:rsidR="002E6F98" w:rsidRPr="00CD65E8" w:rsidRDefault="002E6F98" w:rsidP="00E3133B"/>
    <w:sectPr w:rsidR="002E6F98" w:rsidRPr="00CD65E8" w:rsidSect="00F4576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AFB" w:rsidRPr="00CD65E8" w:rsidRDefault="00AC4265">
      <w:r w:rsidRPr="00CD65E8">
        <w:separator/>
      </w:r>
    </w:p>
  </w:endnote>
  <w:endnote w:type="continuationSeparator" w:id="0">
    <w:p w:rsidR="009B1AFB" w:rsidRPr="00CD65E8" w:rsidRDefault="00AC4265">
      <w:r w:rsidRPr="00CD65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5E8" w:rsidRPr="00CD65E8" w:rsidRDefault="00CD65E8" w:rsidP="00CD65E8">
    <w:pPr>
      <w:pStyle w:val="EPFooter"/>
    </w:pPr>
    <w:r w:rsidRPr="00CD65E8">
      <w:t>PE</w:t>
    </w:r>
    <w:r w:rsidRPr="00D03A82">
      <w:rPr>
        <w:rStyle w:val="HideTWBExt"/>
      </w:rPr>
      <w:t>&lt;NoPE&gt;</w:t>
    </w:r>
    <w:r w:rsidRPr="00CD65E8">
      <w:t>756.201</w:t>
    </w:r>
    <w:r w:rsidRPr="00D03A82">
      <w:rPr>
        <w:rStyle w:val="HideTWBExt"/>
      </w:rPr>
      <w:t>&lt;/NoPE&gt;&lt;Version&gt;</w:t>
    </w:r>
    <w:r w:rsidRPr="00CD65E8">
      <w:t>v02-00</w:t>
    </w:r>
    <w:r w:rsidRPr="00D03A82">
      <w:rPr>
        <w:rStyle w:val="HideTWBExt"/>
      </w:rPr>
      <w:t>&lt;/Version&gt;</w:t>
    </w:r>
    <w:r w:rsidRPr="00CD65E8">
      <w:tab/>
    </w:r>
    <w:r w:rsidRPr="00CD65E8">
      <w:fldChar w:fldCharType="begin"/>
    </w:r>
    <w:r w:rsidRPr="00CD65E8">
      <w:instrText xml:space="preserve"> PAGE  \* MERGEFORMAT </w:instrText>
    </w:r>
    <w:r w:rsidRPr="00CD65E8">
      <w:fldChar w:fldCharType="separate"/>
    </w:r>
    <w:r w:rsidR="00D03A82">
      <w:rPr>
        <w:noProof/>
      </w:rPr>
      <w:t>4</w:t>
    </w:r>
    <w:r w:rsidRPr="00CD65E8">
      <w:fldChar w:fldCharType="end"/>
    </w:r>
    <w:r w:rsidRPr="00CD65E8">
      <w:t>/</w:t>
    </w:r>
    <w:r w:rsidR="00D03A82">
      <w:fldChar w:fldCharType="begin"/>
    </w:r>
    <w:r w:rsidR="00D03A82">
      <w:instrText xml:space="preserve"> NUMPAGES  \* MERGEFORMAT </w:instrText>
    </w:r>
    <w:r w:rsidR="00D03A82">
      <w:fldChar w:fldCharType="separate"/>
    </w:r>
    <w:r w:rsidR="00D03A82">
      <w:rPr>
        <w:noProof/>
      </w:rPr>
      <w:t>7</w:t>
    </w:r>
    <w:r w:rsidR="00D03A82">
      <w:rPr>
        <w:noProof/>
      </w:rPr>
      <w:fldChar w:fldCharType="end"/>
    </w:r>
    <w:r w:rsidRPr="00CD65E8">
      <w:tab/>
    </w:r>
    <w:r w:rsidRPr="00D03A82">
      <w:rPr>
        <w:rStyle w:val="HideTWBExt"/>
      </w:rPr>
      <w:t>&lt;PathFdR&gt;</w:t>
    </w:r>
    <w:r w:rsidRPr="00CD65E8">
      <w:t>AD\1294536ET.docx</w:t>
    </w:r>
    <w:r w:rsidRPr="00D03A82">
      <w:rPr>
        <w:rStyle w:val="HideTWBExt"/>
      </w:rPr>
      <w:t>&lt;/PathFdR&gt;</w:t>
    </w:r>
  </w:p>
  <w:p w:rsidR="002E2F2E" w:rsidRPr="00CD65E8" w:rsidRDefault="00CD65E8" w:rsidP="00CD65E8">
    <w:pPr>
      <w:pStyle w:val="EPFooter2"/>
    </w:pPr>
    <w:r w:rsidRPr="00CD65E8">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5E8" w:rsidRPr="00CD65E8" w:rsidRDefault="00CD65E8" w:rsidP="00CD65E8">
    <w:pPr>
      <w:pStyle w:val="EPFooter"/>
    </w:pPr>
    <w:r w:rsidRPr="00D03A82">
      <w:rPr>
        <w:rStyle w:val="HideTWBExt"/>
      </w:rPr>
      <w:t>&lt;PathFdR&gt;</w:t>
    </w:r>
    <w:r w:rsidRPr="00CD65E8">
      <w:t>AD\1294536ET.docx</w:t>
    </w:r>
    <w:r w:rsidRPr="00D03A82">
      <w:rPr>
        <w:rStyle w:val="HideTWBExt"/>
      </w:rPr>
      <w:t>&lt;/PathFdR&gt;</w:t>
    </w:r>
    <w:r w:rsidRPr="00CD65E8">
      <w:tab/>
    </w:r>
    <w:r w:rsidRPr="00CD65E8">
      <w:fldChar w:fldCharType="begin"/>
    </w:r>
    <w:r w:rsidRPr="00CD65E8">
      <w:instrText xml:space="preserve"> PAGE  \* MERGEFORMAT </w:instrText>
    </w:r>
    <w:r w:rsidRPr="00CD65E8">
      <w:fldChar w:fldCharType="separate"/>
    </w:r>
    <w:r w:rsidR="00D03A82">
      <w:rPr>
        <w:noProof/>
      </w:rPr>
      <w:t>5</w:t>
    </w:r>
    <w:r w:rsidRPr="00CD65E8">
      <w:fldChar w:fldCharType="end"/>
    </w:r>
    <w:r w:rsidRPr="00CD65E8">
      <w:t>/</w:t>
    </w:r>
    <w:r w:rsidR="00D03A82">
      <w:fldChar w:fldCharType="begin"/>
    </w:r>
    <w:r w:rsidR="00D03A82">
      <w:instrText xml:space="preserve"> NUMPAGES  \* MERGEFORMAT </w:instrText>
    </w:r>
    <w:r w:rsidR="00D03A82">
      <w:fldChar w:fldCharType="separate"/>
    </w:r>
    <w:r w:rsidR="00D03A82">
      <w:rPr>
        <w:noProof/>
      </w:rPr>
      <w:t>7</w:t>
    </w:r>
    <w:r w:rsidR="00D03A82">
      <w:rPr>
        <w:noProof/>
      </w:rPr>
      <w:fldChar w:fldCharType="end"/>
    </w:r>
    <w:r w:rsidRPr="00CD65E8">
      <w:tab/>
      <w:t>PE</w:t>
    </w:r>
    <w:r w:rsidRPr="00D03A82">
      <w:rPr>
        <w:rStyle w:val="HideTWBExt"/>
      </w:rPr>
      <w:t>&lt;NoPE&gt;</w:t>
    </w:r>
    <w:r w:rsidRPr="00CD65E8">
      <w:t>756.201</w:t>
    </w:r>
    <w:r w:rsidRPr="00D03A82">
      <w:rPr>
        <w:rStyle w:val="HideTWBExt"/>
      </w:rPr>
      <w:t>&lt;/NoPE&gt;&lt;Version&gt;</w:t>
    </w:r>
    <w:r w:rsidRPr="00CD65E8">
      <w:t>v02-00</w:t>
    </w:r>
    <w:r w:rsidRPr="00D03A82">
      <w:rPr>
        <w:rStyle w:val="HideTWBExt"/>
      </w:rPr>
      <w:t>&lt;/Version&gt;</w:t>
    </w:r>
  </w:p>
  <w:p w:rsidR="002E2F2E" w:rsidRPr="00CD65E8" w:rsidRDefault="00CD65E8" w:rsidP="00CD65E8">
    <w:pPr>
      <w:pStyle w:val="EPFooter2"/>
    </w:pPr>
    <w:r w:rsidRPr="00CD65E8">
      <w:tab/>
    </w:r>
    <w:r w:rsidRPr="00CD65E8">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5E8" w:rsidRPr="00CD65E8" w:rsidRDefault="00CD65E8" w:rsidP="00CD65E8">
    <w:pPr>
      <w:pStyle w:val="EPFooter"/>
    </w:pPr>
    <w:r w:rsidRPr="00D03A82">
      <w:rPr>
        <w:rStyle w:val="HideTWBExt"/>
      </w:rPr>
      <w:t>&lt;PathFdR&gt;</w:t>
    </w:r>
    <w:r w:rsidRPr="00CD65E8">
      <w:t>AD\1294536ET.docx</w:t>
    </w:r>
    <w:r w:rsidRPr="00D03A82">
      <w:rPr>
        <w:rStyle w:val="HideTWBExt"/>
      </w:rPr>
      <w:t>&lt;/PathFdR&gt;</w:t>
    </w:r>
    <w:r w:rsidRPr="00CD65E8">
      <w:tab/>
    </w:r>
    <w:r w:rsidRPr="00CD65E8">
      <w:tab/>
      <w:t>PE</w:t>
    </w:r>
    <w:r w:rsidRPr="00D03A82">
      <w:rPr>
        <w:rStyle w:val="HideTWBExt"/>
      </w:rPr>
      <w:t>&lt;NoPE&gt;</w:t>
    </w:r>
    <w:r w:rsidRPr="00CD65E8">
      <w:t>756.201</w:t>
    </w:r>
    <w:r w:rsidRPr="00D03A82">
      <w:rPr>
        <w:rStyle w:val="HideTWBExt"/>
      </w:rPr>
      <w:t>&lt;/NoPE&gt;&lt;Version&gt;</w:t>
    </w:r>
    <w:r w:rsidRPr="00CD65E8">
      <w:t>v02-00</w:t>
    </w:r>
    <w:r w:rsidRPr="00D03A82">
      <w:rPr>
        <w:rStyle w:val="HideTWBExt"/>
      </w:rPr>
      <w:t>&lt;/Version&gt;</w:t>
    </w:r>
  </w:p>
  <w:p w:rsidR="002E2F2E" w:rsidRPr="00CD65E8" w:rsidRDefault="00CD65E8" w:rsidP="00CD65E8">
    <w:pPr>
      <w:pStyle w:val="EPFooter2"/>
    </w:pPr>
    <w:r w:rsidRPr="00CD65E8">
      <w:t>ET</w:t>
    </w:r>
    <w:r w:rsidRPr="00CD65E8">
      <w:tab/>
    </w:r>
    <w:r w:rsidRPr="00CD65E8">
      <w:rPr>
        <w:b w:val="0"/>
        <w:i/>
        <w:color w:val="C0C0C0"/>
        <w:sz w:val="22"/>
      </w:rPr>
      <w:t>Ühinenud mitmekesisuses</w:t>
    </w:r>
    <w:r w:rsidRPr="00CD65E8">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AFB" w:rsidRPr="00CD65E8" w:rsidRDefault="00AC4265">
      <w:r w:rsidRPr="00CD65E8">
        <w:separator/>
      </w:r>
    </w:p>
  </w:footnote>
  <w:footnote w:type="continuationSeparator" w:id="0">
    <w:p w:rsidR="009B1AFB" w:rsidRPr="00CD65E8" w:rsidRDefault="00AC4265">
      <w:r w:rsidRPr="00CD65E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B75" w:rsidRDefault="00820B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B75" w:rsidRDefault="00820B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B75" w:rsidRDefault="00820B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LIBE"/>
    <w:docVar w:name="CONTRIBUTIONMNU" w:val=" 2"/>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776534 HideTWBInt;}{_x000d__x000a_\s18\ql \fi-567\li567\ri0\sa240\nowidctlpar\wrapdefault\aspalpha\aspnum\faauto\adjustright\rin0\lin567\itap0 \rtlch\fcs1 \af0\afs20\alang1025 \ltrch\fcs0 \fs24\lang2057\langfe2057\cgrid\langnp2057\langfenp2057 _x000d__x000a_\sbasedon0 \snext18 \spriority0 \styrsid13776534 NormalHanging12a;}}{\*\rsidtbl \rsid24658\rsid223860\rsid735077\rsid1718133\rsid2892074\rsid3565327\rsid4666813\rsid6641733\rsid7823322\rsid9636012\rsid10377208\rsid11215221\rsid11549030\rsid12154954_x000d__x000a_\rsid13776534\rsid13853890\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22\hr11\min46}{\revtim\yr2024\mo1\dy22\hr11\min46}{\version1}{\edmins0}{\nofpages1}{\nofwords1}{\nofchars12}{\nofcharsws12}{\vern109}}{\*\xmlnstbl {\xmlns1 http://schemas.micro_x000d__x000a_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76534\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3853890 \chftnsep _x000d__x000a_\par }}{\*\ftnsepc \ltrpar \pard\plain \ltrpar\ql \li0\ri0\widctlpar\wrapdefault\aspalpha\aspnum\faauto\adjustright\rin0\lin0\itap0 \rtlch\fcs1 \af0\afs20\alang1025 \ltrch\fcs0 \fs24\lang2057\langfe2057\cgrid\langnp2057\langfenp2057 {\rtlch\fcs1 \af0 _x000d__x000a_\ltrch\fcs0 \insrsid13853890 \chftnsepc _x000d__x000a_\par }}{\*\aftnsep \ltrpar \pard\plain \ltrpar\ql \li0\ri0\widctlpar\wrapdefault\aspalpha\aspnum\faauto\adjustright\rin0\lin0\itap0 \rtlch\fcs1 \af0\afs20\alang1025 \ltrch\fcs0 \fs24\lang2057\langfe2057\cgrid\langnp2057\langfenp2057 {\rtlch\fcs1 \af0 _x000d__x000a_\ltrch\fcs0 \insrsid13853890 \chftnsep _x000d__x000a_\par }}{\*\aftnsepc \ltrpar \pard\plain \ltrpar\ql \li0\ri0\widctlpar\wrapdefault\aspalpha\aspnum\faauto\adjustright\rin0\lin0\itap0 \rtlch\fcs1 \af0\afs20\alang1025 \ltrch\fcs0 \fs24\lang2057\langfe2057\cgrid\langnp2057\langfenp2057 {\rtlch\fcs1 \af0 _x000d__x000a_\ltrch\fcs0 \insrsid138538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3776534 \rtlch\fcs1 \af0\afs20\alang1025 \ltrch\fcs0 \fs24\lang2057\langfe2057\cgrid\langnp2057\langfenp2057 {\rtlch\fcs1 \af0 _x000d__x000a_\ltrch\fcs0 \insrsid13776534\charrsid13044652 {\*\bkmkstart restart}#}{\rtlch\fcs1 \af1 \ltrch\fcs0 \cs17\v\f1\fs20\cf15\insrsid13776534\charrsid13044652 NRMSG}{\rtlch\fcs1 \af0 \ltrch\fcs0 \insrsid13776534\charrsid13044652 #.\tab ##}{\rtlch\fcs1 \af0 _x000d__x000a_\ltrch\fcs0 \insrsid1377653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6b_x000d__x000a_934d20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8405890 NormalHanging12a;}}{\*\rsidtbl \rsid24658\rsid223860\rsid735077\rsid1718133\rsid2892074\rsid3565327\rsid4666813\rsid6641733\rsid7823322\rsid8405890_x000d__x000a_\rsid9636012\rsid10377208\rsid11215221\rsid11549030\rsid12154954\rsid13841163\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22\hr11\min46}{\revtim\yr2024\mo1\dy22\hr11\min46}{\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05890\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3841163 \chftnsep _x000d__x000a_\par }}{\*\ftnsepc \ltrpar \pard\plain \ltrpar\ql \li0\ri0\widctlpar\wrapdefault\aspalpha\aspnum\faauto\adjustright\rin0\lin0\itap0 \rtlch\fcs1 \af0\afs20\alang1025 \ltrch\fcs0 \fs24\lang2057\langfe2057\cgrid\langnp2057\langfenp2057 {\rtlch\fcs1 \af0 _x000d__x000a_\ltrch\fcs0 \insrsid13841163 \chftnsepc _x000d__x000a_\par }}{\*\aftnsep \ltrpar \pard\plain \ltrpar\ql \li0\ri0\widctlpar\wrapdefault\aspalpha\aspnum\faauto\adjustright\rin0\lin0\itap0 \rtlch\fcs1 \af0\afs20\alang1025 \ltrch\fcs0 \fs24\lang2057\langfe2057\cgrid\langnp2057\langfenp2057 {\rtlch\fcs1 \af0 _x000d__x000a_\ltrch\fcs0 \insrsid13841163 \chftnsep _x000d__x000a_\par }}{\*\aftnsepc \ltrpar \pard\plain \ltrpar\ql \li0\ri0\widctlpar\wrapdefault\aspalpha\aspnum\faauto\adjustright\rin0\lin0\itap0 \rtlch\fcs1 \af0\afs20\alang1025 \ltrch\fcs0 \fs24\lang2057\langfe2057\cgrid\langnp2057\langfenp2057 {\rtlch\fcs1 \af0 _x000d__x000a_\ltrch\fcs0 \insrsid13841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8405890 \rtlch\fcs1 \af0\afs20\alang1025 \ltrch\fcs0 \fs24\lang2057\langfe2057\cgrid\langnp2057\langfenp2057 {\rtlch\fcs1 \af0 _x000d__x000a_\ltrch\fcs0 \insrsid8405890\charrsid1525456 {\*\bkmkstart restart}[ZSUGGESTIONNR]\tab [ZSUGGESTIONTEXT]}{\rtlch\fcs1 \af0 \ltrch\fcs0 \insrsid840589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5a_x000d__x000a_7c5020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ET"/>
    <w:docVar w:name="TXTLANGUEMIN" w:val="et"/>
    <w:docVar w:name="TXTNRPE" w:val="756.201"/>
    <w:docVar w:name="TXTNRPROC" w:val="2023/2171"/>
    <w:docVar w:name="TXTPEorAP" w:val="PE"/>
    <w:docVar w:name="TXTROUTE" w:val="AD\1294536ET.docx"/>
    <w:docVar w:name="TXTTITLE" w:val="of the European Union Agency for Fundamental Rights for the financial year 2022"/>
    <w:docVar w:name="TXTVERSION" w:val="02-00"/>
  </w:docVars>
  <w:rsids>
    <w:rsidRoot w:val="002268C4"/>
    <w:rsid w:val="00037518"/>
    <w:rsid w:val="0006413A"/>
    <w:rsid w:val="000E7EBF"/>
    <w:rsid w:val="00124F60"/>
    <w:rsid w:val="00135121"/>
    <w:rsid w:val="00140BE6"/>
    <w:rsid w:val="00147F4E"/>
    <w:rsid w:val="00147FBF"/>
    <w:rsid w:val="0016635E"/>
    <w:rsid w:val="001746D0"/>
    <w:rsid w:val="001B7393"/>
    <w:rsid w:val="001D2ED9"/>
    <w:rsid w:val="001F21C1"/>
    <w:rsid w:val="001F5B6C"/>
    <w:rsid w:val="00207509"/>
    <w:rsid w:val="002268C4"/>
    <w:rsid w:val="002B2C72"/>
    <w:rsid w:val="002D28A7"/>
    <w:rsid w:val="002E2F2E"/>
    <w:rsid w:val="002E6F98"/>
    <w:rsid w:val="00315071"/>
    <w:rsid w:val="00325BCB"/>
    <w:rsid w:val="00331944"/>
    <w:rsid w:val="00332AD9"/>
    <w:rsid w:val="00347D2C"/>
    <w:rsid w:val="0037356F"/>
    <w:rsid w:val="003858C5"/>
    <w:rsid w:val="00390EB2"/>
    <w:rsid w:val="00396A0E"/>
    <w:rsid w:val="003E0794"/>
    <w:rsid w:val="003E2402"/>
    <w:rsid w:val="00464903"/>
    <w:rsid w:val="004C28FB"/>
    <w:rsid w:val="004C44C0"/>
    <w:rsid w:val="0052544E"/>
    <w:rsid w:val="00563442"/>
    <w:rsid w:val="005806B0"/>
    <w:rsid w:val="005940C3"/>
    <w:rsid w:val="00594C48"/>
    <w:rsid w:val="005B2F11"/>
    <w:rsid w:val="005C0BDF"/>
    <w:rsid w:val="005D60C6"/>
    <w:rsid w:val="006102E7"/>
    <w:rsid w:val="006351F4"/>
    <w:rsid w:val="00640C1B"/>
    <w:rsid w:val="00657AFB"/>
    <w:rsid w:val="006974E6"/>
    <w:rsid w:val="006D5BF7"/>
    <w:rsid w:val="007778D8"/>
    <w:rsid w:val="007B2458"/>
    <w:rsid w:val="00820B75"/>
    <w:rsid w:val="008313E7"/>
    <w:rsid w:val="00854CAC"/>
    <w:rsid w:val="008A32C5"/>
    <w:rsid w:val="008C6203"/>
    <w:rsid w:val="008D61E7"/>
    <w:rsid w:val="008F7002"/>
    <w:rsid w:val="00906E76"/>
    <w:rsid w:val="0099493F"/>
    <w:rsid w:val="009A7CBC"/>
    <w:rsid w:val="009B1AFB"/>
    <w:rsid w:val="00A16BEA"/>
    <w:rsid w:val="00A312B3"/>
    <w:rsid w:val="00A72C35"/>
    <w:rsid w:val="00A93367"/>
    <w:rsid w:val="00AC4265"/>
    <w:rsid w:val="00AD5932"/>
    <w:rsid w:val="00AE180F"/>
    <w:rsid w:val="00B362F7"/>
    <w:rsid w:val="00B5456B"/>
    <w:rsid w:val="00B735E3"/>
    <w:rsid w:val="00B74B53"/>
    <w:rsid w:val="00BC26E4"/>
    <w:rsid w:val="00BD0815"/>
    <w:rsid w:val="00BD1EAA"/>
    <w:rsid w:val="00C52739"/>
    <w:rsid w:val="00C827FF"/>
    <w:rsid w:val="00C853FB"/>
    <w:rsid w:val="00C85D0F"/>
    <w:rsid w:val="00CD34AC"/>
    <w:rsid w:val="00CD65E8"/>
    <w:rsid w:val="00CE64B3"/>
    <w:rsid w:val="00D03A82"/>
    <w:rsid w:val="00DB0E0D"/>
    <w:rsid w:val="00DE19FF"/>
    <w:rsid w:val="00E3133B"/>
    <w:rsid w:val="00E81BA6"/>
    <w:rsid w:val="00E856D2"/>
    <w:rsid w:val="00E929A7"/>
    <w:rsid w:val="00F3429D"/>
    <w:rsid w:val="00F45765"/>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98B5619-2623-4A88-B4C3-55538C7CE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styleId="FootnoteReference">
    <w:name w:val="footnote reference"/>
    <w:basedOn w:val="DefaultParagraphFont"/>
    <w:uiPriority w:val="99"/>
    <w:unhideWhenUsed/>
    <w:rsid w:val="00C853FB"/>
    <w:rPr>
      <w:vertAlign w:val="superscript"/>
    </w:rPr>
  </w:style>
  <w:style w:type="paragraph" w:styleId="Footer">
    <w:name w:val="footer"/>
    <w:basedOn w:val="Normal"/>
    <w:link w:val="FooterChar"/>
    <w:semiHidden/>
    <w:rsid w:val="00C853FB"/>
    <w:pPr>
      <w:tabs>
        <w:tab w:val="center" w:pos="4513"/>
        <w:tab w:val="right" w:pos="9026"/>
      </w:tabs>
    </w:pPr>
  </w:style>
  <w:style w:type="character" w:customStyle="1" w:styleId="FooterChar">
    <w:name w:val="Footer Char"/>
    <w:basedOn w:val="DefaultParagraphFont"/>
    <w:link w:val="Footer"/>
    <w:semiHidden/>
    <w:rsid w:val="00C853FB"/>
    <w:rPr>
      <w:sz w:val="24"/>
    </w:rPr>
  </w:style>
  <w:style w:type="paragraph" w:styleId="BalloonText">
    <w:name w:val="Balloon Text"/>
    <w:basedOn w:val="Normal"/>
    <w:link w:val="BalloonTextChar"/>
    <w:semiHidden/>
    <w:unhideWhenUsed/>
    <w:rsid w:val="001F5B6C"/>
    <w:rPr>
      <w:rFonts w:ascii="Segoe UI" w:hAnsi="Segoe UI" w:cs="Segoe UI"/>
      <w:sz w:val="18"/>
      <w:szCs w:val="18"/>
    </w:rPr>
  </w:style>
  <w:style w:type="character" w:customStyle="1" w:styleId="BalloonTextChar">
    <w:name w:val="Balloon Text Char"/>
    <w:basedOn w:val="DefaultParagraphFont"/>
    <w:link w:val="BalloonText"/>
    <w:semiHidden/>
    <w:rsid w:val="001F5B6C"/>
    <w:rPr>
      <w:rFonts w:ascii="Segoe UI" w:hAnsi="Segoe UI" w:cs="Segoe UI"/>
      <w:sz w:val="18"/>
      <w:szCs w:val="18"/>
    </w:rPr>
  </w:style>
  <w:style w:type="paragraph" w:customStyle="1" w:styleId="RollCallSymbols14pt">
    <w:name w:val="RollCallSymbols14pt"/>
    <w:basedOn w:val="Normal"/>
    <w:rsid w:val="00E3133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3133B"/>
    <w:pPr>
      <w:tabs>
        <w:tab w:val="center" w:pos="284"/>
        <w:tab w:val="left" w:pos="426"/>
      </w:tabs>
    </w:pPr>
    <w:rPr>
      <w:snapToGrid w:val="0"/>
      <w:lang w:eastAsia="en-US"/>
    </w:rPr>
  </w:style>
  <w:style w:type="paragraph" w:customStyle="1" w:styleId="RollCallVotes">
    <w:name w:val="RollCallVotes"/>
    <w:basedOn w:val="Normal"/>
    <w:rsid w:val="00E3133B"/>
    <w:pPr>
      <w:spacing w:before="120" w:after="120"/>
      <w:jc w:val="center"/>
    </w:pPr>
    <w:rPr>
      <w:b/>
      <w:bCs/>
      <w:snapToGrid w:val="0"/>
      <w:sz w:val="16"/>
      <w:lang w:eastAsia="en-US"/>
    </w:rPr>
  </w:style>
  <w:style w:type="paragraph" w:customStyle="1" w:styleId="RollCallTable">
    <w:name w:val="RollCallTable"/>
    <w:basedOn w:val="Normal"/>
    <w:rsid w:val="00E3133B"/>
    <w:pPr>
      <w:spacing w:before="120" w:after="120"/>
    </w:pPr>
    <w:rPr>
      <w:snapToGrid w:val="0"/>
      <w:sz w:val="16"/>
      <w:lang w:eastAsia="en-US"/>
    </w:rPr>
  </w:style>
  <w:style w:type="paragraph" w:customStyle="1" w:styleId="Normal24a">
    <w:name w:val="Normal24a"/>
    <w:basedOn w:val="Normal"/>
    <w:rsid w:val="00F45765"/>
    <w:pPr>
      <w:spacing w:after="480"/>
    </w:pPr>
  </w:style>
  <w:style w:type="paragraph" w:customStyle="1" w:styleId="NormalBoldCenter">
    <w:name w:val="NormalBoldCenter"/>
    <w:basedOn w:val="Normal"/>
    <w:rsid w:val="00F45765"/>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973</Words>
  <Characters>7366</Characters>
  <Application>Microsoft Office Word</Application>
  <DocSecurity>0</DocSecurity>
  <Lines>167</Lines>
  <Paragraphs>73</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2024-02-08T07:09:00Z</dcterms:created>
  <dcterms:modified xsi:type="dcterms:W3CDTF">2024-02-08T07:09:00Z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1294536</vt:lpwstr>
  </property>
  <property fmtid="{D5CDD505-2E9C-101B-9397-08002B2CF9AE}" pid="4" name="&lt;Model&gt;">
    <vt:lpwstr>PA_NonLeg</vt:lpwstr>
  </property>
  <property fmtid="{D5CDD505-2E9C-101B-9397-08002B2CF9AE}" pid="5" name="&lt;ModelCod&gt;">
    <vt:lpwstr>\\eiciBRUpr1\pdocep$\DocEP\DOCS\General\PA\PA_NonLeg\PA_NonLeg.dotx(18/09/2023 10:25:02)</vt:lpwstr>
  </property>
  <property fmtid="{D5CDD505-2E9C-101B-9397-08002B2CF9AE}" pid="6" name="&lt;ModelTra&gt;">
    <vt:lpwstr>\\eiciBRUpr1\pdocep$\DocEP\TRANSFIL\EN\PA_NonLeg.EN(18/09/2023 10:08:01)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AD\1294536ET.docx</vt:lpwstr>
  </property>
  <property fmtid="{D5CDD505-2E9C-101B-9397-08002B2CF9AE}" pid="10" name="LastEdited with">
    <vt:lpwstr>9.17.1 Build [20240111]</vt:lpwstr>
  </property>
  <property fmtid="{D5CDD505-2E9C-101B-9397-08002B2CF9AE}" pid="11" name="PE number">
    <vt:lpwstr>756.201</vt:lpwstr>
  </property>
  <property fmtid="{D5CDD505-2E9C-101B-9397-08002B2CF9AE}" pid="12" name="SDLStudio">
    <vt:lpwstr/>
  </property>
  <property fmtid="{D5CDD505-2E9C-101B-9397-08002B2CF9AE}" pid="13" name="SendToEpades">
    <vt:lpwstr>OK - 2024/01/25 17:50</vt:lpwstr>
  </property>
  <property fmtid="{D5CDD505-2E9C-101B-9397-08002B2CF9AE}" pid="14" name="Bookout">
    <vt:lpwstr>OK - 2024/02/07 10:04</vt:lpwstr>
  </property>
</Properties>
</file>