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C70BA0" w:rsidTr="00C85D0F">
        <w:trPr>
          <w:trHeight w:hRule="exact" w:val="1418"/>
        </w:trPr>
        <w:tc>
          <w:tcPr>
            <w:tcW w:w="6804" w:type="dxa"/>
            <w:shd w:val="clear" w:color="auto" w:fill="auto"/>
            <w:vAlign w:val="center"/>
          </w:tcPr>
          <w:p w:rsidR="00854CAC" w:rsidRPr="00C70BA0" w:rsidRDefault="002268C4" w:rsidP="00C85D0F">
            <w:pPr>
              <w:pStyle w:val="EPName"/>
            </w:pPr>
            <w:bookmarkStart w:id="0" w:name="_GoBack"/>
            <w:bookmarkEnd w:id="0"/>
            <w:r w:rsidRPr="00C70BA0">
              <w:t>Euroopan parlamentti</w:t>
            </w:r>
          </w:p>
          <w:p w:rsidR="00854CAC" w:rsidRPr="00C70BA0" w:rsidRDefault="00C853FB" w:rsidP="00C853FB">
            <w:pPr>
              <w:pStyle w:val="EPTerm"/>
            </w:pPr>
            <w:r w:rsidRPr="00C70BA0">
              <w:t>2019-2024</w:t>
            </w:r>
          </w:p>
        </w:tc>
        <w:tc>
          <w:tcPr>
            <w:tcW w:w="2268" w:type="dxa"/>
            <w:shd w:val="clear" w:color="auto" w:fill="auto"/>
          </w:tcPr>
          <w:p w:rsidR="00854CAC" w:rsidRPr="00C70BA0" w:rsidRDefault="00854CAC" w:rsidP="00C85D0F">
            <w:pPr>
              <w:pStyle w:val="EPLogo"/>
            </w:pPr>
            <w:r w:rsidRPr="00C70BA0">
              <w:rPr>
                <w:noProof/>
                <w:lang w:eastAsia="fi-FI"/>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C70BA0" w:rsidRDefault="001746D0" w:rsidP="001746D0">
      <w:pPr>
        <w:pStyle w:val="LineTop"/>
      </w:pPr>
    </w:p>
    <w:p w:rsidR="001746D0" w:rsidRPr="00C70BA0" w:rsidRDefault="001746D0" w:rsidP="001746D0">
      <w:pPr>
        <w:pStyle w:val="EPBody"/>
      </w:pPr>
      <w:r w:rsidRPr="00C70BA0">
        <w:rPr>
          <w:rStyle w:val="HideTWBExt"/>
        </w:rPr>
        <w:t>&lt;</w:t>
      </w:r>
      <w:r w:rsidRPr="00C70BA0">
        <w:rPr>
          <w:rStyle w:val="HideTWBExt"/>
          <w:i w:val="0"/>
        </w:rPr>
        <w:t>Commission</w:t>
      </w:r>
      <w:r w:rsidRPr="00C70BA0">
        <w:rPr>
          <w:rStyle w:val="HideTWBExt"/>
        </w:rPr>
        <w:t>&gt;</w:t>
      </w:r>
      <w:r w:rsidRPr="00C70BA0">
        <w:rPr>
          <w:rStyle w:val="HideTWBInt"/>
        </w:rPr>
        <w:t>{LIBE}</w:t>
      </w:r>
      <w:r w:rsidRPr="00C70BA0">
        <w:t>Kansalaisvapauksien sekä oikeus- ja sisäasioiden valiokunta</w:t>
      </w:r>
      <w:r w:rsidRPr="00C70BA0">
        <w:rPr>
          <w:rStyle w:val="HideTWBExt"/>
        </w:rPr>
        <w:t>&lt;/</w:t>
      </w:r>
      <w:r w:rsidRPr="00C70BA0">
        <w:rPr>
          <w:rStyle w:val="HideTWBExt"/>
          <w:i w:val="0"/>
        </w:rPr>
        <w:t>Commission</w:t>
      </w:r>
      <w:r w:rsidRPr="00C70BA0">
        <w:rPr>
          <w:rStyle w:val="HideTWBExt"/>
        </w:rPr>
        <w:t>&gt;</w:t>
      </w:r>
    </w:p>
    <w:p w:rsidR="001746D0" w:rsidRPr="00C70BA0" w:rsidRDefault="001746D0" w:rsidP="001746D0">
      <w:pPr>
        <w:pStyle w:val="LineBottom"/>
      </w:pPr>
    </w:p>
    <w:p w:rsidR="002E2F2E" w:rsidRPr="00C70BA0" w:rsidRDefault="002E2F2E">
      <w:pPr>
        <w:pStyle w:val="CoverReference"/>
      </w:pPr>
      <w:r w:rsidRPr="00C70BA0">
        <w:rPr>
          <w:rStyle w:val="HideTWBExt"/>
          <w:b w:val="0"/>
        </w:rPr>
        <w:t>&lt;RefProc&gt;</w:t>
      </w:r>
      <w:r w:rsidRPr="00C70BA0">
        <w:t>2023/2171</w:t>
      </w:r>
      <w:r w:rsidRPr="00C70BA0">
        <w:rPr>
          <w:rStyle w:val="HideTWBExt"/>
          <w:b w:val="0"/>
        </w:rPr>
        <w:t>&lt;/RefProc&gt;&lt;RefTypeProc&gt;</w:t>
      </w:r>
      <w:r w:rsidRPr="00C70BA0">
        <w:t>(DEC)</w:t>
      </w:r>
      <w:r w:rsidRPr="00C70BA0">
        <w:rPr>
          <w:rStyle w:val="HideTWBExt"/>
          <w:b w:val="0"/>
        </w:rPr>
        <w:t>&lt;/RefTypeProc&gt;</w:t>
      </w:r>
    </w:p>
    <w:p w:rsidR="002E2F2E" w:rsidRPr="00C70BA0" w:rsidRDefault="002E2F2E">
      <w:pPr>
        <w:pStyle w:val="CoverDate"/>
      </w:pPr>
      <w:r w:rsidRPr="00C70BA0">
        <w:rPr>
          <w:rStyle w:val="HideTWBExt"/>
        </w:rPr>
        <w:t>&lt;Date&gt;</w:t>
      </w:r>
      <w:r w:rsidRPr="00C70BA0">
        <w:rPr>
          <w:rStyle w:val="HideTWBInt"/>
        </w:rPr>
        <w:t>{24/01/2024}</w:t>
      </w:r>
      <w:r w:rsidRPr="00C70BA0">
        <w:t>24.1.2024</w:t>
      </w:r>
      <w:r w:rsidRPr="00C70BA0">
        <w:rPr>
          <w:rStyle w:val="HideTWBExt"/>
        </w:rPr>
        <w:t>&lt;/Date&gt;</w:t>
      </w:r>
    </w:p>
    <w:p w:rsidR="002E2F2E" w:rsidRPr="00C70BA0" w:rsidRDefault="002E2F2E">
      <w:pPr>
        <w:pStyle w:val="CoverDocType24a"/>
      </w:pPr>
      <w:r w:rsidRPr="00C70BA0">
        <w:rPr>
          <w:rStyle w:val="HideTWBExt"/>
          <w:b w:val="0"/>
        </w:rPr>
        <w:t>&lt;TitreType&gt;</w:t>
      </w:r>
      <w:r w:rsidRPr="00C70BA0">
        <w:t>LAUSUNTO</w:t>
      </w:r>
      <w:r w:rsidRPr="00C70BA0">
        <w:rPr>
          <w:rStyle w:val="HideTWBExt"/>
          <w:b w:val="0"/>
        </w:rPr>
        <w:t>&lt;/TitreType&gt;</w:t>
      </w:r>
    </w:p>
    <w:p w:rsidR="002E2F2E" w:rsidRPr="00C70BA0" w:rsidRDefault="002E2F2E">
      <w:pPr>
        <w:pStyle w:val="CoverNormal24a"/>
      </w:pPr>
      <w:r w:rsidRPr="00C70BA0">
        <w:rPr>
          <w:rStyle w:val="HideTWBExt"/>
        </w:rPr>
        <w:t>&lt;CommissionResp&gt;</w:t>
      </w:r>
      <w:r w:rsidRPr="00C70BA0">
        <w:t>kansalaisvapauksien sekä oikeus- ja sisäasioiden valiokunnalta</w:t>
      </w:r>
      <w:r w:rsidRPr="00C70BA0">
        <w:rPr>
          <w:rStyle w:val="HideTWBExt"/>
        </w:rPr>
        <w:t>&lt;/CommissionResp&gt;</w:t>
      </w:r>
    </w:p>
    <w:p w:rsidR="002E2F2E" w:rsidRPr="00C70BA0" w:rsidRDefault="002E2F2E">
      <w:pPr>
        <w:pStyle w:val="CoverNormal24a"/>
      </w:pPr>
      <w:r w:rsidRPr="00C70BA0">
        <w:rPr>
          <w:rStyle w:val="HideTWBExt"/>
        </w:rPr>
        <w:t>&lt;CommissionInt&gt;</w:t>
      </w:r>
      <w:r w:rsidRPr="00C70BA0">
        <w:t>talousarvion valvontavaliokunnalle</w:t>
      </w:r>
      <w:r w:rsidRPr="00C70BA0">
        <w:rPr>
          <w:rStyle w:val="HideTWBExt"/>
        </w:rPr>
        <w:t>&lt;/CommissionInt&gt;</w:t>
      </w:r>
    </w:p>
    <w:p w:rsidR="002E2F2E" w:rsidRPr="00C70BA0" w:rsidRDefault="002E2F2E">
      <w:pPr>
        <w:pStyle w:val="CoverNormal"/>
      </w:pPr>
      <w:r w:rsidRPr="00C70BA0">
        <w:rPr>
          <w:rStyle w:val="HideTWBExt"/>
        </w:rPr>
        <w:t>&lt;Titre&gt;</w:t>
      </w:r>
      <w:r w:rsidRPr="00C70BA0">
        <w:t>vastuuvapauden myöntämisestä Euroopan unionin perusoikeusviraston talousarvion toteuttamisesta varainhoitovuonna 2022</w:t>
      </w:r>
      <w:r w:rsidRPr="00C70BA0">
        <w:rPr>
          <w:rStyle w:val="HideTWBExt"/>
        </w:rPr>
        <w:t>&lt;/Titre&gt;</w:t>
      </w:r>
    </w:p>
    <w:p w:rsidR="002E2F2E" w:rsidRPr="00C70BA0" w:rsidRDefault="002E2F2E">
      <w:pPr>
        <w:pStyle w:val="CoverNormal24a"/>
      </w:pPr>
      <w:r w:rsidRPr="00C70BA0">
        <w:rPr>
          <w:rStyle w:val="HideTWBExt"/>
        </w:rPr>
        <w:t>&lt;DocRef&gt;</w:t>
      </w:r>
      <w:r w:rsidRPr="00C70BA0">
        <w:t>(2023/2171(DEC))</w:t>
      </w:r>
      <w:r w:rsidRPr="00C70BA0">
        <w:rPr>
          <w:rStyle w:val="HideTWBExt"/>
        </w:rPr>
        <w:t>&lt;/DocRef&gt;</w:t>
      </w:r>
    </w:p>
    <w:p w:rsidR="002E2F2E" w:rsidRPr="00C70BA0" w:rsidRDefault="002268C4">
      <w:pPr>
        <w:pStyle w:val="CoverNormal24a"/>
      </w:pPr>
      <w:r w:rsidRPr="00C70BA0">
        <w:t xml:space="preserve">Valmistelija: </w:t>
      </w:r>
      <w:r w:rsidRPr="00C70BA0">
        <w:rPr>
          <w:rStyle w:val="HideTWBExt"/>
        </w:rPr>
        <w:t>&lt;Depute&gt;</w:t>
      </w:r>
      <w:r w:rsidRPr="00C70BA0">
        <w:t>Tomáš Zdechovský</w:t>
      </w:r>
      <w:r w:rsidRPr="00C70BA0">
        <w:rPr>
          <w:rStyle w:val="HideTWBExt"/>
        </w:rPr>
        <w:t>&lt;/Depute&gt;</w:t>
      </w:r>
    </w:p>
    <w:p w:rsidR="00A72C35" w:rsidRPr="00C70BA0" w:rsidRDefault="00A72C35" w:rsidP="00A72C35">
      <w:pPr>
        <w:pStyle w:val="CoverNormal"/>
      </w:pPr>
    </w:p>
    <w:p w:rsidR="002E2F2E" w:rsidRPr="00C70BA0" w:rsidRDefault="002E2F2E" w:rsidP="00E856D2">
      <w:pPr>
        <w:widowControl/>
        <w:tabs>
          <w:tab w:val="center" w:pos="4677"/>
        </w:tabs>
      </w:pPr>
      <w:r w:rsidRPr="00C70BA0">
        <w:br w:type="page"/>
      </w:r>
      <w:r w:rsidRPr="00C70BA0">
        <w:lastRenderedPageBreak/>
        <w:t>PA_NonLeg</w:t>
      </w:r>
    </w:p>
    <w:p w:rsidR="002E2F2E" w:rsidRPr="00C70BA0" w:rsidRDefault="002E2F2E">
      <w:pPr>
        <w:pStyle w:val="PageHeadingNotTOC"/>
      </w:pPr>
      <w:r w:rsidRPr="00C70BA0">
        <w:br w:type="page"/>
      </w:r>
      <w:r w:rsidRPr="00C70BA0">
        <w:lastRenderedPageBreak/>
        <w:t>EHDOTUKSET</w:t>
      </w:r>
    </w:p>
    <w:p w:rsidR="002E2F2E" w:rsidRPr="00C70BA0" w:rsidRDefault="002268C4" w:rsidP="008313E7">
      <w:pPr>
        <w:pStyle w:val="Normal12a"/>
      </w:pPr>
      <w:r w:rsidRPr="00C70BA0">
        <w:t>Kansalaisvapauksien sekä oikeus- ja sisäasioiden valiokunta pyytää asiasta vastaavaa talousarvion valvontavaliokuntaa sisällyttämään seuraavat ehdotukset päätöslauselmaesitykseen, jonka se myöhemmin hyväksyy:</w:t>
      </w:r>
    </w:p>
    <w:p w:rsidR="00C853FB" w:rsidRPr="00C70BA0" w:rsidRDefault="00C853FB" w:rsidP="00C853FB">
      <w:pPr>
        <w:pStyle w:val="NormalHanging12a"/>
      </w:pPr>
      <w:r w:rsidRPr="00C70BA0">
        <w:t>1.</w:t>
      </w:r>
      <w:r w:rsidRPr="00C70BA0">
        <w:tab/>
        <w:t>panee tyytyväisenä merkille, että tilintarkastustuomioistuin on ilmoittanut, että Euroopan unionin perusoikeusviraston (FRA) varainhoitovuodelta 2022 annetun tilinpäätöksen perustana olevat toimet olivat kaikilta olennaisilta osiltaan lailliset ja sääntöjenmukaiset; ottaa huomioon tilintarkastustuomioistuimen huomautuksen, jonka mukaan toimintamenojen siirrot olivat jatkuvasti suuria, ja toteaa, että vuonna 2022 käytettävissä olevista maksusitoumusmäärärahoista 6,4 miljoonaa euroa (26 prosenttia) siirrettiin vuodelle 2023; korostaa tilintarkastustuomioistuimen kommenttia, jonka mukaan se, että siirtoja on toistuvasti paljon, on vastoin talousarvion vuotuisperiaatetta ja viittaa rakenteellisiin ongelmiin talousarvioprosessissa ja talousarvion toteuttamissyklissä; panee merkille perusoikeusviraston toteavan vastauksessaan, että sen erityinen toimintakehys vaikeuttaa toimintamenojen sitomista aikaisemmassa vaiheessa vuotta, joten siirtoja on vaikea välttää kokonaan; korostaa, että perusoikeusvirasto on edelleen toteuttanut talousarviota hyvin, sillä talousarvion toteutuma on kymmenen viime vuoden aikana ollut yli 99 prosenttia;</w:t>
      </w:r>
    </w:p>
    <w:p w:rsidR="00C853FB" w:rsidRPr="00C70BA0" w:rsidRDefault="00C853FB" w:rsidP="00C853FB">
      <w:pPr>
        <w:pStyle w:val="NormalHanging12a"/>
      </w:pPr>
      <w:r w:rsidRPr="00C70BA0">
        <w:t>2.</w:t>
      </w:r>
      <w:r w:rsidRPr="00C70BA0">
        <w:tab/>
        <w:t xml:space="preserve">panee tyytyväisenä merkille, että perusoikeusvirasto on auttanut havaitsemaan syrjinnän torjunnan ja tekoälyn aloilla vallitsevia suuntauksia ja osallistunut paremman lainsäädännön laatimiseen ja täytäntöönpanoon antamalla lainsäädännöllistä ja poliittista ohjeistusta esimerkiksi lasten ja uhrien oikeuksiin, terrorismin torjuntaan, tietosuojaan, rasismin torjuntaan, antisemitismiin, etnisiin vähemmistöihin, hlbtiq-henkilöihin ja muihin haavoittuviin ryhmiin liittyvissä asioissa; </w:t>
      </w:r>
    </w:p>
    <w:p w:rsidR="001F5B6C" w:rsidRPr="00C70BA0" w:rsidRDefault="001F5B6C" w:rsidP="00C853FB">
      <w:pPr>
        <w:pStyle w:val="NormalHanging12a"/>
      </w:pPr>
      <w:r w:rsidRPr="00C70BA0">
        <w:t>3.</w:t>
      </w:r>
      <w:r w:rsidRPr="00C70BA0">
        <w:tab/>
        <w:t>antaa tunnustusta perusoikeusviraston nopealle reagoinnille Venäjän hyökättyä Ukrainaan, kuten sille, että se oli ensimmäisten EU:n virastojen joukossa rajalla seuraamassa tilannetta, laati raportin ja kaksi tiedotetta sekä toteutti verkkokyselyn; on tyytyväinen, että perusoikeusvirasto reagoi esiin nouseviin perusoikeuksiin liittyviin kysymyksiin oikea-aikaisesti esimerkiksi antamalla kertomuksessaan ”Establishing national independent mechanisms to monitor fundamental rights compliance at EU external borders” yleisiä ohjeita, joilla autetaan EU:n jäsenvaltioita perustamaan kansallisia mekanismeja perusoikeuksien toteutumisen valvomiseksi tai vahvistamaan tällaisia mekanismeja ja varmistamaan suojatoimet, joilla turvataan mekanismin riippumattomuus; palauttaa mieliin, että kansainvälinen oikeus edellyttää kaikkien pakolaisten syrjimätöntä kohtelua;</w:t>
      </w:r>
    </w:p>
    <w:p w:rsidR="00C853FB" w:rsidRPr="00C70BA0" w:rsidRDefault="001F5B6C" w:rsidP="00C853FB">
      <w:pPr>
        <w:pStyle w:val="NormalHanging12a"/>
      </w:pPr>
      <w:r w:rsidRPr="00C70BA0">
        <w:t>4.</w:t>
      </w:r>
      <w:r w:rsidRPr="00C70BA0">
        <w:tab/>
        <w:t>suhtautuu myönteisesti perusoikeusviraston jatkuviin aloitteisiin EU:n virastojen välisten synergioiden edistämisestä ja sen ottamaan koordinoivaan rooliin monissa sisäasioiden virastojen verkoston aloitteissa, jotka koskevat esimerkiksi tietosuojaa ja sukupuolistunutta väkivaltaa; panee tyytyväisenä merkille Euroopan raja- ja merivartioviraston (Frontex) kanssa tehtävän läheisen yhteistyön eli Frontexin neuvoa-antavan ryhmän yhteispuheenjohtajuuden ja osallistumisen perusoikeusasiantuntijana Frontexin hallintoneuvoston kokouksiin; pitää myönteisenä, että Euroopan unionin lainvalvontakoulutusvirastolle (CEPOL), Frontexille ja vapauden, turvallisuuden ja oikeuden alueen laaja-alaisten tietojärjestelmien operatiivisesta hallinnoinnista vastaavalle Euroopan unionin virastolle (eu-LISA) on järjestetty koulutusta perusoikeuksista ja raja- ja turvallisuustietojärjestelmien käytöstä; arvostaa perusoikeusviraston osallistumista Euroopan unionin lainvalvontayhteistyöviraston (Europol) kanssa tehtävään turvallisuusalan työhön; suhtautuu myönteisesti Euroopan tasa-arvoinstituutin (EIGE) kanssa tehtävään yhteistyöhön toisen naisiin kohdistuvaa väkivaltaa koskevan tutkimuksen kenttätyön valmistelemiseksi;</w:t>
      </w:r>
    </w:p>
    <w:p w:rsidR="00C853FB" w:rsidRPr="00C70BA0" w:rsidRDefault="001F5B6C" w:rsidP="00C853FB">
      <w:pPr>
        <w:pStyle w:val="NormalHanging12a"/>
      </w:pPr>
      <w:r w:rsidRPr="00C70BA0">
        <w:t>5.</w:t>
      </w:r>
      <w:r w:rsidRPr="00C70BA0">
        <w:tab/>
        <w:t>panee tyytyväisenä merkille, että perusoikeusvirasto ylitti suurelta osin keskeisiä tulosindikaattoreita koskevat tavoitteensa ja sai pidetyksi sidosryhmien tyytyväisyyden korkealla tasolla; on tyytyväinen, että vuonna 2022 perusoikeusvirasto tuotti 28 julkaisua, 3 062 tutkimustuotosta, 342 kirjallista tai suullista puheenvuoroa sekä järjesti tai oli mukana järjestämässä 134:ää kokousta ja tapahtumaa ja että tiedotusvälineissä viitattiin perusoikeusvirastoon 4 319 kertaa; panee tyytyväisenä merkille lisääntyneen vuorovaikutuksen sosiaalisessa mediassa vuonna 2022;</w:t>
      </w:r>
    </w:p>
    <w:p w:rsidR="00C853FB" w:rsidRPr="00C70BA0" w:rsidRDefault="001F5B6C" w:rsidP="00C853FB">
      <w:pPr>
        <w:pStyle w:val="NormalHanging12a"/>
      </w:pPr>
      <w:r w:rsidRPr="00C70BA0">
        <w:t>6.</w:t>
      </w:r>
      <w:r w:rsidRPr="00C70BA0">
        <w:tab/>
        <w:t>on mielissään, että sidosryhmät olivat erittäin tyytyväisiä toimiin, joilla perusoikeusvirasto edisti yhteistyötä vuoden 2022 perusoikeusfoorumin kautta; antaa arvoa sille, että perusoikeusvirasto järjesti erilaisia tapahtumia, kuten neljännen perusoikeusvuoropuhelun nuorten kanssa, sekä muita työpajoja ja verkkoseminaareja oikeuksien, arvojen ja vapauksien edistämiseksi;</w:t>
      </w:r>
      <w:r w:rsidRPr="00C70BA0">
        <w:rPr>
          <w:rStyle w:val="FootnoteReference"/>
        </w:rPr>
        <w:t xml:space="preserve"> </w:t>
      </w:r>
    </w:p>
    <w:p w:rsidR="003E0794" w:rsidRPr="00C70BA0" w:rsidRDefault="001F5B6C" w:rsidP="00E3133B">
      <w:pPr>
        <w:pStyle w:val="NormalHanging12a"/>
        <w:ind w:left="560" w:hanging="560"/>
      </w:pPr>
      <w:r w:rsidRPr="00C70BA0">
        <w:t>7.</w:t>
      </w:r>
      <w:r w:rsidRPr="00C70BA0">
        <w:tab/>
        <w:t xml:space="preserve">panee merkille, että perusoikeusvirasto toteuttaa tehtäväänsä kansallisen ihmisoikeusinfrastruktuurin vahvistamisessa tekemällä yhteistyötä ja luomalla synergioita ihmisoikeusinstituutioiden kanssa ja kumppanuuksia kansalaisjärjestöjen kanssa; panee merkille viraston antaman jatkuvan ohjauksen turvapaikka-asioiden ja muuttoliikkeen alalla ja toteaa sen antavan säännöllisesti jäsenvaltioille suunnattuja yleiskatsauksia muuttoliikkeen yhteydessä esiintyvistä perusoikeuksiin liittyvistä huolenaiheista; pitää myönteisenä, että perusoikeusvirasto on ottanut roolin ihmisoikeuksiin perustuvan narratiivin vaalijana ja kehittää tehokasta viestintää, paneutuu uusien digitaalisten sovellusten ja työkalujen kehittämiseen ja tuo ihmisoikeustoimijoita yhteen edistämään eurooppalaisia arvoja ja vapauksia. </w:t>
      </w:r>
    </w:p>
    <w:p w:rsidR="009A7CBC" w:rsidRPr="00C70BA0" w:rsidRDefault="009A7CBC" w:rsidP="009A7CBC">
      <w:r w:rsidRPr="00C70BA0">
        <w:br w:type="page"/>
      </w:r>
    </w:p>
    <w:p w:rsidR="009A7CBC" w:rsidRPr="00C70BA0" w:rsidRDefault="009A7CBC" w:rsidP="009A7CBC">
      <w:pPr>
        <w:pStyle w:val="PageHeadingNotTOC"/>
      </w:pPr>
      <w:bookmarkStart w:id="1" w:name="ProcPageAD"/>
      <w:r w:rsidRPr="00C70BA0">
        <w:t>TIEDOT HYVÄKSYMISESTÄ</w:t>
      </w:r>
      <w:r w:rsidRPr="00C70BA0">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A7CBC" w:rsidRPr="00C70BA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b/>
                <w:bCs/>
                <w:color w:val="000000"/>
                <w:sz w:val="20"/>
              </w:rPr>
            </w:pPr>
            <w:r w:rsidRPr="00C70BA0">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C70BA0" w:rsidRDefault="009A7CBC">
            <w:pPr>
              <w:autoSpaceDE w:val="0"/>
              <w:autoSpaceDN w:val="0"/>
              <w:adjustRightInd w:val="0"/>
              <w:rPr>
                <w:color w:val="000000"/>
                <w:sz w:val="20"/>
              </w:rPr>
            </w:pPr>
            <w:r w:rsidRPr="00C70BA0">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C70BA0"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C70BA0"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rFonts w:ascii="sans-serif" w:hAnsi="sans-serif" w:cs="sans-serif"/>
                <w:color w:val="000000"/>
                <w:szCs w:val="24"/>
              </w:rPr>
            </w:pPr>
          </w:p>
        </w:tc>
      </w:tr>
      <w:tr w:rsidR="009A7CBC" w:rsidRPr="00C70BA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b/>
                <w:bCs/>
                <w:color w:val="000000"/>
                <w:sz w:val="20"/>
              </w:rPr>
            </w:pPr>
            <w:r w:rsidRPr="00C70BA0">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C70BA0" w:rsidRDefault="009A7CBC">
            <w:pPr>
              <w:autoSpaceDE w:val="0"/>
              <w:autoSpaceDN w:val="0"/>
              <w:adjustRightInd w:val="0"/>
              <w:rPr>
                <w:color w:val="000000"/>
                <w:sz w:val="20"/>
              </w:rPr>
            </w:pPr>
            <w:r w:rsidRPr="00C70BA0">
              <w:rPr>
                <w:color w:val="000000"/>
                <w:sz w:val="20"/>
              </w:rPr>
              <w:t>+:</w:t>
            </w:r>
          </w:p>
          <w:p w:rsidR="009A7CBC" w:rsidRPr="00C70BA0" w:rsidRDefault="009A7CBC">
            <w:pPr>
              <w:autoSpaceDE w:val="0"/>
              <w:autoSpaceDN w:val="0"/>
              <w:adjustRightInd w:val="0"/>
              <w:rPr>
                <w:color w:val="000000"/>
                <w:sz w:val="20"/>
              </w:rPr>
            </w:pPr>
            <w:r w:rsidRPr="00C70BA0">
              <w:rPr>
                <w:color w:val="000000"/>
                <w:sz w:val="20"/>
              </w:rPr>
              <w:t>–:</w:t>
            </w:r>
          </w:p>
          <w:p w:rsidR="009A7CBC" w:rsidRPr="00C70BA0" w:rsidRDefault="009A7CBC">
            <w:pPr>
              <w:autoSpaceDE w:val="0"/>
              <w:autoSpaceDN w:val="0"/>
              <w:adjustRightInd w:val="0"/>
              <w:rPr>
                <w:color w:val="000000"/>
                <w:sz w:val="20"/>
              </w:rPr>
            </w:pPr>
            <w:r w:rsidRPr="00C70BA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color w:val="000000"/>
                <w:sz w:val="20"/>
              </w:rPr>
            </w:pPr>
            <w:r w:rsidRPr="00C70BA0">
              <w:rPr>
                <w:color w:val="000000"/>
                <w:sz w:val="20"/>
              </w:rPr>
              <w:t>47</w:t>
            </w:r>
          </w:p>
          <w:p w:rsidR="009A7CBC" w:rsidRPr="00C70BA0" w:rsidRDefault="009A7CBC">
            <w:pPr>
              <w:autoSpaceDE w:val="0"/>
              <w:autoSpaceDN w:val="0"/>
              <w:adjustRightInd w:val="0"/>
              <w:rPr>
                <w:color w:val="000000"/>
                <w:sz w:val="20"/>
              </w:rPr>
            </w:pPr>
            <w:r w:rsidRPr="00C70BA0">
              <w:rPr>
                <w:color w:val="000000"/>
                <w:sz w:val="20"/>
              </w:rPr>
              <w:t>9</w:t>
            </w:r>
          </w:p>
          <w:p w:rsidR="009A7CBC" w:rsidRPr="00C70BA0" w:rsidRDefault="009A7CBC">
            <w:pPr>
              <w:autoSpaceDE w:val="0"/>
              <w:autoSpaceDN w:val="0"/>
              <w:adjustRightInd w:val="0"/>
              <w:rPr>
                <w:color w:val="000000"/>
                <w:sz w:val="20"/>
              </w:rPr>
            </w:pPr>
            <w:r w:rsidRPr="00C70BA0">
              <w:rPr>
                <w:color w:val="000000"/>
                <w:sz w:val="20"/>
              </w:rPr>
              <w:t>0</w:t>
            </w:r>
          </w:p>
        </w:tc>
      </w:tr>
      <w:tr w:rsidR="009A7CBC" w:rsidRPr="00C70BA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b/>
                <w:bCs/>
                <w:color w:val="000000"/>
                <w:sz w:val="20"/>
              </w:rPr>
            </w:pPr>
            <w:r w:rsidRPr="00C70BA0">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color w:val="000000"/>
                <w:sz w:val="20"/>
              </w:rPr>
            </w:pPr>
            <w:r w:rsidRPr="00C70BA0">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9A7CBC" w:rsidRPr="00C70BA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b/>
                <w:bCs/>
                <w:color w:val="000000"/>
                <w:sz w:val="20"/>
              </w:rPr>
            </w:pPr>
            <w:r w:rsidRPr="00C70BA0">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color w:val="000000"/>
                <w:sz w:val="20"/>
              </w:rPr>
            </w:pPr>
            <w:r w:rsidRPr="00C70BA0">
              <w:rPr>
                <w:color w:val="000000"/>
                <w:sz w:val="20"/>
              </w:rPr>
              <w:t>Cyrus Engerer, José Gusmão, Beata Kempa, Leopoldo López Gil, Janina Ochojska, Anne-Sophie Pelletier, Bergur Løkke Rasmussen, Róża Thun und Hohenstein, Maria Walsh, Tomáš Zdechovský</w:t>
            </w:r>
          </w:p>
        </w:tc>
      </w:tr>
      <w:tr w:rsidR="009A7CBC" w:rsidRPr="00C70BA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b/>
                <w:bCs/>
                <w:color w:val="000000"/>
                <w:sz w:val="20"/>
              </w:rPr>
            </w:pPr>
            <w:r w:rsidRPr="00C70BA0">
              <w:rPr>
                <w:b/>
                <w:color w:val="000000"/>
                <w:sz w:val="20"/>
              </w:rPr>
              <w:t>Lopullisessa äänestyksessä läsnä olleet sijaiset (209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C70BA0" w:rsidRDefault="009A7CBC">
            <w:pPr>
              <w:autoSpaceDE w:val="0"/>
              <w:autoSpaceDN w:val="0"/>
              <w:adjustRightInd w:val="0"/>
              <w:rPr>
                <w:color w:val="000000"/>
                <w:sz w:val="20"/>
              </w:rPr>
            </w:pPr>
            <w:r w:rsidRPr="00C70BA0">
              <w:rPr>
                <w:color w:val="000000"/>
                <w:sz w:val="20"/>
              </w:rPr>
              <w:t>Andrus Ansip, Hildegard Bentele, Maria da Graça Carvalho, Marisa Matias, Caroline Nagtegaal</w:t>
            </w:r>
          </w:p>
        </w:tc>
      </w:tr>
    </w:tbl>
    <w:p w:rsidR="009A7CBC" w:rsidRPr="00C70BA0" w:rsidRDefault="009A7CBC"/>
    <w:bookmarkEnd w:id="1"/>
    <w:p w:rsidR="00F45765" w:rsidRPr="00C70BA0" w:rsidRDefault="00F45765" w:rsidP="009A7CBC">
      <w:pPr>
        <w:sectPr w:rsidR="00F45765" w:rsidRPr="00C70BA0" w:rsidSect="00C70BA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45765" w:rsidRPr="00C70BA0" w:rsidRDefault="00F45765" w:rsidP="002B2C72">
      <w:pPr>
        <w:pStyle w:val="PageHeadingNotTOC"/>
        <w:rPr>
          <w:noProof/>
        </w:rPr>
      </w:pPr>
      <w:bookmarkStart w:id="2" w:name="FootprintPageAD"/>
      <w:r w:rsidRPr="00C70BA0">
        <w:t>LIITE: YHTEISÖT TAI HENKILÖT,</w:t>
      </w:r>
      <w:r w:rsidRPr="00C70BA0">
        <w:br/>
        <w:t>JOILTA VALMISTELIJA ON SAANUT TIETOJA</w:t>
      </w:r>
    </w:p>
    <w:p w:rsidR="00F45765" w:rsidRPr="00C70BA0" w:rsidRDefault="00F45765" w:rsidP="00037518">
      <w:pPr>
        <w:pStyle w:val="Normal24a"/>
      </w:pPr>
      <w:r w:rsidRPr="00C70BA0">
        <w:rPr>
          <w:rStyle w:val="HideTWBExt"/>
        </w:rPr>
        <w:t>&lt;FootprintIntro&gt;</w:t>
      </w:r>
      <w:r w:rsidRPr="00C70BA0">
        <w:t>Valmistelija ilmoittaa yksinomaisella vastuullaan, ettei hän ole saanut tietoja miltään yhteisöltä tai henkilöltä, joka olisi mainittava tässä liitteessä työjärjestyksen liitteessä I olevan 8 artiklan mukaisesti.</w:t>
      </w:r>
      <w:r w:rsidRPr="00C70BA0">
        <w:rPr>
          <w:rStyle w:val="HideTWBExt"/>
        </w:rPr>
        <w:t>&lt;/FootprintIntro&gt;</w:t>
      </w:r>
    </w:p>
    <w:p w:rsidR="00F45765" w:rsidRPr="00C70BA0" w:rsidRDefault="00F45765" w:rsidP="00AD5932"/>
    <w:p w:rsidR="00F45765" w:rsidRPr="00C70BA0" w:rsidRDefault="00F45765" w:rsidP="00F45765"/>
    <w:bookmarkEnd w:id="2"/>
    <w:p w:rsidR="00F45765" w:rsidRPr="00C70BA0" w:rsidRDefault="00F45765" w:rsidP="009A7CBC">
      <w:pPr>
        <w:sectPr w:rsidR="00F45765" w:rsidRPr="00C70BA0" w:rsidSect="00F457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133B" w:rsidRPr="00C70BA0" w:rsidRDefault="00E3133B" w:rsidP="009A7CBC">
      <w:pPr>
        <w:pStyle w:val="PageHeadingNotTOC"/>
      </w:pPr>
      <w:bookmarkStart w:id="3" w:name="RollCallPageAD"/>
      <w:r w:rsidRPr="00C70BA0">
        <w:t>LOPULLINEN ÄÄNESTYS NIMENHUUTOÄÄNESTYKSENÄ</w:t>
      </w:r>
      <w:r w:rsidRPr="00C70BA0">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133B" w:rsidRPr="00C70BA0" w:rsidTr="008920AC">
        <w:trPr>
          <w:cantSplit/>
        </w:trPr>
        <w:tc>
          <w:tcPr>
            <w:tcW w:w="1701" w:type="dxa"/>
            <w:shd w:val="pct10" w:color="000000" w:fill="FFFFFF"/>
            <w:vAlign w:val="center"/>
          </w:tcPr>
          <w:p w:rsidR="00E3133B" w:rsidRPr="00C70BA0" w:rsidRDefault="00E3133B" w:rsidP="003858C5">
            <w:pPr>
              <w:pStyle w:val="RollCallVotes"/>
            </w:pPr>
            <w:r w:rsidRPr="00C70BA0">
              <w:t>47</w:t>
            </w:r>
          </w:p>
        </w:tc>
        <w:tc>
          <w:tcPr>
            <w:tcW w:w="7371" w:type="dxa"/>
            <w:shd w:val="pct10" w:color="000000" w:fill="FFFFFF"/>
          </w:tcPr>
          <w:p w:rsidR="00E3133B" w:rsidRPr="00C70BA0" w:rsidRDefault="00E3133B" w:rsidP="003858C5">
            <w:pPr>
              <w:pStyle w:val="RollCallSymbols14pt"/>
            </w:pPr>
            <w:r w:rsidRPr="00C70BA0">
              <w:t>+</w:t>
            </w:r>
          </w:p>
        </w:tc>
      </w:tr>
      <w:tr w:rsidR="00E3133B" w:rsidRPr="00C70BA0" w:rsidTr="008920AC">
        <w:trPr>
          <w:cantSplit/>
        </w:trPr>
        <w:tc>
          <w:tcPr>
            <w:tcW w:w="1701" w:type="dxa"/>
            <w:shd w:val="clear" w:color="auto" w:fill="FFFFFF"/>
          </w:tcPr>
          <w:p w:rsidR="00E3133B" w:rsidRPr="00C70BA0" w:rsidRDefault="00E3133B" w:rsidP="003858C5">
            <w:pPr>
              <w:pStyle w:val="RollCallTable"/>
            </w:pPr>
            <w:r w:rsidRPr="00C70BA0">
              <w:t>PPE</w:t>
            </w:r>
          </w:p>
        </w:tc>
        <w:tc>
          <w:tcPr>
            <w:tcW w:w="7371" w:type="dxa"/>
            <w:shd w:val="clear" w:color="auto" w:fill="FFFFFF"/>
          </w:tcPr>
          <w:p w:rsidR="00E3133B" w:rsidRPr="00C70BA0" w:rsidRDefault="00E3133B" w:rsidP="003858C5">
            <w:pPr>
              <w:pStyle w:val="RollCallTable"/>
            </w:pPr>
            <w:r w:rsidRPr="00C70BA0">
              <w:t>Magdalena Adamowicz, Hildegard Bentele, Maria da Graça Carvalho, Lena Düpont, Andrzej Halicki, Jeroen Lenaers, Leopoldo López Gil, Janina Ochojska, Elissavet Vozemberg-Vrionidi, Maria Walsh, Javier Zarzalejos, Tomáš Zdechovský</w:t>
            </w:r>
          </w:p>
        </w:tc>
      </w:tr>
      <w:tr w:rsidR="00E3133B" w:rsidRPr="00C70BA0" w:rsidTr="008920AC">
        <w:trPr>
          <w:cantSplit/>
        </w:trPr>
        <w:tc>
          <w:tcPr>
            <w:tcW w:w="1701" w:type="dxa"/>
            <w:shd w:val="clear" w:color="auto" w:fill="FFFFFF"/>
          </w:tcPr>
          <w:p w:rsidR="00E3133B" w:rsidRPr="00C70BA0" w:rsidRDefault="00E3133B" w:rsidP="003858C5">
            <w:pPr>
              <w:pStyle w:val="RollCallTable"/>
            </w:pPr>
            <w:r w:rsidRPr="00C70BA0">
              <w:t>Renew</w:t>
            </w:r>
          </w:p>
        </w:tc>
        <w:tc>
          <w:tcPr>
            <w:tcW w:w="7371" w:type="dxa"/>
            <w:shd w:val="clear" w:color="auto" w:fill="FFFFFF"/>
          </w:tcPr>
          <w:p w:rsidR="00E3133B" w:rsidRPr="00C70BA0" w:rsidRDefault="00E3133B" w:rsidP="003858C5">
            <w:pPr>
              <w:pStyle w:val="RollCallTable"/>
            </w:pPr>
            <w:r w:rsidRPr="00C70BA0">
              <w:t>Abir Al-Sahlani, Andrus Ansip, Lucia Ďuriš Nicholsonová, Sophia in 't Veld, Moritz Körner, Caroline Nagtegaal, Maite Pagazaurtundúa, Bergur Løkke Rasmussen, Róża Thun und Hohenstein, Jana Toom</w:t>
            </w:r>
          </w:p>
        </w:tc>
      </w:tr>
      <w:tr w:rsidR="00E3133B" w:rsidRPr="00C70BA0" w:rsidTr="008920AC">
        <w:trPr>
          <w:cantSplit/>
        </w:trPr>
        <w:tc>
          <w:tcPr>
            <w:tcW w:w="1701" w:type="dxa"/>
            <w:shd w:val="clear" w:color="auto" w:fill="FFFFFF"/>
          </w:tcPr>
          <w:p w:rsidR="00E3133B" w:rsidRPr="00C70BA0" w:rsidRDefault="00E3133B" w:rsidP="003858C5">
            <w:pPr>
              <w:pStyle w:val="RollCallTable"/>
            </w:pPr>
            <w:r w:rsidRPr="00C70BA0">
              <w:t>S&amp;D</w:t>
            </w:r>
          </w:p>
        </w:tc>
        <w:tc>
          <w:tcPr>
            <w:tcW w:w="7371" w:type="dxa"/>
            <w:shd w:val="clear" w:color="auto" w:fill="FFFFFF"/>
          </w:tcPr>
          <w:p w:rsidR="00E3133B" w:rsidRPr="00C70BA0" w:rsidRDefault="00E3133B" w:rsidP="003858C5">
            <w:pPr>
              <w:pStyle w:val="RollCallTable"/>
            </w:pPr>
            <w:r w:rsidRPr="00C70BA0">
              <w:t>Katarina Barley, Pietro Bartolo, Theresa Bielowski, Cyrus Engerer, Maria Grapini, Sylvie Guillaume, Evin Incir, Marina Kaljurand, Łukasz Kohut, Juan Fernando López Aguilar, Javier Moreno Sánchez, Isabel Santos, Birgit Sippel, Elena Yoncheva</w:t>
            </w:r>
          </w:p>
        </w:tc>
      </w:tr>
      <w:tr w:rsidR="00E3133B" w:rsidRPr="00C70BA0" w:rsidTr="008920AC">
        <w:trPr>
          <w:cantSplit/>
        </w:trPr>
        <w:tc>
          <w:tcPr>
            <w:tcW w:w="1701" w:type="dxa"/>
            <w:shd w:val="clear" w:color="auto" w:fill="FFFFFF"/>
          </w:tcPr>
          <w:p w:rsidR="00E3133B" w:rsidRPr="00C70BA0" w:rsidRDefault="00E3133B" w:rsidP="003858C5">
            <w:pPr>
              <w:pStyle w:val="RollCallTable"/>
            </w:pPr>
            <w:r w:rsidRPr="00C70BA0">
              <w:t>The Left</w:t>
            </w:r>
          </w:p>
        </w:tc>
        <w:tc>
          <w:tcPr>
            <w:tcW w:w="7371" w:type="dxa"/>
            <w:shd w:val="clear" w:color="auto" w:fill="FFFFFF"/>
          </w:tcPr>
          <w:p w:rsidR="00E3133B" w:rsidRPr="00C70BA0" w:rsidRDefault="00E3133B" w:rsidP="003858C5">
            <w:pPr>
              <w:pStyle w:val="RollCallTable"/>
            </w:pPr>
            <w:r w:rsidRPr="00C70BA0">
              <w:t>Cornelia Ernst, José Gusmão, Marisa Matias, Anne-Sophie Pelletier</w:t>
            </w:r>
          </w:p>
        </w:tc>
      </w:tr>
      <w:tr w:rsidR="00E3133B" w:rsidRPr="00C70BA0" w:rsidTr="008920AC">
        <w:trPr>
          <w:cantSplit/>
        </w:trPr>
        <w:tc>
          <w:tcPr>
            <w:tcW w:w="1701" w:type="dxa"/>
            <w:shd w:val="clear" w:color="auto" w:fill="FFFFFF"/>
          </w:tcPr>
          <w:p w:rsidR="00E3133B" w:rsidRPr="00C70BA0" w:rsidRDefault="00E3133B" w:rsidP="003858C5">
            <w:pPr>
              <w:pStyle w:val="RollCallTable"/>
            </w:pPr>
            <w:r w:rsidRPr="00C70BA0">
              <w:t>Verts/ALE</w:t>
            </w:r>
          </w:p>
        </w:tc>
        <w:tc>
          <w:tcPr>
            <w:tcW w:w="7371" w:type="dxa"/>
            <w:shd w:val="clear" w:color="auto" w:fill="FFFFFF"/>
          </w:tcPr>
          <w:p w:rsidR="00E3133B" w:rsidRPr="00C70BA0" w:rsidRDefault="00E3133B" w:rsidP="003858C5">
            <w:pPr>
              <w:pStyle w:val="RollCallTable"/>
            </w:pPr>
            <w:r w:rsidRPr="00C70BA0">
              <w:t>Patrick Breyer, Saskia Bricmont, Damien Carême, Alice Kuhnke, Erik Marquardt, Diana Riba i Giner, Tineke Strik</w:t>
            </w:r>
          </w:p>
        </w:tc>
      </w:tr>
    </w:tbl>
    <w:p w:rsidR="00E3133B" w:rsidRPr="00C70BA0"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133B" w:rsidRPr="00C70BA0" w:rsidTr="008920AC">
        <w:trPr>
          <w:cantSplit/>
        </w:trPr>
        <w:tc>
          <w:tcPr>
            <w:tcW w:w="1701" w:type="dxa"/>
            <w:shd w:val="pct10" w:color="000000" w:fill="FFFFFF"/>
            <w:vAlign w:val="center"/>
          </w:tcPr>
          <w:p w:rsidR="00E3133B" w:rsidRPr="00C70BA0" w:rsidRDefault="00E3133B" w:rsidP="003858C5">
            <w:pPr>
              <w:pStyle w:val="RollCallVotes"/>
            </w:pPr>
            <w:r w:rsidRPr="00C70BA0">
              <w:t>9</w:t>
            </w:r>
          </w:p>
        </w:tc>
        <w:tc>
          <w:tcPr>
            <w:tcW w:w="7371" w:type="dxa"/>
            <w:shd w:val="pct10" w:color="000000" w:fill="FFFFFF"/>
          </w:tcPr>
          <w:p w:rsidR="00E3133B" w:rsidRPr="00C70BA0" w:rsidRDefault="00E3133B" w:rsidP="003858C5">
            <w:pPr>
              <w:pStyle w:val="RollCallSymbols14pt"/>
            </w:pPr>
            <w:r w:rsidRPr="00C70BA0">
              <w:t>-</w:t>
            </w:r>
          </w:p>
        </w:tc>
      </w:tr>
      <w:tr w:rsidR="00E3133B" w:rsidRPr="00C70BA0" w:rsidTr="008920AC">
        <w:trPr>
          <w:cantSplit/>
        </w:trPr>
        <w:tc>
          <w:tcPr>
            <w:tcW w:w="1701" w:type="dxa"/>
            <w:shd w:val="clear" w:color="auto" w:fill="FFFFFF"/>
          </w:tcPr>
          <w:p w:rsidR="00E3133B" w:rsidRPr="00C70BA0" w:rsidRDefault="00E3133B" w:rsidP="003858C5">
            <w:pPr>
              <w:pStyle w:val="RollCallTable"/>
            </w:pPr>
            <w:r w:rsidRPr="00C70BA0">
              <w:t>ECR</w:t>
            </w:r>
          </w:p>
        </w:tc>
        <w:tc>
          <w:tcPr>
            <w:tcW w:w="7371" w:type="dxa"/>
            <w:shd w:val="clear" w:color="auto" w:fill="FFFFFF"/>
          </w:tcPr>
          <w:p w:rsidR="00E3133B" w:rsidRPr="00C70BA0" w:rsidRDefault="00E3133B" w:rsidP="003858C5">
            <w:pPr>
              <w:pStyle w:val="RollCallTable"/>
            </w:pPr>
            <w:r w:rsidRPr="00C70BA0">
              <w:t>Jorge Buxadé Villalba, Patryk Jaki, Assita Kanko, Beata Kempa, Vincenzo Sofo</w:t>
            </w:r>
          </w:p>
        </w:tc>
      </w:tr>
      <w:tr w:rsidR="00E3133B" w:rsidRPr="00C70BA0" w:rsidTr="008920AC">
        <w:trPr>
          <w:cantSplit/>
        </w:trPr>
        <w:tc>
          <w:tcPr>
            <w:tcW w:w="1701" w:type="dxa"/>
            <w:shd w:val="clear" w:color="auto" w:fill="FFFFFF"/>
          </w:tcPr>
          <w:p w:rsidR="00E3133B" w:rsidRPr="00C70BA0" w:rsidRDefault="00E3133B" w:rsidP="003858C5">
            <w:pPr>
              <w:pStyle w:val="RollCallTable"/>
            </w:pPr>
            <w:r w:rsidRPr="00C70BA0">
              <w:t>ID</w:t>
            </w:r>
          </w:p>
        </w:tc>
        <w:tc>
          <w:tcPr>
            <w:tcW w:w="7371" w:type="dxa"/>
            <w:shd w:val="clear" w:color="auto" w:fill="FFFFFF"/>
          </w:tcPr>
          <w:p w:rsidR="00E3133B" w:rsidRPr="00C70BA0" w:rsidRDefault="00E3133B" w:rsidP="003858C5">
            <w:pPr>
              <w:pStyle w:val="RollCallTable"/>
            </w:pPr>
            <w:r w:rsidRPr="00C70BA0">
              <w:t>Patricia Chagnon, Nicolaus Fest, Tom Vandendriessche</w:t>
            </w:r>
          </w:p>
        </w:tc>
      </w:tr>
      <w:tr w:rsidR="00E3133B" w:rsidRPr="00C70BA0" w:rsidTr="008920AC">
        <w:trPr>
          <w:cantSplit/>
        </w:trPr>
        <w:tc>
          <w:tcPr>
            <w:tcW w:w="1701" w:type="dxa"/>
            <w:shd w:val="clear" w:color="auto" w:fill="FFFFFF"/>
          </w:tcPr>
          <w:p w:rsidR="00E3133B" w:rsidRPr="00C70BA0" w:rsidRDefault="00E3133B" w:rsidP="003858C5">
            <w:pPr>
              <w:pStyle w:val="RollCallTable"/>
            </w:pPr>
            <w:r w:rsidRPr="00C70BA0">
              <w:t>NI</w:t>
            </w:r>
          </w:p>
        </w:tc>
        <w:tc>
          <w:tcPr>
            <w:tcW w:w="7371" w:type="dxa"/>
            <w:shd w:val="clear" w:color="auto" w:fill="FFFFFF"/>
          </w:tcPr>
          <w:p w:rsidR="00E3133B" w:rsidRPr="00C70BA0" w:rsidRDefault="00E3133B" w:rsidP="003858C5">
            <w:pPr>
              <w:pStyle w:val="RollCallTable"/>
            </w:pPr>
            <w:r w:rsidRPr="00C70BA0">
              <w:t>Milan Uhrík</w:t>
            </w:r>
          </w:p>
        </w:tc>
      </w:tr>
    </w:tbl>
    <w:p w:rsidR="00E3133B" w:rsidRPr="00C70BA0"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133B" w:rsidRPr="00C70BA0" w:rsidTr="008920AC">
        <w:trPr>
          <w:cantSplit/>
        </w:trPr>
        <w:tc>
          <w:tcPr>
            <w:tcW w:w="1701" w:type="dxa"/>
            <w:shd w:val="pct10" w:color="000000" w:fill="FFFFFF"/>
            <w:vAlign w:val="center"/>
          </w:tcPr>
          <w:p w:rsidR="00E3133B" w:rsidRPr="00C70BA0" w:rsidRDefault="00E3133B" w:rsidP="003858C5">
            <w:pPr>
              <w:pStyle w:val="RollCallVotes"/>
            </w:pPr>
            <w:r w:rsidRPr="00C70BA0">
              <w:t>0</w:t>
            </w:r>
          </w:p>
        </w:tc>
        <w:tc>
          <w:tcPr>
            <w:tcW w:w="7371" w:type="dxa"/>
            <w:shd w:val="pct10" w:color="000000" w:fill="FFFFFF"/>
          </w:tcPr>
          <w:p w:rsidR="00E3133B" w:rsidRPr="00C70BA0" w:rsidRDefault="00E3133B" w:rsidP="003858C5">
            <w:pPr>
              <w:pStyle w:val="RollCallSymbols14pt"/>
            </w:pPr>
            <w:r w:rsidRPr="00C70BA0">
              <w:t>0</w:t>
            </w:r>
          </w:p>
        </w:tc>
      </w:tr>
      <w:tr w:rsidR="00E3133B" w:rsidRPr="00C70BA0" w:rsidTr="008920AC">
        <w:trPr>
          <w:cantSplit/>
        </w:trPr>
        <w:tc>
          <w:tcPr>
            <w:tcW w:w="1701" w:type="dxa"/>
            <w:shd w:val="clear" w:color="auto" w:fill="FFFFFF"/>
          </w:tcPr>
          <w:p w:rsidR="00E3133B" w:rsidRPr="00C70BA0" w:rsidRDefault="00E3133B" w:rsidP="003858C5">
            <w:pPr>
              <w:pStyle w:val="RollCallTable"/>
            </w:pPr>
          </w:p>
        </w:tc>
        <w:tc>
          <w:tcPr>
            <w:tcW w:w="7371" w:type="dxa"/>
            <w:shd w:val="clear" w:color="auto" w:fill="FFFFFF"/>
          </w:tcPr>
          <w:p w:rsidR="00E3133B" w:rsidRPr="00C70BA0" w:rsidRDefault="00E3133B" w:rsidP="003858C5">
            <w:pPr>
              <w:pStyle w:val="RollCallTable"/>
            </w:pPr>
          </w:p>
        </w:tc>
      </w:tr>
    </w:tbl>
    <w:p w:rsidR="00E3133B" w:rsidRPr="00C70BA0" w:rsidRDefault="00E3133B" w:rsidP="00147FBF">
      <w:pPr>
        <w:pStyle w:val="Normal12a"/>
      </w:pPr>
    </w:p>
    <w:p w:rsidR="00E3133B" w:rsidRPr="00C70BA0" w:rsidRDefault="00E3133B" w:rsidP="00B735E3">
      <w:r w:rsidRPr="00C70BA0">
        <w:t>Symbolien selitys:</w:t>
      </w:r>
    </w:p>
    <w:p w:rsidR="00E3133B" w:rsidRPr="00C70BA0" w:rsidRDefault="00E3133B" w:rsidP="003858C5">
      <w:pPr>
        <w:pStyle w:val="RollCallTabs"/>
      </w:pPr>
      <w:r w:rsidRPr="00C70BA0">
        <w:t>+</w:t>
      </w:r>
      <w:r w:rsidRPr="00C70BA0">
        <w:tab/>
        <w:t>:</w:t>
      </w:r>
      <w:r w:rsidRPr="00C70BA0">
        <w:tab/>
        <w:t>puolesta</w:t>
      </w:r>
    </w:p>
    <w:p w:rsidR="00E3133B" w:rsidRPr="00C70BA0" w:rsidRDefault="00E3133B" w:rsidP="003858C5">
      <w:pPr>
        <w:pStyle w:val="RollCallTabs"/>
      </w:pPr>
      <w:r w:rsidRPr="00C70BA0">
        <w:t>-</w:t>
      </w:r>
      <w:r w:rsidRPr="00C70BA0">
        <w:tab/>
        <w:t>:</w:t>
      </w:r>
      <w:r w:rsidRPr="00C70BA0">
        <w:tab/>
        <w:t>vastaan</w:t>
      </w:r>
    </w:p>
    <w:p w:rsidR="00E3133B" w:rsidRPr="00C70BA0" w:rsidRDefault="00E3133B" w:rsidP="003858C5">
      <w:pPr>
        <w:pStyle w:val="RollCallTabs"/>
      </w:pPr>
      <w:r w:rsidRPr="00C70BA0">
        <w:t>0</w:t>
      </w:r>
      <w:r w:rsidRPr="00C70BA0">
        <w:tab/>
        <w:t>:</w:t>
      </w:r>
      <w:r w:rsidRPr="00C70BA0">
        <w:tab/>
        <w:t>tyhjää</w:t>
      </w:r>
    </w:p>
    <w:p w:rsidR="00E3133B" w:rsidRPr="00C70BA0" w:rsidRDefault="00E3133B" w:rsidP="00207509"/>
    <w:bookmarkEnd w:id="3"/>
    <w:p w:rsidR="002E6F98" w:rsidRPr="00C70BA0" w:rsidRDefault="002E6F98" w:rsidP="00E3133B"/>
    <w:sectPr w:rsidR="002E6F98" w:rsidRPr="00C70BA0" w:rsidSect="00F457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8C4" w:rsidRPr="00C70BA0" w:rsidRDefault="002268C4">
      <w:r w:rsidRPr="00C70BA0">
        <w:separator/>
      </w:r>
    </w:p>
  </w:endnote>
  <w:endnote w:type="continuationSeparator" w:id="0">
    <w:p w:rsidR="002268C4" w:rsidRPr="00C70BA0" w:rsidRDefault="002268C4">
      <w:r w:rsidRPr="00C70B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A0" w:rsidRPr="00C70BA0" w:rsidRDefault="00C70BA0" w:rsidP="00C70BA0">
    <w:pPr>
      <w:pStyle w:val="EPFooter"/>
    </w:pPr>
    <w:r w:rsidRPr="00C70BA0">
      <w:t>PE</w:t>
    </w:r>
    <w:r w:rsidRPr="00C70BA0">
      <w:rPr>
        <w:rStyle w:val="HideTWBExt"/>
      </w:rPr>
      <w:t>&lt;NoPE&gt;</w:t>
    </w:r>
    <w:r w:rsidRPr="00C70BA0">
      <w:t>756.201</w:t>
    </w:r>
    <w:r w:rsidRPr="00C70BA0">
      <w:rPr>
        <w:rStyle w:val="HideTWBExt"/>
      </w:rPr>
      <w:t>&lt;/NoPE&gt;&lt;Version&gt;</w:t>
    </w:r>
    <w:r w:rsidRPr="00C70BA0">
      <w:t>v02-00</w:t>
    </w:r>
    <w:r w:rsidRPr="00C70BA0">
      <w:rPr>
        <w:rStyle w:val="HideTWBExt"/>
      </w:rPr>
      <w:t>&lt;/Version&gt;</w:t>
    </w:r>
    <w:r w:rsidRPr="00C70BA0">
      <w:tab/>
    </w:r>
    <w:r w:rsidRPr="00C70BA0">
      <w:fldChar w:fldCharType="begin"/>
    </w:r>
    <w:r w:rsidRPr="00C70BA0">
      <w:instrText xml:space="preserve"> PAGE  \* MERGEFORMAT </w:instrText>
    </w:r>
    <w:r w:rsidRPr="00C70BA0">
      <w:fldChar w:fldCharType="separate"/>
    </w:r>
    <w:r w:rsidR="00BE701E">
      <w:rPr>
        <w:noProof/>
      </w:rPr>
      <w:t>2</w:t>
    </w:r>
    <w:r w:rsidRPr="00C70BA0">
      <w:fldChar w:fldCharType="end"/>
    </w:r>
    <w:r w:rsidRPr="00C70BA0">
      <w:t>/</w:t>
    </w:r>
    <w:fldSimple w:instr=" NUMPAGES  \* MERGEFORMAT ">
      <w:r w:rsidR="00BE701E">
        <w:rPr>
          <w:noProof/>
        </w:rPr>
        <w:t>7</w:t>
      </w:r>
    </w:fldSimple>
    <w:r w:rsidRPr="00C70BA0">
      <w:tab/>
    </w:r>
    <w:r w:rsidRPr="00C70BA0">
      <w:rPr>
        <w:rStyle w:val="HideTWBExt"/>
      </w:rPr>
      <w:t>&lt;PathFdR&gt;</w:t>
    </w:r>
    <w:r w:rsidRPr="00C70BA0">
      <w:t>AD\1294536FI.docx</w:t>
    </w:r>
    <w:r w:rsidRPr="00C70BA0">
      <w:rPr>
        <w:rStyle w:val="HideTWBExt"/>
      </w:rPr>
      <w:t>&lt;/PathFdR&gt;</w:t>
    </w:r>
  </w:p>
  <w:p w:rsidR="002E2F2E" w:rsidRPr="00C70BA0" w:rsidRDefault="00C70BA0" w:rsidP="00C70BA0">
    <w:pPr>
      <w:pStyle w:val="EPFooter2"/>
    </w:pPr>
    <w:r w:rsidRPr="00C70BA0">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A0" w:rsidRPr="00C70BA0" w:rsidRDefault="00C70BA0" w:rsidP="00C70BA0">
    <w:pPr>
      <w:pStyle w:val="EPFooter"/>
    </w:pPr>
    <w:r w:rsidRPr="00C70BA0">
      <w:rPr>
        <w:rStyle w:val="HideTWBExt"/>
      </w:rPr>
      <w:t>&lt;PathFdR&gt;</w:t>
    </w:r>
    <w:r w:rsidRPr="00C70BA0">
      <w:t>AD\1294536FI.docx</w:t>
    </w:r>
    <w:r w:rsidRPr="00C70BA0">
      <w:rPr>
        <w:rStyle w:val="HideTWBExt"/>
      </w:rPr>
      <w:t>&lt;/PathFdR&gt;</w:t>
    </w:r>
    <w:r w:rsidRPr="00C70BA0">
      <w:tab/>
    </w:r>
    <w:r w:rsidRPr="00C70BA0">
      <w:fldChar w:fldCharType="begin"/>
    </w:r>
    <w:r w:rsidRPr="00C70BA0">
      <w:instrText xml:space="preserve"> PAGE  \* MERGEFORMAT </w:instrText>
    </w:r>
    <w:r w:rsidRPr="00C70BA0">
      <w:fldChar w:fldCharType="separate"/>
    </w:r>
    <w:r w:rsidR="00BE701E">
      <w:rPr>
        <w:noProof/>
      </w:rPr>
      <w:t>7</w:t>
    </w:r>
    <w:r w:rsidRPr="00C70BA0">
      <w:fldChar w:fldCharType="end"/>
    </w:r>
    <w:r w:rsidRPr="00C70BA0">
      <w:t>/</w:t>
    </w:r>
    <w:fldSimple w:instr=" NUMPAGES  \* MERGEFORMAT ">
      <w:r w:rsidR="00BE701E">
        <w:rPr>
          <w:noProof/>
        </w:rPr>
        <w:t>7</w:t>
      </w:r>
    </w:fldSimple>
    <w:r w:rsidRPr="00C70BA0">
      <w:tab/>
      <w:t>PE</w:t>
    </w:r>
    <w:r w:rsidRPr="00C70BA0">
      <w:rPr>
        <w:rStyle w:val="HideTWBExt"/>
      </w:rPr>
      <w:t>&lt;NoPE&gt;</w:t>
    </w:r>
    <w:r w:rsidRPr="00C70BA0">
      <w:t>756.201</w:t>
    </w:r>
    <w:r w:rsidRPr="00C70BA0">
      <w:rPr>
        <w:rStyle w:val="HideTWBExt"/>
      </w:rPr>
      <w:t>&lt;/NoPE&gt;&lt;Version&gt;</w:t>
    </w:r>
    <w:r w:rsidRPr="00C70BA0">
      <w:t>v02-00</w:t>
    </w:r>
    <w:r w:rsidRPr="00C70BA0">
      <w:rPr>
        <w:rStyle w:val="HideTWBExt"/>
      </w:rPr>
      <w:t>&lt;/Version&gt;</w:t>
    </w:r>
  </w:p>
  <w:p w:rsidR="002E2F2E" w:rsidRPr="00C70BA0" w:rsidRDefault="00C70BA0" w:rsidP="00C70BA0">
    <w:pPr>
      <w:pStyle w:val="EPFooter2"/>
    </w:pPr>
    <w:r w:rsidRPr="00C70BA0">
      <w:tab/>
    </w:r>
    <w:r w:rsidRPr="00C70BA0">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A0" w:rsidRPr="00C70BA0" w:rsidRDefault="00C70BA0" w:rsidP="00C70BA0">
    <w:pPr>
      <w:pStyle w:val="EPFooter"/>
    </w:pPr>
    <w:r w:rsidRPr="00C70BA0">
      <w:rPr>
        <w:rStyle w:val="HideTWBExt"/>
      </w:rPr>
      <w:t>&lt;PathFdR&gt;</w:t>
    </w:r>
    <w:r w:rsidRPr="00C70BA0">
      <w:t>AD\1294536FI.docx</w:t>
    </w:r>
    <w:r w:rsidRPr="00C70BA0">
      <w:rPr>
        <w:rStyle w:val="HideTWBExt"/>
      </w:rPr>
      <w:t>&lt;/PathFdR&gt;</w:t>
    </w:r>
    <w:r w:rsidRPr="00C70BA0">
      <w:tab/>
    </w:r>
    <w:r w:rsidRPr="00C70BA0">
      <w:tab/>
      <w:t>PE</w:t>
    </w:r>
    <w:r w:rsidRPr="00C70BA0">
      <w:rPr>
        <w:rStyle w:val="HideTWBExt"/>
      </w:rPr>
      <w:t>&lt;NoPE&gt;</w:t>
    </w:r>
    <w:r w:rsidRPr="00C70BA0">
      <w:t>756.201</w:t>
    </w:r>
    <w:r w:rsidRPr="00C70BA0">
      <w:rPr>
        <w:rStyle w:val="HideTWBExt"/>
      </w:rPr>
      <w:t>&lt;/NoPE&gt;&lt;Version&gt;</w:t>
    </w:r>
    <w:r w:rsidRPr="00C70BA0">
      <w:t>v02-00</w:t>
    </w:r>
    <w:r w:rsidRPr="00C70BA0">
      <w:rPr>
        <w:rStyle w:val="HideTWBExt"/>
      </w:rPr>
      <w:t>&lt;/Version&gt;</w:t>
    </w:r>
  </w:p>
  <w:p w:rsidR="002E2F2E" w:rsidRPr="00C70BA0" w:rsidRDefault="00C70BA0" w:rsidP="00C70BA0">
    <w:pPr>
      <w:pStyle w:val="EPFooter2"/>
    </w:pPr>
    <w:r w:rsidRPr="00C70BA0">
      <w:t>FI</w:t>
    </w:r>
    <w:r w:rsidRPr="00C70BA0">
      <w:tab/>
    </w:r>
    <w:r w:rsidRPr="00C70BA0">
      <w:rPr>
        <w:b w:val="0"/>
        <w:i/>
        <w:color w:val="C0C0C0"/>
        <w:sz w:val="22"/>
      </w:rPr>
      <w:t>Moninaisuudessaan yhtenäinen</w:t>
    </w:r>
    <w:r w:rsidRPr="00C70BA0">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8C4" w:rsidRPr="00C70BA0" w:rsidRDefault="002268C4">
      <w:r w:rsidRPr="00C70BA0">
        <w:separator/>
      </w:r>
    </w:p>
  </w:footnote>
  <w:footnote w:type="continuationSeparator" w:id="0">
    <w:p w:rsidR="002268C4" w:rsidRPr="00C70BA0" w:rsidRDefault="002268C4">
      <w:r w:rsidRPr="00C70B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01E" w:rsidRDefault="00BE7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01E" w:rsidRDefault="00BE70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01E" w:rsidRDefault="00BE7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776534 HideTWBInt;}{_x000d__x000a_\s18\ql \fi-567\li567\ri0\sa240\nowidctlpar\wrapdefault\aspalpha\aspnum\faauto\adjustright\rin0\lin567\itap0 \rtlch\fcs1 \af0\afs20\alang1025 \ltrch\fcs0 \fs24\lang2057\langfe2057\cgrid\langnp2057\langfenp2057 _x000d__x000a_\sbasedon0 \snext18 \spriority0 \styrsid13776534 NormalHanging12a;}}{\*\rsidtbl \rsid24658\rsid223860\rsid735077\rsid1718133\rsid2892074\rsid3565327\rsid4666813\rsid6641733\rsid7823322\rsid9636012\rsid10377208\rsid11215221\rsid11549030\rsid12154954_x000d__x000a_\rsid13776534\rsid13853890\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1\min46}{\revtim\yr2024\mo1\dy22\hr11\min46}{\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653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53890 \chftnsep _x000d__x000a_\par }}{\*\ftnsepc \ltrpar \pard\plain \ltrpar\ql \li0\ri0\widctlpar\wrapdefault\aspalpha\aspnum\faauto\adjustright\rin0\lin0\itap0 \rtlch\fcs1 \af0\afs20\alang1025 \ltrch\fcs0 \fs24\lang2057\langfe2057\cgrid\langnp2057\langfenp2057 {\rtlch\fcs1 \af0 _x000d__x000a_\ltrch\fcs0 \insrsid13853890 \chftnsepc _x000d__x000a_\par }}{\*\aftnsep \ltrpar \pard\plain \ltrpar\ql \li0\ri0\widctlpar\wrapdefault\aspalpha\aspnum\faauto\adjustright\rin0\lin0\itap0 \rtlch\fcs1 \af0\afs20\alang1025 \ltrch\fcs0 \fs24\lang2057\langfe2057\cgrid\langnp2057\langfenp2057 {\rtlch\fcs1 \af0 _x000d__x000a_\ltrch\fcs0 \insrsid13853890 \chftnsep _x000d__x000a_\par }}{\*\aftnsepc \ltrpar \pard\plain \ltrpar\ql \li0\ri0\widctlpar\wrapdefault\aspalpha\aspnum\faauto\adjustright\rin0\lin0\itap0 \rtlch\fcs1 \af0\afs20\alang1025 \ltrch\fcs0 \fs24\lang2057\langfe2057\cgrid\langnp2057\langfenp2057 {\rtlch\fcs1 \af0 _x000d__x000a_\ltrch\fcs0 \insrsid13853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3776534 \rtlch\fcs1 \af0\afs20\alang1025 \ltrch\fcs0 \fs24\lang2057\langfe2057\cgrid\langnp2057\langfenp2057 {\rtlch\fcs1 \af0 _x000d__x000a_\ltrch\fcs0 \insrsid13776534\charrsid13044652 {\*\bkmkstart restart}#}{\rtlch\fcs1 \af1 \ltrch\fcs0 \cs17\v\f1\fs20\cf15\insrsid13776534\charrsid13044652 NRMSG}{\rtlch\fcs1 \af0 \ltrch\fcs0 \insrsid13776534\charrsid13044652 #.\tab ##}{\rtlch\fcs1 \af0 _x000d__x000a_\ltrch\fcs0 \insrsid1377653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b_x000d__x000a_934d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405890 NormalHanging12a;}}{\*\rsidtbl \rsid24658\rsid223860\rsid735077\rsid1718133\rsid2892074\rsid3565327\rsid4666813\rsid6641733\rsid7823322\rsid8405890_x000d__x000a_\rsid9636012\rsid10377208\rsid11215221\rsid11549030\rsid12154954\rsid13841163\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1\min46}{\revtim\yr2024\mo1\dy22\hr11\min46}{\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589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41163 \chftnsep _x000d__x000a_\par }}{\*\ftnsepc \ltrpar \pard\plain \ltrpar\ql \li0\ri0\widctlpar\wrapdefault\aspalpha\aspnum\faauto\adjustright\rin0\lin0\itap0 \rtlch\fcs1 \af0\afs20\alang1025 \ltrch\fcs0 \fs24\lang2057\langfe2057\cgrid\langnp2057\langfenp2057 {\rtlch\fcs1 \af0 _x000d__x000a_\ltrch\fcs0 \insrsid13841163 \chftnsepc _x000d__x000a_\par }}{\*\aftnsep \ltrpar \pard\plain \ltrpar\ql \li0\ri0\widctlpar\wrapdefault\aspalpha\aspnum\faauto\adjustright\rin0\lin0\itap0 \rtlch\fcs1 \af0\afs20\alang1025 \ltrch\fcs0 \fs24\lang2057\langfe2057\cgrid\langnp2057\langfenp2057 {\rtlch\fcs1 \af0 _x000d__x000a_\ltrch\fcs0 \insrsid13841163 \chftnsep _x000d__x000a_\par }}{\*\aftnsepc \ltrpar \pard\plain \ltrpar\ql \li0\ri0\widctlpar\wrapdefault\aspalpha\aspnum\faauto\adjustright\rin0\lin0\itap0 \rtlch\fcs1 \af0\afs20\alang1025 \ltrch\fcs0 \fs24\lang2057\langfe2057\cgrid\langnp2057\langfenp2057 {\rtlch\fcs1 \af0 _x000d__x000a_\ltrch\fcs0 \insrsid13841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405890 \rtlch\fcs1 \af0\afs20\alang1025 \ltrch\fcs0 \fs24\lang2057\langfe2057\cgrid\langnp2057\langfenp2057 {\rtlch\fcs1 \af0 _x000d__x000a_\ltrch\fcs0 \insrsid8405890\charrsid1525456 {\*\bkmkstart restart}[ZSUGGESTIONNR]\tab [ZSUGGESTIONTEXT]}{\rtlch\fcs1 \af0 \ltrch\fcs0 \insrsid84058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a_x000d__x000a_7c50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6.201"/>
    <w:docVar w:name="TXTNRPROC" w:val="2023/2171"/>
    <w:docVar w:name="TXTPEorAP" w:val="PE"/>
    <w:docVar w:name="TXTROUTE" w:val="AD\1294536EN.docx"/>
    <w:docVar w:name="TXTTITLE" w:val="of the European Union Agency for Fundamental Rights for the financial year 2022"/>
    <w:docVar w:name="TXTVERSION" w:val="02-00"/>
  </w:docVars>
  <w:rsids>
    <w:rsidRoot w:val="002268C4"/>
    <w:rsid w:val="0006413A"/>
    <w:rsid w:val="000E7EBF"/>
    <w:rsid w:val="00124F60"/>
    <w:rsid w:val="00135121"/>
    <w:rsid w:val="00140BE6"/>
    <w:rsid w:val="00147F4E"/>
    <w:rsid w:val="0016635E"/>
    <w:rsid w:val="001746D0"/>
    <w:rsid w:val="001B7393"/>
    <w:rsid w:val="001D2ED9"/>
    <w:rsid w:val="001F21C1"/>
    <w:rsid w:val="001F5B6C"/>
    <w:rsid w:val="002268C4"/>
    <w:rsid w:val="002D28A7"/>
    <w:rsid w:val="002E2F2E"/>
    <w:rsid w:val="002E6F98"/>
    <w:rsid w:val="00315071"/>
    <w:rsid w:val="00325BCB"/>
    <w:rsid w:val="00331944"/>
    <w:rsid w:val="00332AD9"/>
    <w:rsid w:val="00347D2C"/>
    <w:rsid w:val="0037356F"/>
    <w:rsid w:val="00390EB2"/>
    <w:rsid w:val="00396A0E"/>
    <w:rsid w:val="003E0794"/>
    <w:rsid w:val="003E2402"/>
    <w:rsid w:val="00464903"/>
    <w:rsid w:val="004C28FB"/>
    <w:rsid w:val="004C44C0"/>
    <w:rsid w:val="0052544E"/>
    <w:rsid w:val="00563442"/>
    <w:rsid w:val="005806B0"/>
    <w:rsid w:val="005940C3"/>
    <w:rsid w:val="00594C48"/>
    <w:rsid w:val="005B2F11"/>
    <w:rsid w:val="005C0BDF"/>
    <w:rsid w:val="005D60C6"/>
    <w:rsid w:val="006102E7"/>
    <w:rsid w:val="006351F4"/>
    <w:rsid w:val="00640C1B"/>
    <w:rsid w:val="00657AFB"/>
    <w:rsid w:val="006D5BF7"/>
    <w:rsid w:val="007778D8"/>
    <w:rsid w:val="007B2458"/>
    <w:rsid w:val="008313E7"/>
    <w:rsid w:val="00854CAC"/>
    <w:rsid w:val="008A32C5"/>
    <w:rsid w:val="008C6203"/>
    <w:rsid w:val="008D61E7"/>
    <w:rsid w:val="008F7002"/>
    <w:rsid w:val="00906E76"/>
    <w:rsid w:val="0099493F"/>
    <w:rsid w:val="009A7CBC"/>
    <w:rsid w:val="00A16BEA"/>
    <w:rsid w:val="00A312B3"/>
    <w:rsid w:val="00A72C35"/>
    <w:rsid w:val="00A93367"/>
    <w:rsid w:val="00AE180F"/>
    <w:rsid w:val="00B362F7"/>
    <w:rsid w:val="00B5456B"/>
    <w:rsid w:val="00B74B53"/>
    <w:rsid w:val="00BC26E4"/>
    <w:rsid w:val="00BD0815"/>
    <w:rsid w:val="00BD1EAA"/>
    <w:rsid w:val="00BE701E"/>
    <w:rsid w:val="00C52739"/>
    <w:rsid w:val="00C70BA0"/>
    <w:rsid w:val="00C827FF"/>
    <w:rsid w:val="00C853FB"/>
    <w:rsid w:val="00CD34AC"/>
    <w:rsid w:val="00CE64B3"/>
    <w:rsid w:val="00DB0E0D"/>
    <w:rsid w:val="00DE19FF"/>
    <w:rsid w:val="00E3133B"/>
    <w:rsid w:val="00E81BA6"/>
    <w:rsid w:val="00E856D2"/>
    <w:rsid w:val="00E929A7"/>
    <w:rsid w:val="00F3429D"/>
    <w:rsid w:val="00F45765"/>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chartTrackingRefBased/>
  <w15:docId w15:val="{D98B5619-2623-4A88-B4C3-55538C7C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C853FB"/>
    <w:rPr>
      <w:vertAlign w:val="superscript"/>
    </w:rPr>
  </w:style>
  <w:style w:type="paragraph" w:styleId="Footer">
    <w:name w:val="footer"/>
    <w:basedOn w:val="Normal"/>
    <w:link w:val="FooterChar"/>
    <w:semiHidden/>
    <w:rsid w:val="00C853FB"/>
    <w:pPr>
      <w:tabs>
        <w:tab w:val="center" w:pos="4513"/>
        <w:tab w:val="right" w:pos="9026"/>
      </w:tabs>
    </w:pPr>
  </w:style>
  <w:style w:type="character" w:customStyle="1" w:styleId="FooterChar">
    <w:name w:val="Footer Char"/>
    <w:basedOn w:val="DefaultParagraphFont"/>
    <w:link w:val="Footer"/>
    <w:semiHidden/>
    <w:rsid w:val="00C853FB"/>
    <w:rPr>
      <w:sz w:val="24"/>
    </w:rPr>
  </w:style>
  <w:style w:type="paragraph" w:styleId="BalloonText">
    <w:name w:val="Balloon Text"/>
    <w:basedOn w:val="Normal"/>
    <w:link w:val="BalloonTextChar"/>
    <w:semiHidden/>
    <w:unhideWhenUsed/>
    <w:rsid w:val="001F5B6C"/>
    <w:rPr>
      <w:rFonts w:ascii="Segoe UI" w:hAnsi="Segoe UI" w:cs="Segoe UI"/>
      <w:sz w:val="18"/>
      <w:szCs w:val="18"/>
    </w:rPr>
  </w:style>
  <w:style w:type="character" w:customStyle="1" w:styleId="BalloonTextChar">
    <w:name w:val="Balloon Text Char"/>
    <w:basedOn w:val="DefaultParagraphFont"/>
    <w:link w:val="BalloonText"/>
    <w:semiHidden/>
    <w:rsid w:val="001F5B6C"/>
    <w:rPr>
      <w:rFonts w:ascii="Segoe UI" w:hAnsi="Segoe UI" w:cs="Segoe UI"/>
      <w:sz w:val="18"/>
      <w:szCs w:val="18"/>
    </w:rPr>
  </w:style>
  <w:style w:type="paragraph" w:customStyle="1" w:styleId="RollCallSymbols14pt">
    <w:name w:val="RollCallSymbols14pt"/>
    <w:basedOn w:val="Normal"/>
    <w:rsid w:val="00E313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133B"/>
    <w:pPr>
      <w:tabs>
        <w:tab w:val="center" w:pos="284"/>
        <w:tab w:val="left" w:pos="426"/>
      </w:tabs>
    </w:pPr>
    <w:rPr>
      <w:snapToGrid w:val="0"/>
      <w:lang w:eastAsia="en-US"/>
    </w:rPr>
  </w:style>
  <w:style w:type="paragraph" w:customStyle="1" w:styleId="RollCallVotes">
    <w:name w:val="RollCallVotes"/>
    <w:basedOn w:val="Normal"/>
    <w:rsid w:val="00E3133B"/>
    <w:pPr>
      <w:spacing w:before="120" w:after="120"/>
      <w:jc w:val="center"/>
    </w:pPr>
    <w:rPr>
      <w:b/>
      <w:bCs/>
      <w:snapToGrid w:val="0"/>
      <w:sz w:val="16"/>
      <w:lang w:eastAsia="en-US"/>
    </w:rPr>
  </w:style>
  <w:style w:type="paragraph" w:customStyle="1" w:styleId="RollCallTable">
    <w:name w:val="RollCallTable"/>
    <w:basedOn w:val="Normal"/>
    <w:rsid w:val="00E3133B"/>
    <w:pPr>
      <w:spacing w:before="120" w:after="120"/>
    </w:pPr>
    <w:rPr>
      <w:snapToGrid w:val="0"/>
      <w:sz w:val="16"/>
      <w:lang w:eastAsia="en-US"/>
    </w:rPr>
  </w:style>
  <w:style w:type="paragraph" w:customStyle="1" w:styleId="Normal24a">
    <w:name w:val="Normal24a"/>
    <w:basedOn w:val="Normal"/>
    <w:rsid w:val="00F45765"/>
    <w:pPr>
      <w:spacing w:after="480"/>
    </w:pPr>
  </w:style>
  <w:style w:type="paragraph" w:customStyle="1" w:styleId="NormalBoldCenter">
    <w:name w:val="NormalBoldCenter"/>
    <w:basedOn w:val="Normal"/>
    <w:rsid w:val="00F4576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408318">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955</Words>
  <Characters>7863</Characters>
  <Application>Microsoft Office Word</Application>
  <DocSecurity>0</DocSecurity>
  <Lines>179</Lines>
  <Paragraphs>66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2024-02-05T16:13:00Z</dcterms:created>
  <dcterms:modified xsi:type="dcterms:W3CDTF">2024-02-05T16:13:00Z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1294536</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AD\1294536FI.docx</vt:lpwstr>
  </property>
  <property fmtid="{D5CDD505-2E9C-101B-9397-08002B2CF9AE}" pid="11" name="PE number">
    <vt:lpwstr>756.201</vt:lpwstr>
  </property>
  <property fmtid="{D5CDD505-2E9C-101B-9397-08002B2CF9AE}" pid="12" name="SendToEpades">
    <vt:lpwstr>OK - 2024/01/25 17:50</vt:lpwstr>
  </property>
  <property fmtid="{D5CDD505-2E9C-101B-9397-08002B2CF9AE}" pid="13" name="SDLStudio">
    <vt:lpwstr/>
  </property>
  <property fmtid="{D5CDD505-2E9C-101B-9397-08002B2CF9AE}" pid="14" name="Bookout">
    <vt:lpwstr>OK - 2024/02/05 17:13</vt:lpwstr>
  </property>
</Properties>
</file>