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69092D" w:rsidTr="00C85D0F">
        <w:trPr>
          <w:trHeight w:hRule="exact" w:val="1418"/>
        </w:trPr>
        <w:tc>
          <w:tcPr>
            <w:tcW w:w="6804" w:type="dxa"/>
            <w:shd w:val="clear" w:color="auto" w:fill="auto"/>
            <w:vAlign w:val="center"/>
          </w:tcPr>
          <w:p w:rsidR="00854CAC" w:rsidRPr="0069092D" w:rsidRDefault="002268C4" w:rsidP="00C85D0F">
            <w:pPr>
              <w:pStyle w:val="EPName"/>
            </w:pPr>
            <w:bookmarkStart w:id="0" w:name="_GoBack"/>
            <w:bookmarkEnd w:id="0"/>
            <w:r w:rsidRPr="0069092D">
              <w:t>Parlament Europejski</w:t>
            </w:r>
          </w:p>
          <w:p w:rsidR="00854CAC" w:rsidRPr="0069092D" w:rsidRDefault="00C853FB" w:rsidP="00C853FB">
            <w:pPr>
              <w:pStyle w:val="EPTerm"/>
            </w:pPr>
            <w:r w:rsidRPr="0069092D">
              <w:t>2019-2024</w:t>
            </w:r>
          </w:p>
        </w:tc>
        <w:tc>
          <w:tcPr>
            <w:tcW w:w="2268" w:type="dxa"/>
            <w:shd w:val="clear" w:color="auto" w:fill="auto"/>
          </w:tcPr>
          <w:p w:rsidR="00854CAC" w:rsidRPr="0069092D" w:rsidRDefault="00854CAC" w:rsidP="00C85D0F">
            <w:pPr>
              <w:pStyle w:val="EPLogo"/>
            </w:pPr>
            <w:r w:rsidRPr="0069092D">
              <w:rPr>
                <w:noProof/>
                <w:lang w:eastAsia="fr-FR"/>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69092D" w:rsidRDefault="001746D0" w:rsidP="001746D0">
      <w:pPr>
        <w:pStyle w:val="LineTop"/>
      </w:pPr>
    </w:p>
    <w:p w:rsidR="001746D0" w:rsidRPr="0069092D" w:rsidRDefault="001746D0" w:rsidP="001746D0">
      <w:pPr>
        <w:pStyle w:val="EPBody"/>
      </w:pPr>
      <w:r w:rsidRPr="0069092D">
        <w:rPr>
          <w:rStyle w:val="HideTWBExt"/>
        </w:rPr>
        <w:t>&lt;</w:t>
      </w:r>
      <w:r w:rsidRPr="0069092D">
        <w:rPr>
          <w:rStyle w:val="HideTWBExt"/>
          <w:i w:val="0"/>
        </w:rPr>
        <w:t>Commission</w:t>
      </w:r>
      <w:r w:rsidRPr="0069092D">
        <w:rPr>
          <w:rStyle w:val="HideTWBExt"/>
        </w:rPr>
        <w:t>&gt;</w:t>
      </w:r>
      <w:r w:rsidRPr="0069092D">
        <w:rPr>
          <w:rStyle w:val="HideTWBInt"/>
        </w:rPr>
        <w:t>{LIBE}</w:t>
      </w:r>
      <w:r w:rsidRPr="0069092D">
        <w:t>Komisja Wolności Obywatelskich, Sprawiedliwości i Spraw Wewnętrznych</w:t>
      </w:r>
      <w:r w:rsidRPr="0069092D">
        <w:rPr>
          <w:rStyle w:val="HideTWBExt"/>
        </w:rPr>
        <w:t>&lt;/</w:t>
      </w:r>
      <w:r w:rsidRPr="0069092D">
        <w:rPr>
          <w:rStyle w:val="HideTWBExt"/>
          <w:i w:val="0"/>
        </w:rPr>
        <w:t>Commission</w:t>
      </w:r>
      <w:r w:rsidRPr="0069092D">
        <w:rPr>
          <w:rStyle w:val="HideTWBExt"/>
        </w:rPr>
        <w:t>&gt;</w:t>
      </w:r>
    </w:p>
    <w:p w:rsidR="001746D0" w:rsidRPr="0069092D" w:rsidRDefault="001746D0" w:rsidP="001746D0">
      <w:pPr>
        <w:pStyle w:val="LineBottom"/>
      </w:pPr>
    </w:p>
    <w:p w:rsidR="002E2F2E" w:rsidRPr="0069092D" w:rsidRDefault="002E2F2E">
      <w:pPr>
        <w:pStyle w:val="CoverReference"/>
      </w:pPr>
      <w:r w:rsidRPr="0069092D">
        <w:rPr>
          <w:rStyle w:val="HideTWBExt"/>
          <w:b w:val="0"/>
        </w:rPr>
        <w:t>&lt;RefProc&gt;</w:t>
      </w:r>
      <w:r w:rsidRPr="0069092D">
        <w:t>2023/2171</w:t>
      </w:r>
      <w:r w:rsidRPr="0069092D">
        <w:rPr>
          <w:rStyle w:val="HideTWBExt"/>
          <w:b w:val="0"/>
        </w:rPr>
        <w:t>&lt;/RefProc&gt;&lt;RefTypeProc&gt;</w:t>
      </w:r>
      <w:r w:rsidRPr="0069092D">
        <w:t>(DEC)</w:t>
      </w:r>
      <w:r w:rsidRPr="0069092D">
        <w:rPr>
          <w:rStyle w:val="HideTWBExt"/>
          <w:b w:val="0"/>
        </w:rPr>
        <w:t>&lt;/RefTypeProc&gt;</w:t>
      </w:r>
    </w:p>
    <w:p w:rsidR="002E2F2E" w:rsidRPr="0069092D" w:rsidRDefault="002E2F2E">
      <w:pPr>
        <w:pStyle w:val="CoverDate"/>
      </w:pPr>
      <w:r w:rsidRPr="0069092D">
        <w:rPr>
          <w:rStyle w:val="HideTWBExt"/>
        </w:rPr>
        <w:t>&lt;Date&gt;</w:t>
      </w:r>
      <w:r w:rsidRPr="0069092D">
        <w:rPr>
          <w:rStyle w:val="HideTWBInt"/>
        </w:rPr>
        <w:t>{24/01/2024}</w:t>
      </w:r>
      <w:r w:rsidRPr="0069092D">
        <w:t>24.1.2024</w:t>
      </w:r>
      <w:r w:rsidRPr="0069092D">
        <w:rPr>
          <w:rStyle w:val="HideTWBExt"/>
        </w:rPr>
        <w:t>&lt;/Date&gt;</w:t>
      </w:r>
    </w:p>
    <w:p w:rsidR="002E2F2E" w:rsidRPr="0069092D" w:rsidRDefault="002E2F2E">
      <w:pPr>
        <w:pStyle w:val="CoverDocType24a"/>
      </w:pPr>
      <w:r w:rsidRPr="0069092D">
        <w:rPr>
          <w:rStyle w:val="HideTWBExt"/>
          <w:b w:val="0"/>
        </w:rPr>
        <w:t>&lt;TitreType&gt;</w:t>
      </w:r>
      <w:r w:rsidRPr="0069092D">
        <w:t>OPINIA</w:t>
      </w:r>
      <w:r w:rsidRPr="0069092D">
        <w:rPr>
          <w:rStyle w:val="HideTWBExt"/>
          <w:b w:val="0"/>
        </w:rPr>
        <w:t>&lt;/TitreType&gt;</w:t>
      </w:r>
    </w:p>
    <w:p w:rsidR="002E2F2E" w:rsidRPr="0069092D" w:rsidRDefault="002E2F2E">
      <w:pPr>
        <w:pStyle w:val="CoverNormal24a"/>
      </w:pPr>
      <w:r w:rsidRPr="0069092D">
        <w:rPr>
          <w:rStyle w:val="HideTWBExt"/>
        </w:rPr>
        <w:t>&lt;CommissionResp&gt;</w:t>
      </w:r>
      <w:r w:rsidRPr="0069092D">
        <w:t>Komisji Wolności Obywatelskich, Sprawiedliwości i Spraw Wewnętrznych</w:t>
      </w:r>
      <w:r w:rsidRPr="0069092D">
        <w:rPr>
          <w:rStyle w:val="HideTWBExt"/>
        </w:rPr>
        <w:t>&lt;/CommissionResp&gt;</w:t>
      </w:r>
    </w:p>
    <w:p w:rsidR="002E2F2E" w:rsidRPr="0069092D" w:rsidRDefault="002E2F2E">
      <w:pPr>
        <w:pStyle w:val="CoverNormal24a"/>
      </w:pPr>
      <w:r w:rsidRPr="0069092D">
        <w:rPr>
          <w:rStyle w:val="HideTWBExt"/>
        </w:rPr>
        <w:t>&lt;CommissionInt&gt;</w:t>
      </w:r>
      <w:r w:rsidRPr="0069092D">
        <w:t>dla Komisji Kontroli Budżetowej</w:t>
      </w:r>
      <w:r w:rsidRPr="0069092D">
        <w:rPr>
          <w:rStyle w:val="HideTWBExt"/>
        </w:rPr>
        <w:t>&lt;/CommissionInt&gt;</w:t>
      </w:r>
    </w:p>
    <w:p w:rsidR="002E2F2E" w:rsidRPr="0069092D" w:rsidRDefault="002E2F2E">
      <w:pPr>
        <w:pStyle w:val="CoverNormal"/>
      </w:pPr>
      <w:r w:rsidRPr="0069092D">
        <w:rPr>
          <w:rStyle w:val="HideTWBExt"/>
        </w:rPr>
        <w:t>&lt;Titre&gt;</w:t>
      </w:r>
      <w:r w:rsidRPr="0069092D">
        <w:t>w sprawie absolutorium z wykonania budżetu Agencji Praw Podstawowych Unii Europejskiej za rok budżetowy 2022</w:t>
      </w:r>
      <w:r w:rsidRPr="0069092D">
        <w:rPr>
          <w:rStyle w:val="HideTWBExt"/>
        </w:rPr>
        <w:t>&lt;/Titre&gt;</w:t>
      </w:r>
    </w:p>
    <w:p w:rsidR="002E2F2E" w:rsidRPr="0069092D" w:rsidRDefault="002E2F2E">
      <w:pPr>
        <w:pStyle w:val="CoverNormal24a"/>
      </w:pPr>
      <w:r w:rsidRPr="0069092D">
        <w:rPr>
          <w:rStyle w:val="HideTWBExt"/>
        </w:rPr>
        <w:t>&lt;DocRef&gt;</w:t>
      </w:r>
      <w:r w:rsidRPr="0069092D">
        <w:t>(2023/2171(DEC))</w:t>
      </w:r>
      <w:r w:rsidRPr="0069092D">
        <w:rPr>
          <w:rStyle w:val="HideTWBExt"/>
        </w:rPr>
        <w:t>&lt;/DocRef&gt;</w:t>
      </w:r>
    </w:p>
    <w:p w:rsidR="002E2F2E" w:rsidRPr="0069092D" w:rsidRDefault="002268C4">
      <w:pPr>
        <w:pStyle w:val="CoverNormal24a"/>
      </w:pPr>
      <w:r w:rsidRPr="0069092D">
        <w:t xml:space="preserve">Sprawozdawca komisji opiniodawczej: </w:t>
      </w:r>
      <w:r w:rsidRPr="0069092D">
        <w:rPr>
          <w:rStyle w:val="HideTWBExt"/>
        </w:rPr>
        <w:t>&lt;Depute&gt;</w:t>
      </w:r>
      <w:r w:rsidRPr="0069092D">
        <w:t>Tomáš Zdechovský</w:t>
      </w:r>
      <w:r w:rsidRPr="0069092D">
        <w:rPr>
          <w:rStyle w:val="HideTWBExt"/>
        </w:rPr>
        <w:t>&lt;/Depute&gt;</w:t>
      </w:r>
    </w:p>
    <w:p w:rsidR="00A72C35" w:rsidRPr="0069092D" w:rsidRDefault="00A72C35" w:rsidP="00A72C35">
      <w:pPr>
        <w:pStyle w:val="CoverNormal"/>
      </w:pPr>
    </w:p>
    <w:p w:rsidR="002E2F2E" w:rsidRPr="0069092D" w:rsidRDefault="002E2F2E" w:rsidP="00E856D2">
      <w:pPr>
        <w:widowControl/>
        <w:tabs>
          <w:tab w:val="center" w:pos="4677"/>
        </w:tabs>
      </w:pPr>
      <w:r w:rsidRPr="0069092D">
        <w:br w:type="page"/>
      </w:r>
      <w:r w:rsidRPr="0069092D">
        <w:lastRenderedPageBreak/>
        <w:t>PA_NonLeg</w:t>
      </w:r>
    </w:p>
    <w:p w:rsidR="002E2F2E" w:rsidRPr="0069092D" w:rsidRDefault="002E2F2E">
      <w:pPr>
        <w:pStyle w:val="PageHeadingNotTOC"/>
      </w:pPr>
      <w:r w:rsidRPr="0069092D">
        <w:br w:type="page"/>
      </w:r>
      <w:r w:rsidRPr="0069092D">
        <w:lastRenderedPageBreak/>
        <w:t>WSKAZÓWKI</w:t>
      </w:r>
    </w:p>
    <w:p w:rsidR="002E2F2E" w:rsidRPr="0069092D" w:rsidRDefault="002268C4" w:rsidP="008313E7">
      <w:pPr>
        <w:pStyle w:val="Normal12a"/>
      </w:pPr>
      <w:r w:rsidRPr="0069092D">
        <w:t>Komisja Wolności Obywatelskich, Sprawiedliwości i Spraw Wewnętrznych zwraca się do Komisji Kontroli Budżetowej, jako komisji przedmiotowo właściwej, o uwzględnienie w końcowym tekście projektu rezolucji następujących wskazówek:</w:t>
      </w:r>
    </w:p>
    <w:p w:rsidR="00C853FB" w:rsidRPr="0069092D" w:rsidRDefault="00C853FB" w:rsidP="00C853FB">
      <w:pPr>
        <w:pStyle w:val="NormalHanging12a"/>
      </w:pPr>
      <w:r w:rsidRPr="0069092D">
        <w:t>1.</w:t>
      </w:r>
      <w:r w:rsidRPr="0069092D">
        <w:tab/>
        <w:t>z zadowoleniem przyjmuje fakt, że Trybunał Obrachunkowy („Trybunał”) uznał, iż transakcje leżące u podstaw rocznego sprawozdania finansowego Agencji Praw Podstawowych Unii Europejskiej (FRA) za rok budżetowy 2022 są legalne i prawidłowe we wszystkich istotnych aspektach; odnotowuje uwagę Trybunału dotyczącą utrzymującego się wysokiego poziomu przeniesień związanych z działaniami operacyjnymi, wynoszących 6,4 mln EUR (26 %) dostępnych środków na zobowiązania z 2022 r. na 2023 r.; podkreśla uwagę Trybunału, iż utrzymujący się wysoki poziom przeniesień stoi w sprzeczności z budżetową zasadą jednoroczności i wskazuje na trudności strukturalne w procedurze budżetowej i cyklu wdrażania; odnotowuje odpowiedź FRA, w której stwierdzono, że konkretne ramy działania FRA utrudniają zaciąganie zobowiązań operacyjnych na początku roku, wobec czego trudno jest całkowicie uniknąć przeniesień; podkreśla, że FRA utrzymuje dobre wykonanie budżetu z wynikiem przekraczającym 99 % w ciągu ostatnich dziesięciu lat;</w:t>
      </w:r>
    </w:p>
    <w:p w:rsidR="00C853FB" w:rsidRPr="0069092D" w:rsidRDefault="00C853FB" w:rsidP="00C853FB">
      <w:pPr>
        <w:pStyle w:val="NormalHanging12a"/>
      </w:pPr>
      <w:r w:rsidRPr="0069092D">
        <w:t>2.</w:t>
      </w:r>
      <w:r w:rsidRPr="0069092D">
        <w:tab/>
        <w:t xml:space="preserve">z satysfakcją odnotowuje pomoc FRA w określaniu tendencji w dziedzinie walki z dyskryminacją, sztucznej inteligencji, jej wkładu w lepsze stanowienie i wdrażanie prawa poprzez zapewnianie doradztwa legislacyjnego i politycznego w takich kwestiach jak prawa dzieci, prawa ofiar, zwalczanie terroryzmu, ochrona danych, przeciwdziałanie rasizmowi, antysemityzm, mniejszości etniczne, osoby LGBTIQ i inne narażone grupy; </w:t>
      </w:r>
    </w:p>
    <w:p w:rsidR="001F5B6C" w:rsidRPr="0069092D" w:rsidRDefault="001F5B6C" w:rsidP="00C853FB">
      <w:pPr>
        <w:pStyle w:val="NormalHanging12a"/>
      </w:pPr>
      <w:r w:rsidRPr="0069092D">
        <w:t>3.</w:t>
      </w:r>
      <w:r w:rsidRPr="0069092D">
        <w:tab/>
        <w:t>docenia szybką reakcję FRA na rosyjską inwazję na Ukrainę; zwraca uwagę, że FRA była jedną z pierwszych agencji UE na granicy, a jej działania obejmowały monitorowanie sytuacji oraz opracowanie sprawozdania, dwóch biuletynów i ankiety internetowej; z zadowoleniem przyjmuje szybką reakcję FRA na pojawiające się problemy związane z prawami podstawowymi, np. ogólne wytyczne FRA zawarte w jej sprawozdaniu pt. „Ustanowienie krajowych niezależnych mechanizmów monitorowania przestrzegania praw podstawowych na granicach zewnętrznych UE”; z zadowoleniem przyjmuje wsparcie FRA dla państw członkowskich UE w ustanowieniu lub wzmocnieniu krajowych mechanizmów monitorowania przestrzegania praw podstawowych, przy zapewnieniu zabezpieczeń gwarantujących niezależność tych mechanizmów; przypomina, że prawo międzynarodowe wymaga niedyskryminacyjnego traktowania wszystkich uchodźców;</w:t>
      </w:r>
    </w:p>
    <w:p w:rsidR="00C853FB" w:rsidRPr="0069092D" w:rsidRDefault="001F5B6C" w:rsidP="00C853FB">
      <w:pPr>
        <w:pStyle w:val="NormalHanging12a"/>
      </w:pPr>
      <w:r w:rsidRPr="0069092D">
        <w:t>4.</w:t>
      </w:r>
      <w:r w:rsidRPr="0069092D">
        <w:tab/>
        <w:t xml:space="preserve">z zadowoleniem przyjmuje podejmowane przez FRA inicjatywy mające na celu wspieranie synergii między agencjami UE oraz jej rolę koordynacyjną w wielu inicjatywach podejmowanych we współpracy z siecią agencji WSiSW, w tym w zakresie ochrony danych i przemocy ze względu na płeć; z uznaniem odnotowuje ścisłą współpracę z Europejską Agencją Straży Granicznej i Przybrzeżnej (Frontex), obejmującą m.in. współprzewodniczenie forum konsultacyjnemu Fronteksu i udział w posiedzeniach zarządu Fronteksu w roli eksperta ds. praw podstawowych; z zadowoleniem przyjmuje przeprowadzenie sesji szkoleniowych dla Agencji Unii Europejskiej ds. Szkolenia w Dziedzinie Ścigania (CEPOL), Fronteksu i Agencji Unii </w:t>
      </w:r>
      <w:r w:rsidRPr="0069092D">
        <w:lastRenderedPageBreak/>
        <w:t>Europejskiej ds. Zarządzania Operacyjnego Wielkoskalowymi Systemami Informatycznymi w Przestrzeni Wolności, Bezpieczeństwa i Sprawiedliwości (eu-LISA) na temat praw podstawowych i wykorzystania systemów informatycznych w dziedzinie ochrony granic i bezpieczeństwa; docenia udział w pracach w dziedzinie bezpieczeństwa we współpracy z Agencją Unii Europejskiej ds. Współpracy Organów Ścigania (Europol); z zadowoleniem przyjmuje współpracę z Europejskim Instytutem ds. Równości Kobiet i Mężczyzn (EIGE) w przygotowaniach do badań terenowych w ramach drugiego badania dotyczącego przemocy wobec kobiet;</w:t>
      </w:r>
    </w:p>
    <w:p w:rsidR="00C853FB" w:rsidRPr="0069092D" w:rsidRDefault="001F5B6C" w:rsidP="00C853FB">
      <w:pPr>
        <w:pStyle w:val="NormalHanging12a"/>
      </w:pPr>
      <w:r w:rsidRPr="0069092D">
        <w:t>5.</w:t>
      </w:r>
      <w:r w:rsidRPr="0069092D">
        <w:tab/>
        <w:t>z zadowoleniem zauważa, że FRA w dużej mierze przekroczyła swoje cele w zakresie kluczowych wskaźników skuteczności działania i utrzymała wysoki poziom zadowolenia zainteresowanych stron; wyraża zadowolenie, że w 2022 r. FRA opracowała 28 publikacji, 3062 wyniki badań naukowych, 342 pisemne lub ustne uwagi, a także zorganizowała lub współorganizowała 134 posiedzenia i wydarzenia, a w mediach odnotowano 4319 odniesień do FRA; z zadowoleniem zauważa większe zaangażowanie w mediach społecznościowych w 2022 r.;</w:t>
      </w:r>
    </w:p>
    <w:p w:rsidR="00C853FB" w:rsidRPr="0069092D" w:rsidRDefault="001F5B6C" w:rsidP="00C853FB">
      <w:pPr>
        <w:pStyle w:val="NormalHanging12a"/>
      </w:pPr>
      <w:r w:rsidRPr="0069092D">
        <w:t>6.</w:t>
      </w:r>
      <w:r w:rsidRPr="0069092D">
        <w:tab/>
        <w:t>jest usatysfakcjonowany wysokim poziomem zadowolenia zainteresowanych stron z działań FRA na rzecz promowania współpracy za pośrednictwem platformy praw podstawowych w 2022 r.; docenia fakt, że FRA zorganizowała szereg wydarzeń, w tym czwarty dialog na temat praw podstawowych z młodzieżą, a także inne warsztaty i webinaria na temat promowania praw, wartości i wolności;</w:t>
      </w:r>
      <w:r w:rsidRPr="0069092D">
        <w:rPr>
          <w:rStyle w:val="FootnoteReference"/>
        </w:rPr>
        <w:t xml:space="preserve"> </w:t>
      </w:r>
    </w:p>
    <w:p w:rsidR="003E0794" w:rsidRPr="0069092D" w:rsidRDefault="001F5B6C" w:rsidP="00E3133B">
      <w:pPr>
        <w:pStyle w:val="NormalHanging12a"/>
        <w:ind w:left="560" w:hanging="560"/>
      </w:pPr>
      <w:r w:rsidRPr="0069092D">
        <w:t>7.</w:t>
      </w:r>
      <w:r w:rsidRPr="0069092D">
        <w:tab/>
        <w:t xml:space="preserve">uznaje rolę FRA we wzmacnianiu krajowej infrastruktury praw człowieka poprzez współpracę i tworzenie synergii z instytucjami praw człowieka oraz partnerstwo z instytucjami społeczeństwa obywatelskiego; odnotowuje, że FRA stale wydaje wytyczne w dziedzinie azylu i migracji, obejmujące regularne przeglądy dla państw członkowskich dotyczące kwestii praw podstawowych związanych z migracją; z zadowoleniem przyjmuje rolę FRA we wspieraniu narracji opartej na prawach człowieka poprzez rozwijanie skutecznej komunikacji, angażowanie się w opracowywanie nowych aplikacji i narzędzi cyfrowych oraz zbliżanie podmiotów działających na rzecz praw człowieka w celu promowania europejskich wartości i swobód. </w:t>
      </w:r>
    </w:p>
    <w:p w:rsidR="009A7CBC" w:rsidRPr="0069092D" w:rsidRDefault="009A7CBC" w:rsidP="009A7CBC">
      <w:r w:rsidRPr="0069092D">
        <w:br w:type="page"/>
      </w:r>
    </w:p>
    <w:p w:rsidR="009A7CBC" w:rsidRPr="0069092D" w:rsidRDefault="009A7CBC" w:rsidP="009A7CBC">
      <w:pPr>
        <w:pStyle w:val="PageHeadingNotTOC"/>
      </w:pPr>
      <w:bookmarkStart w:id="1" w:name="ProcPageAD"/>
      <w:r w:rsidRPr="0069092D">
        <w:lastRenderedPageBreak/>
        <w:t>INFORMACJE O PRZYJĘCIU W KOMISJI OPINIODAWCZEJ</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A7CBC" w:rsidRPr="0069092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A7CBC" w:rsidRPr="0069092D" w:rsidRDefault="009A7CBC">
            <w:pPr>
              <w:autoSpaceDE w:val="0"/>
              <w:autoSpaceDN w:val="0"/>
              <w:adjustRightInd w:val="0"/>
              <w:rPr>
                <w:b/>
                <w:bCs/>
                <w:color w:val="000000"/>
                <w:sz w:val="20"/>
              </w:rPr>
            </w:pPr>
            <w:r w:rsidRPr="0069092D">
              <w:rPr>
                <w:b/>
                <w:color w:val="000000"/>
                <w:sz w:val="20"/>
              </w:rPr>
              <w:t>Data przyjęcia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A7CBC" w:rsidRPr="0069092D" w:rsidRDefault="009A7CBC">
            <w:pPr>
              <w:autoSpaceDE w:val="0"/>
              <w:autoSpaceDN w:val="0"/>
              <w:adjustRightInd w:val="0"/>
              <w:rPr>
                <w:color w:val="000000"/>
                <w:sz w:val="20"/>
              </w:rPr>
            </w:pPr>
            <w:r w:rsidRPr="0069092D">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A7CBC" w:rsidRPr="0069092D" w:rsidRDefault="009A7CB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A7CBC" w:rsidRPr="0069092D" w:rsidRDefault="009A7CB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A7CBC" w:rsidRPr="0069092D" w:rsidRDefault="009A7CBC">
            <w:pPr>
              <w:autoSpaceDE w:val="0"/>
              <w:autoSpaceDN w:val="0"/>
              <w:adjustRightInd w:val="0"/>
              <w:rPr>
                <w:rFonts w:ascii="sans-serif" w:hAnsi="sans-serif" w:cs="sans-serif"/>
                <w:color w:val="000000"/>
                <w:szCs w:val="24"/>
              </w:rPr>
            </w:pPr>
          </w:p>
        </w:tc>
      </w:tr>
      <w:tr w:rsidR="009A7CBC" w:rsidRPr="0069092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A7CBC" w:rsidRPr="0069092D" w:rsidRDefault="009A7CBC">
            <w:pPr>
              <w:autoSpaceDE w:val="0"/>
              <w:autoSpaceDN w:val="0"/>
              <w:adjustRightInd w:val="0"/>
              <w:rPr>
                <w:b/>
                <w:bCs/>
                <w:color w:val="000000"/>
                <w:sz w:val="20"/>
              </w:rPr>
            </w:pPr>
            <w:r w:rsidRPr="0069092D">
              <w:rPr>
                <w:b/>
                <w:color w:val="000000"/>
                <w:sz w:val="20"/>
              </w:rPr>
              <w:t>Wynik głosowania końcowego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A7CBC" w:rsidRPr="0069092D" w:rsidRDefault="009A7CBC">
            <w:pPr>
              <w:autoSpaceDE w:val="0"/>
              <w:autoSpaceDN w:val="0"/>
              <w:adjustRightInd w:val="0"/>
              <w:rPr>
                <w:color w:val="000000"/>
                <w:sz w:val="20"/>
              </w:rPr>
            </w:pPr>
            <w:r w:rsidRPr="0069092D">
              <w:rPr>
                <w:color w:val="000000"/>
                <w:sz w:val="20"/>
              </w:rPr>
              <w:t>+:</w:t>
            </w:r>
          </w:p>
          <w:p w:rsidR="009A7CBC" w:rsidRPr="0069092D" w:rsidRDefault="009A7CBC">
            <w:pPr>
              <w:autoSpaceDE w:val="0"/>
              <w:autoSpaceDN w:val="0"/>
              <w:adjustRightInd w:val="0"/>
              <w:rPr>
                <w:color w:val="000000"/>
                <w:sz w:val="20"/>
              </w:rPr>
            </w:pPr>
            <w:r w:rsidRPr="0069092D">
              <w:rPr>
                <w:color w:val="000000"/>
                <w:sz w:val="20"/>
              </w:rPr>
              <w:t>–:</w:t>
            </w:r>
          </w:p>
          <w:p w:rsidR="009A7CBC" w:rsidRPr="0069092D" w:rsidRDefault="009A7CBC">
            <w:pPr>
              <w:autoSpaceDE w:val="0"/>
              <w:autoSpaceDN w:val="0"/>
              <w:adjustRightInd w:val="0"/>
              <w:rPr>
                <w:color w:val="000000"/>
                <w:sz w:val="20"/>
              </w:rPr>
            </w:pPr>
            <w:r w:rsidRPr="0069092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A7CBC" w:rsidRPr="0069092D" w:rsidRDefault="009A7CBC">
            <w:pPr>
              <w:autoSpaceDE w:val="0"/>
              <w:autoSpaceDN w:val="0"/>
              <w:adjustRightInd w:val="0"/>
              <w:rPr>
                <w:color w:val="000000"/>
                <w:sz w:val="20"/>
              </w:rPr>
            </w:pPr>
            <w:r w:rsidRPr="0069092D">
              <w:rPr>
                <w:color w:val="000000"/>
                <w:sz w:val="20"/>
              </w:rPr>
              <w:t>47</w:t>
            </w:r>
          </w:p>
          <w:p w:rsidR="009A7CBC" w:rsidRPr="0069092D" w:rsidRDefault="009A7CBC">
            <w:pPr>
              <w:autoSpaceDE w:val="0"/>
              <w:autoSpaceDN w:val="0"/>
              <w:adjustRightInd w:val="0"/>
              <w:rPr>
                <w:color w:val="000000"/>
                <w:sz w:val="20"/>
              </w:rPr>
            </w:pPr>
            <w:r w:rsidRPr="0069092D">
              <w:rPr>
                <w:color w:val="000000"/>
                <w:sz w:val="20"/>
              </w:rPr>
              <w:t>9</w:t>
            </w:r>
          </w:p>
          <w:p w:rsidR="009A7CBC" w:rsidRPr="0069092D" w:rsidRDefault="009A7CBC">
            <w:pPr>
              <w:autoSpaceDE w:val="0"/>
              <w:autoSpaceDN w:val="0"/>
              <w:adjustRightInd w:val="0"/>
              <w:rPr>
                <w:color w:val="000000"/>
                <w:sz w:val="20"/>
              </w:rPr>
            </w:pPr>
            <w:r w:rsidRPr="0069092D">
              <w:rPr>
                <w:color w:val="000000"/>
                <w:sz w:val="20"/>
              </w:rPr>
              <w:t>0</w:t>
            </w:r>
          </w:p>
        </w:tc>
      </w:tr>
      <w:tr w:rsidR="009A7CBC" w:rsidRPr="0069092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A7CBC" w:rsidRPr="0069092D" w:rsidRDefault="009A7CBC">
            <w:pPr>
              <w:autoSpaceDE w:val="0"/>
              <w:autoSpaceDN w:val="0"/>
              <w:adjustRightInd w:val="0"/>
              <w:rPr>
                <w:b/>
                <w:bCs/>
                <w:color w:val="000000"/>
                <w:sz w:val="20"/>
              </w:rPr>
            </w:pPr>
            <w:r w:rsidRPr="0069092D">
              <w:rPr>
                <w:b/>
                <w:color w:val="000000"/>
                <w:sz w:val="20"/>
              </w:rPr>
              <w:t>Posłowie obecni podczas głosowania końcowego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A7CBC" w:rsidRPr="0069092D" w:rsidRDefault="009A7CBC">
            <w:pPr>
              <w:autoSpaceDE w:val="0"/>
              <w:autoSpaceDN w:val="0"/>
              <w:adjustRightInd w:val="0"/>
              <w:rPr>
                <w:color w:val="000000"/>
                <w:sz w:val="20"/>
              </w:rPr>
            </w:pPr>
            <w:r w:rsidRPr="0069092D">
              <w:rPr>
                <w:color w:val="000000"/>
                <w:sz w:val="20"/>
              </w:rPr>
              <w:t>Magdalena Adamowicz, Abir Al-Sahlani, Katarina Barley, Pietro Bartolo, Theresa Bielowski, Patrick Breyer, Saskia Bricmont, Jorge Buxadé Villalba, Damien Carême, Patricia Chagnon, Lena Düpont, Lucia Ďuriš Nicholsonová, Cornelia Ernst,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Elissavet Vozemberg-Vrionidi, Elena Yoncheva, Javier Zarzalejos</w:t>
            </w:r>
          </w:p>
        </w:tc>
      </w:tr>
      <w:tr w:rsidR="009A7CBC" w:rsidRPr="0069092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A7CBC" w:rsidRPr="0069092D" w:rsidRDefault="009A7CBC">
            <w:pPr>
              <w:autoSpaceDE w:val="0"/>
              <w:autoSpaceDN w:val="0"/>
              <w:adjustRightInd w:val="0"/>
              <w:rPr>
                <w:b/>
                <w:bCs/>
                <w:color w:val="000000"/>
                <w:sz w:val="20"/>
              </w:rPr>
            </w:pPr>
            <w:r w:rsidRPr="0069092D">
              <w:rPr>
                <w:b/>
                <w:color w:val="000000"/>
                <w:sz w:val="20"/>
              </w:rPr>
              <w:t>Zastępcy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A7CBC" w:rsidRPr="0069092D" w:rsidRDefault="009A7CBC">
            <w:pPr>
              <w:autoSpaceDE w:val="0"/>
              <w:autoSpaceDN w:val="0"/>
              <w:adjustRightInd w:val="0"/>
              <w:rPr>
                <w:color w:val="000000"/>
                <w:sz w:val="20"/>
              </w:rPr>
            </w:pPr>
            <w:r w:rsidRPr="0069092D">
              <w:rPr>
                <w:color w:val="000000"/>
                <w:sz w:val="20"/>
              </w:rPr>
              <w:t>Cyrus Engerer, José Gusmão, Beata Kempa, Leopoldo López Gil, Janina Ochojska, Anne-Sophie Pelletier, Bergur Løkke Rasmussen, Róża Thun und Hohenstein, Maria Walsh, Tomáš Zdechovský</w:t>
            </w:r>
          </w:p>
        </w:tc>
      </w:tr>
      <w:tr w:rsidR="009A7CBC" w:rsidRPr="0069092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A7CBC" w:rsidRPr="0069092D" w:rsidRDefault="009A7CBC">
            <w:pPr>
              <w:autoSpaceDE w:val="0"/>
              <w:autoSpaceDN w:val="0"/>
              <w:adjustRightInd w:val="0"/>
              <w:rPr>
                <w:b/>
                <w:bCs/>
                <w:color w:val="000000"/>
                <w:sz w:val="20"/>
              </w:rPr>
            </w:pPr>
            <w:r w:rsidRPr="0069092D">
              <w:rPr>
                <w:b/>
                <w:color w:val="000000"/>
                <w:sz w:val="20"/>
              </w:rPr>
              <w:t>Zastępcy (art. 209 ust. 7)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A7CBC" w:rsidRPr="0069092D" w:rsidRDefault="009A7CBC">
            <w:pPr>
              <w:autoSpaceDE w:val="0"/>
              <w:autoSpaceDN w:val="0"/>
              <w:adjustRightInd w:val="0"/>
              <w:rPr>
                <w:color w:val="000000"/>
                <w:sz w:val="20"/>
              </w:rPr>
            </w:pPr>
            <w:r w:rsidRPr="0069092D">
              <w:rPr>
                <w:color w:val="000000"/>
                <w:sz w:val="20"/>
              </w:rPr>
              <w:t>Andrus Ansip, Hildegard Bentele, Maria da Graça Carvalho, Marisa Matias, Caroline Nagtegaal</w:t>
            </w:r>
          </w:p>
        </w:tc>
      </w:tr>
    </w:tbl>
    <w:p w:rsidR="009A7CBC" w:rsidRPr="0069092D" w:rsidRDefault="009A7CBC"/>
    <w:bookmarkEnd w:id="1"/>
    <w:p w:rsidR="00F45765" w:rsidRPr="0069092D" w:rsidRDefault="00F45765" w:rsidP="009A7CBC">
      <w:pPr>
        <w:sectPr w:rsidR="00F45765" w:rsidRPr="0069092D" w:rsidSect="0069092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F45765" w:rsidRPr="0069092D" w:rsidRDefault="00F45765" w:rsidP="002B2C72">
      <w:pPr>
        <w:pStyle w:val="PageHeadingNotTOC"/>
        <w:rPr>
          <w:noProof/>
        </w:rPr>
      </w:pPr>
      <w:bookmarkStart w:id="2" w:name="FootprintPageAD"/>
      <w:r w:rsidRPr="0069092D">
        <w:lastRenderedPageBreak/>
        <w:t>ZAŁĄCZNIK: PODMIOTY LUB OSOBY,</w:t>
      </w:r>
      <w:r w:rsidRPr="0069092D">
        <w:br/>
        <w:t>OD KTÓRYCH SPRAWOZDAWCA KOMISJI OPINIODAWCZEJ OTRZYMAŁ INFORMACJE</w:t>
      </w:r>
    </w:p>
    <w:p w:rsidR="00F45765" w:rsidRPr="0069092D" w:rsidRDefault="00F45765" w:rsidP="00037518">
      <w:pPr>
        <w:pStyle w:val="Normal24a"/>
      </w:pPr>
      <w:r w:rsidRPr="0069092D">
        <w:rPr>
          <w:rStyle w:val="HideTWBExt"/>
        </w:rPr>
        <w:t>&lt;FootprintIntro&gt;</w:t>
      </w:r>
      <w:r w:rsidRPr="0069092D">
        <w:t>Sprawozdawca oświadcza w ramach swojej wyłącznej odpowiedzialności, że nie otrzymał żadnych informacji od podmiotu ani osoby, które należałoby wskazać w tym załączniku zgodnie z art. 8 załącznika I do Regulaminu.</w:t>
      </w:r>
      <w:r w:rsidRPr="0069092D">
        <w:rPr>
          <w:rStyle w:val="HideTWBExt"/>
        </w:rPr>
        <w:t>&lt;/FootprintIntro&gt;</w:t>
      </w:r>
    </w:p>
    <w:p w:rsidR="00F45765" w:rsidRPr="0069092D" w:rsidRDefault="00F45765" w:rsidP="00AD5932"/>
    <w:p w:rsidR="00F45765" w:rsidRPr="0069092D" w:rsidRDefault="00F45765" w:rsidP="00F45765"/>
    <w:bookmarkEnd w:id="2"/>
    <w:p w:rsidR="00F45765" w:rsidRPr="0069092D" w:rsidRDefault="00F45765" w:rsidP="009A7CBC">
      <w:pPr>
        <w:sectPr w:rsidR="00F45765" w:rsidRPr="0069092D" w:rsidSect="00F4576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3133B" w:rsidRPr="0069092D" w:rsidRDefault="00E3133B" w:rsidP="009A7CBC">
      <w:pPr>
        <w:pStyle w:val="PageHeadingNotTOC"/>
      </w:pPr>
      <w:bookmarkStart w:id="3" w:name="RollCallPageAD"/>
      <w:r w:rsidRPr="0069092D">
        <w:t>GŁOSOWANIE KOŃCOWE W FORMIE GŁOSOWANIA IMIENNEGO W KOMISJI OPINIODAWCZEJ</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3133B" w:rsidRPr="0069092D" w:rsidTr="008920AC">
        <w:trPr>
          <w:cantSplit/>
        </w:trPr>
        <w:tc>
          <w:tcPr>
            <w:tcW w:w="1701" w:type="dxa"/>
            <w:shd w:val="pct10" w:color="000000" w:fill="FFFFFF"/>
            <w:vAlign w:val="center"/>
          </w:tcPr>
          <w:p w:rsidR="00E3133B" w:rsidRPr="0069092D" w:rsidRDefault="00E3133B" w:rsidP="003858C5">
            <w:pPr>
              <w:pStyle w:val="RollCallVotes"/>
            </w:pPr>
            <w:r w:rsidRPr="0069092D">
              <w:t>47</w:t>
            </w:r>
          </w:p>
        </w:tc>
        <w:tc>
          <w:tcPr>
            <w:tcW w:w="7371" w:type="dxa"/>
            <w:shd w:val="pct10" w:color="000000" w:fill="FFFFFF"/>
          </w:tcPr>
          <w:p w:rsidR="00E3133B" w:rsidRPr="0069092D" w:rsidRDefault="00E3133B" w:rsidP="003858C5">
            <w:pPr>
              <w:pStyle w:val="RollCallSymbols14pt"/>
            </w:pPr>
            <w:r w:rsidRPr="0069092D">
              <w:t>+</w:t>
            </w:r>
          </w:p>
        </w:tc>
      </w:tr>
      <w:tr w:rsidR="00E3133B" w:rsidRPr="0069092D" w:rsidTr="008920AC">
        <w:trPr>
          <w:cantSplit/>
        </w:trPr>
        <w:tc>
          <w:tcPr>
            <w:tcW w:w="1701" w:type="dxa"/>
            <w:shd w:val="clear" w:color="auto" w:fill="FFFFFF"/>
          </w:tcPr>
          <w:p w:rsidR="00E3133B" w:rsidRPr="0069092D" w:rsidRDefault="00E3133B" w:rsidP="003858C5">
            <w:pPr>
              <w:pStyle w:val="RollCallTable"/>
            </w:pPr>
            <w:r w:rsidRPr="0069092D">
              <w:t>PPE</w:t>
            </w:r>
          </w:p>
        </w:tc>
        <w:tc>
          <w:tcPr>
            <w:tcW w:w="7371" w:type="dxa"/>
            <w:shd w:val="clear" w:color="auto" w:fill="FFFFFF"/>
          </w:tcPr>
          <w:p w:rsidR="00E3133B" w:rsidRPr="0069092D" w:rsidRDefault="00E3133B" w:rsidP="003858C5">
            <w:pPr>
              <w:pStyle w:val="RollCallTable"/>
            </w:pPr>
            <w:r w:rsidRPr="0069092D">
              <w:t>Magdalena Adamowicz, Hildegard Bentele, Maria da Graça Carvalho, Lena Düpont, Andrzej Halicki, Jeroen Lenaers, Leopoldo López Gil, Janina Ochojska, Elissavet Vozemberg-Vrionidi, Maria Walsh, Javier Zarzalejos, Tomáš Zdechovský</w:t>
            </w:r>
          </w:p>
        </w:tc>
      </w:tr>
      <w:tr w:rsidR="00E3133B" w:rsidRPr="0069092D" w:rsidTr="008920AC">
        <w:trPr>
          <w:cantSplit/>
        </w:trPr>
        <w:tc>
          <w:tcPr>
            <w:tcW w:w="1701" w:type="dxa"/>
            <w:shd w:val="clear" w:color="auto" w:fill="FFFFFF"/>
          </w:tcPr>
          <w:p w:rsidR="00E3133B" w:rsidRPr="0069092D" w:rsidRDefault="00E3133B" w:rsidP="003858C5">
            <w:pPr>
              <w:pStyle w:val="RollCallTable"/>
            </w:pPr>
            <w:r w:rsidRPr="0069092D">
              <w:t>Renew</w:t>
            </w:r>
          </w:p>
        </w:tc>
        <w:tc>
          <w:tcPr>
            <w:tcW w:w="7371" w:type="dxa"/>
            <w:shd w:val="clear" w:color="auto" w:fill="FFFFFF"/>
          </w:tcPr>
          <w:p w:rsidR="00E3133B" w:rsidRPr="0069092D" w:rsidRDefault="00E3133B" w:rsidP="003858C5">
            <w:pPr>
              <w:pStyle w:val="RollCallTable"/>
            </w:pPr>
            <w:r w:rsidRPr="0069092D">
              <w:t>Abir Al-Sahlani, Andrus Ansip, Lucia Ďuriš Nicholsonová, Sophia in 't Veld, Moritz Körner, Caroline Nagtegaal, Maite Pagazaurtundúa, Bergur Løkke Rasmussen, Róża Thun und Hohenstein, Jana Toom</w:t>
            </w:r>
          </w:p>
        </w:tc>
      </w:tr>
      <w:tr w:rsidR="00E3133B" w:rsidRPr="0069092D" w:rsidTr="008920AC">
        <w:trPr>
          <w:cantSplit/>
        </w:trPr>
        <w:tc>
          <w:tcPr>
            <w:tcW w:w="1701" w:type="dxa"/>
            <w:shd w:val="clear" w:color="auto" w:fill="FFFFFF"/>
          </w:tcPr>
          <w:p w:rsidR="00E3133B" w:rsidRPr="0069092D" w:rsidRDefault="00E3133B" w:rsidP="003858C5">
            <w:pPr>
              <w:pStyle w:val="RollCallTable"/>
            </w:pPr>
            <w:r w:rsidRPr="0069092D">
              <w:t>S&amp;D</w:t>
            </w:r>
          </w:p>
        </w:tc>
        <w:tc>
          <w:tcPr>
            <w:tcW w:w="7371" w:type="dxa"/>
            <w:shd w:val="clear" w:color="auto" w:fill="FFFFFF"/>
          </w:tcPr>
          <w:p w:rsidR="00E3133B" w:rsidRPr="0069092D" w:rsidRDefault="00E3133B" w:rsidP="003858C5">
            <w:pPr>
              <w:pStyle w:val="RollCallTable"/>
            </w:pPr>
            <w:r w:rsidRPr="0069092D">
              <w:t>Katarina Barley, Pietro Bartolo, Theresa Bielowski, Cyrus Engerer, Maria Grapini, Sylvie Guillaume, Evin Incir, Marina Kaljurand, Łukasz Kohut, Juan Fernando López Aguilar, Javier Moreno Sánchez, Isabel Santos, Birgit Sippel, Elena Yoncheva</w:t>
            </w:r>
          </w:p>
        </w:tc>
      </w:tr>
      <w:tr w:rsidR="00E3133B" w:rsidRPr="0069092D" w:rsidTr="008920AC">
        <w:trPr>
          <w:cantSplit/>
        </w:trPr>
        <w:tc>
          <w:tcPr>
            <w:tcW w:w="1701" w:type="dxa"/>
            <w:shd w:val="clear" w:color="auto" w:fill="FFFFFF"/>
          </w:tcPr>
          <w:p w:rsidR="00E3133B" w:rsidRPr="0069092D" w:rsidRDefault="00E3133B" w:rsidP="003858C5">
            <w:pPr>
              <w:pStyle w:val="RollCallTable"/>
            </w:pPr>
            <w:r w:rsidRPr="0069092D">
              <w:t>The Left</w:t>
            </w:r>
          </w:p>
        </w:tc>
        <w:tc>
          <w:tcPr>
            <w:tcW w:w="7371" w:type="dxa"/>
            <w:shd w:val="clear" w:color="auto" w:fill="FFFFFF"/>
          </w:tcPr>
          <w:p w:rsidR="00E3133B" w:rsidRPr="0069092D" w:rsidRDefault="00E3133B" w:rsidP="003858C5">
            <w:pPr>
              <w:pStyle w:val="RollCallTable"/>
            </w:pPr>
            <w:r w:rsidRPr="0069092D">
              <w:t>Cornelia Ernst, José Gusmão, Marisa Matias, Anne-Sophie Pelletier</w:t>
            </w:r>
          </w:p>
        </w:tc>
      </w:tr>
      <w:tr w:rsidR="00E3133B" w:rsidRPr="0069092D" w:rsidTr="008920AC">
        <w:trPr>
          <w:cantSplit/>
        </w:trPr>
        <w:tc>
          <w:tcPr>
            <w:tcW w:w="1701" w:type="dxa"/>
            <w:shd w:val="clear" w:color="auto" w:fill="FFFFFF"/>
          </w:tcPr>
          <w:p w:rsidR="00E3133B" w:rsidRPr="0069092D" w:rsidRDefault="00E3133B" w:rsidP="003858C5">
            <w:pPr>
              <w:pStyle w:val="RollCallTable"/>
            </w:pPr>
            <w:r w:rsidRPr="0069092D">
              <w:t>Verts/ALE</w:t>
            </w:r>
          </w:p>
        </w:tc>
        <w:tc>
          <w:tcPr>
            <w:tcW w:w="7371" w:type="dxa"/>
            <w:shd w:val="clear" w:color="auto" w:fill="FFFFFF"/>
          </w:tcPr>
          <w:p w:rsidR="00E3133B" w:rsidRPr="0069092D" w:rsidRDefault="00E3133B" w:rsidP="003858C5">
            <w:pPr>
              <w:pStyle w:val="RollCallTable"/>
            </w:pPr>
            <w:r w:rsidRPr="0069092D">
              <w:t>Patrick Breyer, Saskia Bricmont, Damien Carême, Alice Kuhnke, Erik Marquardt, Diana Riba i Giner, Tineke Strik</w:t>
            </w:r>
          </w:p>
        </w:tc>
      </w:tr>
    </w:tbl>
    <w:p w:rsidR="00E3133B" w:rsidRPr="0069092D" w:rsidRDefault="00E3133B"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3133B" w:rsidRPr="0069092D" w:rsidTr="008920AC">
        <w:trPr>
          <w:cantSplit/>
        </w:trPr>
        <w:tc>
          <w:tcPr>
            <w:tcW w:w="1701" w:type="dxa"/>
            <w:shd w:val="pct10" w:color="000000" w:fill="FFFFFF"/>
            <w:vAlign w:val="center"/>
          </w:tcPr>
          <w:p w:rsidR="00E3133B" w:rsidRPr="0069092D" w:rsidRDefault="00E3133B" w:rsidP="003858C5">
            <w:pPr>
              <w:pStyle w:val="RollCallVotes"/>
            </w:pPr>
            <w:r w:rsidRPr="0069092D">
              <w:t>9</w:t>
            </w:r>
          </w:p>
        </w:tc>
        <w:tc>
          <w:tcPr>
            <w:tcW w:w="7371" w:type="dxa"/>
            <w:shd w:val="pct10" w:color="000000" w:fill="FFFFFF"/>
          </w:tcPr>
          <w:p w:rsidR="00E3133B" w:rsidRPr="0069092D" w:rsidRDefault="00E3133B" w:rsidP="003858C5">
            <w:pPr>
              <w:pStyle w:val="RollCallSymbols14pt"/>
            </w:pPr>
            <w:r w:rsidRPr="0069092D">
              <w:t>-</w:t>
            </w:r>
          </w:p>
        </w:tc>
      </w:tr>
      <w:tr w:rsidR="00E3133B" w:rsidRPr="0069092D" w:rsidTr="008920AC">
        <w:trPr>
          <w:cantSplit/>
        </w:trPr>
        <w:tc>
          <w:tcPr>
            <w:tcW w:w="1701" w:type="dxa"/>
            <w:shd w:val="clear" w:color="auto" w:fill="FFFFFF"/>
          </w:tcPr>
          <w:p w:rsidR="00E3133B" w:rsidRPr="0069092D" w:rsidRDefault="00E3133B" w:rsidP="003858C5">
            <w:pPr>
              <w:pStyle w:val="RollCallTable"/>
            </w:pPr>
            <w:r w:rsidRPr="0069092D">
              <w:t>ECR</w:t>
            </w:r>
          </w:p>
        </w:tc>
        <w:tc>
          <w:tcPr>
            <w:tcW w:w="7371" w:type="dxa"/>
            <w:shd w:val="clear" w:color="auto" w:fill="FFFFFF"/>
          </w:tcPr>
          <w:p w:rsidR="00E3133B" w:rsidRPr="0069092D" w:rsidRDefault="00E3133B" w:rsidP="003858C5">
            <w:pPr>
              <w:pStyle w:val="RollCallTable"/>
            </w:pPr>
            <w:r w:rsidRPr="0069092D">
              <w:t>Jorge Buxadé Villalba, Patryk Jaki, Assita Kanko, Beata Kempa, Vincenzo Sofo</w:t>
            </w:r>
          </w:p>
        </w:tc>
      </w:tr>
      <w:tr w:rsidR="00E3133B" w:rsidRPr="0069092D" w:rsidTr="008920AC">
        <w:trPr>
          <w:cantSplit/>
        </w:trPr>
        <w:tc>
          <w:tcPr>
            <w:tcW w:w="1701" w:type="dxa"/>
            <w:shd w:val="clear" w:color="auto" w:fill="FFFFFF"/>
          </w:tcPr>
          <w:p w:rsidR="00E3133B" w:rsidRPr="0069092D" w:rsidRDefault="00E3133B" w:rsidP="003858C5">
            <w:pPr>
              <w:pStyle w:val="RollCallTable"/>
            </w:pPr>
            <w:r w:rsidRPr="0069092D">
              <w:t>ID</w:t>
            </w:r>
          </w:p>
        </w:tc>
        <w:tc>
          <w:tcPr>
            <w:tcW w:w="7371" w:type="dxa"/>
            <w:shd w:val="clear" w:color="auto" w:fill="FFFFFF"/>
          </w:tcPr>
          <w:p w:rsidR="00E3133B" w:rsidRPr="0069092D" w:rsidRDefault="00E3133B" w:rsidP="003858C5">
            <w:pPr>
              <w:pStyle w:val="RollCallTable"/>
            </w:pPr>
            <w:r w:rsidRPr="0069092D">
              <w:t>Patricia Chagnon, Nicolaus Fest, Tom Vandendriessche</w:t>
            </w:r>
          </w:p>
        </w:tc>
      </w:tr>
      <w:tr w:rsidR="00E3133B" w:rsidRPr="0069092D" w:rsidTr="008920AC">
        <w:trPr>
          <w:cantSplit/>
        </w:trPr>
        <w:tc>
          <w:tcPr>
            <w:tcW w:w="1701" w:type="dxa"/>
            <w:shd w:val="clear" w:color="auto" w:fill="FFFFFF"/>
          </w:tcPr>
          <w:p w:rsidR="00E3133B" w:rsidRPr="0069092D" w:rsidRDefault="00E3133B" w:rsidP="003858C5">
            <w:pPr>
              <w:pStyle w:val="RollCallTable"/>
            </w:pPr>
            <w:r w:rsidRPr="0069092D">
              <w:t>NI</w:t>
            </w:r>
          </w:p>
        </w:tc>
        <w:tc>
          <w:tcPr>
            <w:tcW w:w="7371" w:type="dxa"/>
            <w:shd w:val="clear" w:color="auto" w:fill="FFFFFF"/>
          </w:tcPr>
          <w:p w:rsidR="00E3133B" w:rsidRPr="0069092D" w:rsidRDefault="00E3133B" w:rsidP="003858C5">
            <w:pPr>
              <w:pStyle w:val="RollCallTable"/>
            </w:pPr>
            <w:r w:rsidRPr="0069092D">
              <w:t>Milan Uhrík</w:t>
            </w:r>
          </w:p>
        </w:tc>
      </w:tr>
    </w:tbl>
    <w:p w:rsidR="00E3133B" w:rsidRPr="0069092D" w:rsidRDefault="00E3133B"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3133B" w:rsidRPr="0069092D" w:rsidTr="008920AC">
        <w:trPr>
          <w:cantSplit/>
        </w:trPr>
        <w:tc>
          <w:tcPr>
            <w:tcW w:w="1701" w:type="dxa"/>
            <w:shd w:val="pct10" w:color="000000" w:fill="FFFFFF"/>
            <w:vAlign w:val="center"/>
          </w:tcPr>
          <w:p w:rsidR="00E3133B" w:rsidRPr="0069092D" w:rsidRDefault="00E3133B" w:rsidP="003858C5">
            <w:pPr>
              <w:pStyle w:val="RollCallVotes"/>
            </w:pPr>
            <w:r w:rsidRPr="0069092D">
              <w:t>0</w:t>
            </w:r>
          </w:p>
        </w:tc>
        <w:tc>
          <w:tcPr>
            <w:tcW w:w="7371" w:type="dxa"/>
            <w:shd w:val="pct10" w:color="000000" w:fill="FFFFFF"/>
          </w:tcPr>
          <w:p w:rsidR="00E3133B" w:rsidRPr="0069092D" w:rsidRDefault="00E3133B" w:rsidP="003858C5">
            <w:pPr>
              <w:pStyle w:val="RollCallSymbols14pt"/>
            </w:pPr>
            <w:r w:rsidRPr="0069092D">
              <w:t>0</w:t>
            </w:r>
          </w:p>
        </w:tc>
      </w:tr>
      <w:tr w:rsidR="00E3133B" w:rsidRPr="0069092D" w:rsidTr="008920AC">
        <w:trPr>
          <w:cantSplit/>
        </w:trPr>
        <w:tc>
          <w:tcPr>
            <w:tcW w:w="1701" w:type="dxa"/>
            <w:shd w:val="clear" w:color="auto" w:fill="FFFFFF"/>
          </w:tcPr>
          <w:p w:rsidR="00E3133B" w:rsidRPr="0069092D" w:rsidRDefault="00E3133B" w:rsidP="003858C5">
            <w:pPr>
              <w:pStyle w:val="RollCallTable"/>
            </w:pPr>
          </w:p>
        </w:tc>
        <w:tc>
          <w:tcPr>
            <w:tcW w:w="7371" w:type="dxa"/>
            <w:shd w:val="clear" w:color="auto" w:fill="FFFFFF"/>
          </w:tcPr>
          <w:p w:rsidR="00E3133B" w:rsidRPr="0069092D" w:rsidRDefault="00E3133B" w:rsidP="003858C5">
            <w:pPr>
              <w:pStyle w:val="RollCallTable"/>
            </w:pPr>
          </w:p>
        </w:tc>
      </w:tr>
    </w:tbl>
    <w:p w:rsidR="00E3133B" w:rsidRPr="0069092D" w:rsidRDefault="00E3133B" w:rsidP="00147FBF">
      <w:pPr>
        <w:pStyle w:val="Normal12a"/>
      </w:pPr>
    </w:p>
    <w:p w:rsidR="00E3133B" w:rsidRPr="0069092D" w:rsidRDefault="00E3133B" w:rsidP="00B735E3">
      <w:r w:rsidRPr="0069092D">
        <w:t>Objaśnienie używanych znaków:</w:t>
      </w:r>
    </w:p>
    <w:p w:rsidR="00E3133B" w:rsidRPr="0069092D" w:rsidRDefault="00E3133B" w:rsidP="003858C5">
      <w:pPr>
        <w:pStyle w:val="RollCallTabs"/>
      </w:pPr>
      <w:r w:rsidRPr="0069092D">
        <w:t>+</w:t>
      </w:r>
      <w:r w:rsidRPr="0069092D">
        <w:tab/>
        <w:t>:</w:t>
      </w:r>
      <w:r w:rsidRPr="0069092D">
        <w:tab/>
        <w:t>za</w:t>
      </w:r>
    </w:p>
    <w:p w:rsidR="00E3133B" w:rsidRPr="0069092D" w:rsidRDefault="00E3133B" w:rsidP="003858C5">
      <w:pPr>
        <w:pStyle w:val="RollCallTabs"/>
      </w:pPr>
      <w:r w:rsidRPr="0069092D">
        <w:t>-</w:t>
      </w:r>
      <w:r w:rsidRPr="0069092D">
        <w:tab/>
        <w:t>:</w:t>
      </w:r>
      <w:r w:rsidRPr="0069092D">
        <w:tab/>
        <w:t>przeciw</w:t>
      </w:r>
    </w:p>
    <w:p w:rsidR="00E3133B" w:rsidRPr="0069092D" w:rsidRDefault="00E3133B" w:rsidP="003858C5">
      <w:pPr>
        <w:pStyle w:val="RollCallTabs"/>
      </w:pPr>
      <w:r w:rsidRPr="0069092D">
        <w:t>0</w:t>
      </w:r>
      <w:r w:rsidRPr="0069092D">
        <w:tab/>
        <w:t>:</w:t>
      </w:r>
      <w:r w:rsidRPr="0069092D">
        <w:tab/>
        <w:t>wstrzymało się</w:t>
      </w:r>
    </w:p>
    <w:p w:rsidR="00E3133B" w:rsidRPr="0069092D" w:rsidRDefault="00E3133B" w:rsidP="00207509"/>
    <w:bookmarkEnd w:id="3"/>
    <w:p w:rsidR="002E6F98" w:rsidRPr="0069092D" w:rsidRDefault="002E6F98" w:rsidP="00E3133B"/>
    <w:sectPr w:rsidR="002E6F98" w:rsidRPr="0069092D" w:rsidSect="00F4576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8C4" w:rsidRPr="0069092D" w:rsidRDefault="002268C4">
      <w:r w:rsidRPr="0069092D">
        <w:separator/>
      </w:r>
    </w:p>
  </w:endnote>
  <w:endnote w:type="continuationSeparator" w:id="0">
    <w:p w:rsidR="002268C4" w:rsidRPr="0069092D" w:rsidRDefault="002268C4">
      <w:r w:rsidRPr="006909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92D" w:rsidRPr="0069092D" w:rsidRDefault="0069092D" w:rsidP="0069092D">
    <w:pPr>
      <w:pStyle w:val="EPFooter"/>
    </w:pPr>
    <w:r w:rsidRPr="0069092D">
      <w:t>PE</w:t>
    </w:r>
    <w:r w:rsidRPr="0069092D">
      <w:rPr>
        <w:rStyle w:val="HideTWBExt"/>
      </w:rPr>
      <w:t>&lt;NoPE&gt;</w:t>
    </w:r>
    <w:r w:rsidRPr="0069092D">
      <w:t>756.201</w:t>
    </w:r>
    <w:r w:rsidRPr="0069092D">
      <w:rPr>
        <w:rStyle w:val="HideTWBExt"/>
      </w:rPr>
      <w:t>&lt;/NoPE&gt;&lt;Version&gt;</w:t>
    </w:r>
    <w:r w:rsidRPr="0069092D">
      <w:t>v02-00</w:t>
    </w:r>
    <w:r w:rsidRPr="0069092D">
      <w:rPr>
        <w:rStyle w:val="HideTWBExt"/>
      </w:rPr>
      <w:t>&lt;/Version&gt;</w:t>
    </w:r>
    <w:r w:rsidRPr="0069092D">
      <w:tab/>
    </w:r>
    <w:r w:rsidRPr="0069092D">
      <w:fldChar w:fldCharType="begin"/>
    </w:r>
    <w:r w:rsidRPr="0069092D">
      <w:instrText xml:space="preserve"> PAGE  \* MERGEFORMAT </w:instrText>
    </w:r>
    <w:r w:rsidRPr="0069092D">
      <w:fldChar w:fldCharType="separate"/>
    </w:r>
    <w:r w:rsidR="00EC5555">
      <w:rPr>
        <w:noProof/>
      </w:rPr>
      <w:t>2</w:t>
    </w:r>
    <w:r w:rsidRPr="0069092D">
      <w:fldChar w:fldCharType="end"/>
    </w:r>
    <w:r w:rsidRPr="0069092D">
      <w:t>/</w:t>
    </w:r>
    <w:fldSimple w:instr=" NUMPAGES  \* MERGEFORMAT ">
      <w:r w:rsidR="00EC5555">
        <w:rPr>
          <w:noProof/>
        </w:rPr>
        <w:t>7</w:t>
      </w:r>
    </w:fldSimple>
    <w:r w:rsidRPr="0069092D">
      <w:tab/>
    </w:r>
    <w:r w:rsidRPr="0069092D">
      <w:rPr>
        <w:rStyle w:val="HideTWBExt"/>
      </w:rPr>
      <w:t>&lt;PathFdR&gt;</w:t>
    </w:r>
    <w:r w:rsidRPr="0069092D">
      <w:t>AD\1294536PL.docx</w:t>
    </w:r>
    <w:r w:rsidRPr="0069092D">
      <w:rPr>
        <w:rStyle w:val="HideTWBExt"/>
      </w:rPr>
      <w:t>&lt;/PathFdR&gt;</w:t>
    </w:r>
  </w:p>
  <w:p w:rsidR="002E2F2E" w:rsidRPr="0069092D" w:rsidRDefault="0069092D" w:rsidP="0069092D">
    <w:pPr>
      <w:pStyle w:val="EPFooter2"/>
    </w:pPr>
    <w:r w:rsidRPr="0069092D">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92D" w:rsidRPr="0069092D" w:rsidRDefault="0069092D" w:rsidP="0069092D">
    <w:pPr>
      <w:pStyle w:val="EPFooter"/>
    </w:pPr>
    <w:r w:rsidRPr="0069092D">
      <w:rPr>
        <w:rStyle w:val="HideTWBExt"/>
      </w:rPr>
      <w:t>&lt;PathFdR&gt;</w:t>
    </w:r>
    <w:r w:rsidRPr="0069092D">
      <w:t>AD\1294536PL.docx</w:t>
    </w:r>
    <w:r w:rsidRPr="0069092D">
      <w:rPr>
        <w:rStyle w:val="HideTWBExt"/>
      </w:rPr>
      <w:t>&lt;/PathFdR&gt;</w:t>
    </w:r>
    <w:r w:rsidRPr="0069092D">
      <w:tab/>
    </w:r>
    <w:r w:rsidRPr="0069092D">
      <w:fldChar w:fldCharType="begin"/>
    </w:r>
    <w:r w:rsidRPr="0069092D">
      <w:instrText xml:space="preserve"> PAGE  \* MERGEFORMAT </w:instrText>
    </w:r>
    <w:r w:rsidRPr="0069092D">
      <w:fldChar w:fldCharType="separate"/>
    </w:r>
    <w:r w:rsidR="00EC5555">
      <w:rPr>
        <w:noProof/>
      </w:rPr>
      <w:t>3</w:t>
    </w:r>
    <w:r w:rsidRPr="0069092D">
      <w:fldChar w:fldCharType="end"/>
    </w:r>
    <w:r w:rsidRPr="0069092D">
      <w:t>/</w:t>
    </w:r>
    <w:fldSimple w:instr=" NUMPAGES  \* MERGEFORMAT ">
      <w:r w:rsidR="00EC5555">
        <w:rPr>
          <w:noProof/>
        </w:rPr>
        <w:t>7</w:t>
      </w:r>
    </w:fldSimple>
    <w:r w:rsidRPr="0069092D">
      <w:tab/>
      <w:t>PE</w:t>
    </w:r>
    <w:r w:rsidRPr="0069092D">
      <w:rPr>
        <w:rStyle w:val="HideTWBExt"/>
      </w:rPr>
      <w:t>&lt;NoPE&gt;</w:t>
    </w:r>
    <w:r w:rsidRPr="0069092D">
      <w:t>756.201</w:t>
    </w:r>
    <w:r w:rsidRPr="0069092D">
      <w:rPr>
        <w:rStyle w:val="HideTWBExt"/>
      </w:rPr>
      <w:t>&lt;/NoPE&gt;&lt;Version&gt;</w:t>
    </w:r>
    <w:r w:rsidRPr="0069092D">
      <w:t>v02-00</w:t>
    </w:r>
    <w:r w:rsidRPr="0069092D">
      <w:rPr>
        <w:rStyle w:val="HideTWBExt"/>
      </w:rPr>
      <w:t>&lt;/Version&gt;</w:t>
    </w:r>
  </w:p>
  <w:p w:rsidR="002E2F2E" w:rsidRPr="0069092D" w:rsidRDefault="0069092D" w:rsidP="0069092D">
    <w:pPr>
      <w:pStyle w:val="EPFooter2"/>
    </w:pPr>
    <w:r w:rsidRPr="0069092D">
      <w:tab/>
    </w:r>
    <w:r w:rsidRPr="0069092D">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92D" w:rsidRPr="0069092D" w:rsidRDefault="0069092D" w:rsidP="0069092D">
    <w:pPr>
      <w:pStyle w:val="EPFooter"/>
    </w:pPr>
    <w:r w:rsidRPr="0069092D">
      <w:rPr>
        <w:rStyle w:val="HideTWBExt"/>
      </w:rPr>
      <w:t>&lt;PathFdR&gt;</w:t>
    </w:r>
    <w:r w:rsidRPr="0069092D">
      <w:t>AD\1294536PL.docx</w:t>
    </w:r>
    <w:r w:rsidRPr="0069092D">
      <w:rPr>
        <w:rStyle w:val="HideTWBExt"/>
      </w:rPr>
      <w:t>&lt;/PathFdR&gt;</w:t>
    </w:r>
    <w:r w:rsidRPr="0069092D">
      <w:tab/>
    </w:r>
    <w:r w:rsidRPr="0069092D">
      <w:tab/>
      <w:t>PE</w:t>
    </w:r>
    <w:r w:rsidRPr="0069092D">
      <w:rPr>
        <w:rStyle w:val="HideTWBExt"/>
      </w:rPr>
      <w:t>&lt;NoPE&gt;</w:t>
    </w:r>
    <w:r w:rsidRPr="0069092D">
      <w:t>756.201</w:t>
    </w:r>
    <w:r w:rsidRPr="0069092D">
      <w:rPr>
        <w:rStyle w:val="HideTWBExt"/>
      </w:rPr>
      <w:t>&lt;/NoPE&gt;&lt;Version&gt;</w:t>
    </w:r>
    <w:r w:rsidRPr="0069092D">
      <w:t>v02-00</w:t>
    </w:r>
    <w:r w:rsidRPr="0069092D">
      <w:rPr>
        <w:rStyle w:val="HideTWBExt"/>
      </w:rPr>
      <w:t>&lt;/Version&gt;</w:t>
    </w:r>
  </w:p>
  <w:p w:rsidR="002E2F2E" w:rsidRPr="0069092D" w:rsidRDefault="0069092D" w:rsidP="0069092D">
    <w:pPr>
      <w:pStyle w:val="EPFooter2"/>
    </w:pPr>
    <w:r w:rsidRPr="0069092D">
      <w:t>PL</w:t>
    </w:r>
    <w:r w:rsidRPr="0069092D">
      <w:tab/>
    </w:r>
    <w:r w:rsidRPr="0069092D">
      <w:rPr>
        <w:b w:val="0"/>
        <w:i/>
        <w:color w:val="C0C0C0"/>
        <w:sz w:val="22"/>
      </w:rPr>
      <w:t>Zjednoczona w różnorodności</w:t>
    </w:r>
    <w:r w:rsidRPr="0069092D">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8C4" w:rsidRPr="0069092D" w:rsidRDefault="002268C4">
      <w:r w:rsidRPr="0069092D">
        <w:separator/>
      </w:r>
    </w:p>
  </w:footnote>
  <w:footnote w:type="continuationSeparator" w:id="0">
    <w:p w:rsidR="002268C4" w:rsidRPr="0069092D" w:rsidRDefault="002268C4">
      <w:r w:rsidRPr="0069092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555" w:rsidRDefault="00EC55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555" w:rsidRDefault="00EC55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555" w:rsidRDefault="00EC55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LIBE"/>
    <w:docVar w:name="CONTRIBUTIONMNU" w:val=" 2"/>
    <w:docVar w:name="FONCTIONMNU" w:val=" 1"/>
    <w:docVar w:name="LastEditedSection" w:val=" 1"/>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776534 HideTWBInt;}{_x000d__x000a_\s18\ql \fi-567\li567\ri0\sa240\nowidctlpar\wrapdefault\aspalpha\aspnum\faauto\adjustright\rin0\lin567\itap0 \rtlch\fcs1 \af0\afs20\alang1025 \ltrch\fcs0 \fs24\lang2057\langfe2057\cgrid\langnp2057\langfenp2057 _x000d__x000a_\sbasedon0 \snext18 \spriority0 \styrsid13776534 NormalHanging12a;}}{\*\rsidtbl \rsid24658\rsid223860\rsid735077\rsid1718133\rsid2892074\rsid3565327\rsid4666813\rsid6641733\rsid7823322\rsid9636012\rsid10377208\rsid11215221\rsid11549030\rsid12154954_x000d__x000a_\rsid13776534\rsid13853890\rsid14382809\rsid14424199\rsid15204470\rsid15285974\rsid15950462\rsid16324206\rsid16662270}{\mmathPr\mmathFont34\mbrkBin0\mbrkBinSub0\msmallFrac0\mdispDef1\mlMargin0\mrMargin0\mdefJc1\mwrapIndent1440\mintLim0\mnaryLim1}{\info_x000d__x000a_{\author CUADRAT SEIX Iban}{\operator CUADRAT SEIX Iban}{\creatim\yr2024\mo1\dy22\hr11\min46}{\revtim\yr2024\mo1\dy22\hr11\min46}{\version1}{\edmins0}{\nofpages1}{\nofwords1}{\nofchars12}{\nofcharsws12}{\vern109}}{\*\xmlnstbl {\xmlns1 http://schemas.micro_x000d__x000a_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76534\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3853890 \chftnsep _x000d__x000a_\par }}{\*\ftnsepc \ltrpar \pard\plain \ltrpar\ql \li0\ri0\widctlpar\wrapdefault\aspalpha\aspnum\faauto\adjustright\rin0\lin0\itap0 \rtlch\fcs1 \af0\afs20\alang1025 \ltrch\fcs0 \fs24\lang2057\langfe2057\cgrid\langnp2057\langfenp2057 {\rtlch\fcs1 \af0 _x000d__x000a_\ltrch\fcs0 \insrsid13853890 \chftnsepc _x000d__x000a_\par }}{\*\aftnsep \ltrpar \pard\plain \ltrpar\ql \li0\ri0\widctlpar\wrapdefault\aspalpha\aspnum\faauto\adjustright\rin0\lin0\itap0 \rtlch\fcs1 \af0\afs20\alang1025 \ltrch\fcs0 \fs24\lang2057\langfe2057\cgrid\langnp2057\langfenp2057 {\rtlch\fcs1 \af0 _x000d__x000a_\ltrch\fcs0 \insrsid13853890 \chftnsep _x000d__x000a_\par }}{\*\aftnsepc \ltrpar \pard\plain \ltrpar\ql \li0\ri0\widctlpar\wrapdefault\aspalpha\aspnum\faauto\adjustright\rin0\lin0\itap0 \rtlch\fcs1 \af0\afs20\alang1025 \ltrch\fcs0 \fs24\lang2057\langfe2057\cgrid\langnp2057\langfenp2057 {\rtlch\fcs1 \af0 _x000d__x000a_\ltrch\fcs0 \insrsid138538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3776534 \rtlch\fcs1 \af0\afs20\alang1025 \ltrch\fcs0 \fs24\lang2057\langfe2057\cgrid\langnp2057\langfenp2057 {\rtlch\fcs1 \af0 _x000d__x000a_\ltrch\fcs0 \insrsid13776534\charrsid13044652 {\*\bkmkstart restart}#}{\rtlch\fcs1 \af1 \ltrch\fcs0 \cs17\v\f1\fs20\cf15\insrsid13776534\charrsid13044652 NRMSG}{\rtlch\fcs1 \af0 \ltrch\fcs0 \insrsid13776534\charrsid13044652 #.\tab ##}{\rtlch\fcs1 \af0 _x000d__x000a_\ltrch\fcs0 \insrsid13776534\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6b_x000d__x000a_934d20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27\deflangfe102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8405890 NormalHanging12a;}}{\*\rsidtbl \rsid24658\rsid223860\rsid735077\rsid1718133\rsid2892074\rsid3565327\rsid4666813\rsid6641733\rsid7823322\rsid8405890_x000d__x000a_\rsid9636012\rsid10377208\rsid11215221\rsid11549030\rsid12154954\rsid13841163\rsid14382809\rsid14424199\rsid15204470\rsid15285974\rsid15950462\rsid16324206\rsid16662270}{\mmathPr\mmathFont34\mbrkBin0\mbrkBinSub0\msmallFrac0\mdispDef1\mlMargin0\mrMargin0_x000d__x000a_\mdefJc1\mwrapIndent1440\mintLim0\mnaryLim1}{\info{\author CUADRAT SEIX Iban}{\operator CUADRAT SEIX Iban}{\creatim\yr2024\mo1\dy22\hr11\min46}{\revtim\yr2024\mo1\dy22\hr11\min46}{\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405890\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3841163 \chftnsep _x000d__x000a_\par }}{\*\ftnsepc \ltrpar \pard\plain \ltrpar\ql \li0\ri0\widctlpar\wrapdefault\aspalpha\aspnum\faauto\adjustright\rin0\lin0\itap0 \rtlch\fcs1 \af0\afs20\alang1025 \ltrch\fcs0 \fs24\lang2057\langfe2057\cgrid\langnp2057\langfenp2057 {\rtlch\fcs1 \af0 _x000d__x000a_\ltrch\fcs0 \insrsid13841163 \chftnsepc _x000d__x000a_\par }}{\*\aftnsep \ltrpar \pard\plain \ltrpar\ql \li0\ri0\widctlpar\wrapdefault\aspalpha\aspnum\faauto\adjustright\rin0\lin0\itap0 \rtlch\fcs1 \af0\afs20\alang1025 \ltrch\fcs0 \fs24\lang2057\langfe2057\cgrid\langnp2057\langfenp2057 {\rtlch\fcs1 \af0 _x000d__x000a_\ltrch\fcs0 \insrsid13841163 \chftnsep _x000d__x000a_\par }}{\*\aftnsepc \ltrpar \pard\plain \ltrpar\ql \li0\ri0\widctlpar\wrapdefault\aspalpha\aspnum\faauto\adjustright\rin0\lin0\itap0 \rtlch\fcs1 \af0\afs20\alang1025 \ltrch\fcs0 \fs24\lang2057\langfe2057\cgrid\langnp2057\langfenp2057 {\rtlch\fcs1 \af0 _x000d__x000a_\ltrch\fcs0 \insrsid138411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8405890 \rtlch\fcs1 \af0\afs20\alang1025 \ltrch\fcs0 \fs24\lang2057\langfe2057\cgrid\langnp2057\langfenp2057 {\rtlch\fcs1 \af0 _x000d__x000a_\ltrch\fcs0 \insrsid8405890\charrsid1525456 {\*\bkmkstart restart}[ZSUGGESTIONNR]\tab [ZSUGGESTIONTEXT]}{\rtlch\fcs1 \af0 \ltrch\fcs0 \insrsid840589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5a_x000d__x000a_7c5020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EN"/>
    <w:docVar w:name="TXTLANGUEMIN" w:val="en"/>
    <w:docVar w:name="TXTNRPE" w:val="756.201"/>
    <w:docVar w:name="TXTNRPROC" w:val="2023/2171"/>
    <w:docVar w:name="TXTPEorAP" w:val="PE"/>
    <w:docVar w:name="TXTROUTE" w:val="AD\1294536EN.docx"/>
    <w:docVar w:name="TXTTITLE" w:val="of the European Union Agency for Fundamental Rights for the financial year 2022"/>
    <w:docVar w:name="TXTVERSION" w:val="02-00"/>
  </w:docVars>
  <w:rsids>
    <w:rsidRoot w:val="002268C4"/>
    <w:rsid w:val="0006413A"/>
    <w:rsid w:val="000E7EBF"/>
    <w:rsid w:val="00124F60"/>
    <w:rsid w:val="00135121"/>
    <w:rsid w:val="00140BE6"/>
    <w:rsid w:val="00147F4E"/>
    <w:rsid w:val="0016635E"/>
    <w:rsid w:val="001746D0"/>
    <w:rsid w:val="001B7393"/>
    <w:rsid w:val="001D2ED9"/>
    <w:rsid w:val="001F21C1"/>
    <w:rsid w:val="001F5B6C"/>
    <w:rsid w:val="002268C4"/>
    <w:rsid w:val="002D28A7"/>
    <w:rsid w:val="002E2F2E"/>
    <w:rsid w:val="002E6F98"/>
    <w:rsid w:val="00315071"/>
    <w:rsid w:val="00325BCB"/>
    <w:rsid w:val="00331944"/>
    <w:rsid w:val="00332AD9"/>
    <w:rsid w:val="00347D2C"/>
    <w:rsid w:val="0037356F"/>
    <w:rsid w:val="00390EB2"/>
    <w:rsid w:val="00396A0E"/>
    <w:rsid w:val="003E0794"/>
    <w:rsid w:val="003E2402"/>
    <w:rsid w:val="00464903"/>
    <w:rsid w:val="004C28FB"/>
    <w:rsid w:val="004C44C0"/>
    <w:rsid w:val="0052544E"/>
    <w:rsid w:val="00563442"/>
    <w:rsid w:val="005806B0"/>
    <w:rsid w:val="005940C3"/>
    <w:rsid w:val="00594C48"/>
    <w:rsid w:val="005B2F11"/>
    <w:rsid w:val="005C0BDF"/>
    <w:rsid w:val="005D60C6"/>
    <w:rsid w:val="006102E7"/>
    <w:rsid w:val="006351F4"/>
    <w:rsid w:val="00640C1B"/>
    <w:rsid w:val="00657AFB"/>
    <w:rsid w:val="0069092D"/>
    <w:rsid w:val="006D5BF7"/>
    <w:rsid w:val="007778D8"/>
    <w:rsid w:val="007B2458"/>
    <w:rsid w:val="008313E7"/>
    <w:rsid w:val="00854CAC"/>
    <w:rsid w:val="008A32C5"/>
    <w:rsid w:val="008C6203"/>
    <w:rsid w:val="008D61E7"/>
    <w:rsid w:val="008F7002"/>
    <w:rsid w:val="00906E76"/>
    <w:rsid w:val="0099493F"/>
    <w:rsid w:val="009A7CBC"/>
    <w:rsid w:val="00A16BEA"/>
    <w:rsid w:val="00A312B3"/>
    <w:rsid w:val="00A72C35"/>
    <w:rsid w:val="00A93367"/>
    <w:rsid w:val="00AE180F"/>
    <w:rsid w:val="00B362F7"/>
    <w:rsid w:val="00B5456B"/>
    <w:rsid w:val="00B74B53"/>
    <w:rsid w:val="00BC26E4"/>
    <w:rsid w:val="00BD0815"/>
    <w:rsid w:val="00BD1EAA"/>
    <w:rsid w:val="00C52739"/>
    <w:rsid w:val="00C827FF"/>
    <w:rsid w:val="00C853FB"/>
    <w:rsid w:val="00CD34AC"/>
    <w:rsid w:val="00CE64B3"/>
    <w:rsid w:val="00DB0E0D"/>
    <w:rsid w:val="00DE19FF"/>
    <w:rsid w:val="00E3133B"/>
    <w:rsid w:val="00E81BA6"/>
    <w:rsid w:val="00E856D2"/>
    <w:rsid w:val="00E929A7"/>
    <w:rsid w:val="00EC5555"/>
    <w:rsid w:val="00F3429D"/>
    <w:rsid w:val="00F45765"/>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chartTrackingRefBased/>
  <w15:docId w15:val="{D98B5619-2623-4A88-B4C3-55538C7CE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character" w:styleId="FootnoteReference">
    <w:name w:val="footnote reference"/>
    <w:basedOn w:val="DefaultParagraphFont"/>
    <w:uiPriority w:val="99"/>
    <w:unhideWhenUsed/>
    <w:rsid w:val="00C853FB"/>
    <w:rPr>
      <w:vertAlign w:val="superscript"/>
    </w:rPr>
  </w:style>
  <w:style w:type="paragraph" w:styleId="Footer">
    <w:name w:val="footer"/>
    <w:basedOn w:val="Normal"/>
    <w:link w:val="FooterChar"/>
    <w:semiHidden/>
    <w:rsid w:val="00C853FB"/>
    <w:pPr>
      <w:tabs>
        <w:tab w:val="center" w:pos="4513"/>
        <w:tab w:val="right" w:pos="9026"/>
      </w:tabs>
    </w:pPr>
  </w:style>
  <w:style w:type="character" w:customStyle="1" w:styleId="FooterChar">
    <w:name w:val="Footer Char"/>
    <w:basedOn w:val="DefaultParagraphFont"/>
    <w:link w:val="Footer"/>
    <w:semiHidden/>
    <w:rsid w:val="00C853FB"/>
    <w:rPr>
      <w:sz w:val="24"/>
    </w:rPr>
  </w:style>
  <w:style w:type="paragraph" w:styleId="BalloonText">
    <w:name w:val="Balloon Text"/>
    <w:basedOn w:val="Normal"/>
    <w:link w:val="BalloonTextChar"/>
    <w:semiHidden/>
    <w:unhideWhenUsed/>
    <w:rsid w:val="001F5B6C"/>
    <w:rPr>
      <w:rFonts w:ascii="Segoe UI" w:hAnsi="Segoe UI" w:cs="Segoe UI"/>
      <w:sz w:val="18"/>
      <w:szCs w:val="18"/>
    </w:rPr>
  </w:style>
  <w:style w:type="character" w:customStyle="1" w:styleId="BalloonTextChar">
    <w:name w:val="Balloon Text Char"/>
    <w:basedOn w:val="DefaultParagraphFont"/>
    <w:link w:val="BalloonText"/>
    <w:semiHidden/>
    <w:rsid w:val="001F5B6C"/>
    <w:rPr>
      <w:rFonts w:ascii="Segoe UI" w:hAnsi="Segoe UI" w:cs="Segoe UI"/>
      <w:sz w:val="18"/>
      <w:szCs w:val="18"/>
    </w:rPr>
  </w:style>
  <w:style w:type="paragraph" w:customStyle="1" w:styleId="RollCallSymbols14pt">
    <w:name w:val="RollCallSymbols14pt"/>
    <w:basedOn w:val="Normal"/>
    <w:rsid w:val="00E3133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3133B"/>
    <w:pPr>
      <w:tabs>
        <w:tab w:val="center" w:pos="284"/>
        <w:tab w:val="left" w:pos="426"/>
      </w:tabs>
    </w:pPr>
    <w:rPr>
      <w:snapToGrid w:val="0"/>
      <w:lang w:eastAsia="en-US"/>
    </w:rPr>
  </w:style>
  <w:style w:type="paragraph" w:customStyle="1" w:styleId="RollCallVotes">
    <w:name w:val="RollCallVotes"/>
    <w:basedOn w:val="Normal"/>
    <w:rsid w:val="00E3133B"/>
    <w:pPr>
      <w:spacing w:before="120" w:after="120"/>
      <w:jc w:val="center"/>
    </w:pPr>
    <w:rPr>
      <w:b/>
      <w:bCs/>
      <w:snapToGrid w:val="0"/>
      <w:sz w:val="16"/>
      <w:lang w:eastAsia="en-US"/>
    </w:rPr>
  </w:style>
  <w:style w:type="paragraph" w:customStyle="1" w:styleId="RollCallTable">
    <w:name w:val="RollCallTable"/>
    <w:basedOn w:val="Normal"/>
    <w:rsid w:val="00E3133B"/>
    <w:pPr>
      <w:spacing w:before="120" w:after="120"/>
    </w:pPr>
    <w:rPr>
      <w:snapToGrid w:val="0"/>
      <w:sz w:val="16"/>
      <w:lang w:eastAsia="en-US"/>
    </w:rPr>
  </w:style>
  <w:style w:type="paragraph" w:customStyle="1" w:styleId="Normal24a">
    <w:name w:val="Normal24a"/>
    <w:basedOn w:val="Normal"/>
    <w:rsid w:val="00F45765"/>
    <w:pPr>
      <w:spacing w:after="480"/>
    </w:pPr>
  </w:style>
  <w:style w:type="paragraph" w:customStyle="1" w:styleId="NormalBoldCenter">
    <w:name w:val="NormalBoldCenter"/>
    <w:basedOn w:val="Normal"/>
    <w:rsid w:val="00F45765"/>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7408318">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1114</Words>
  <Characters>7490</Characters>
  <Application>Microsoft Office Word</Application>
  <DocSecurity>0</DocSecurity>
  <Lines>180</Lines>
  <Paragraphs>66</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2024-02-07T09:19:00Z</dcterms:created>
  <dcterms:modified xsi:type="dcterms:W3CDTF">2024-02-07T09:19:00Z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Created with">
    <vt:lpwstr>9.16.1 Build [20230920]</vt:lpwstr>
  </property>
  <property fmtid="{D5CDD505-2E9C-101B-9397-08002B2CF9AE}" pid="4" name="LastEdited with">
    <vt:lpwstr>9.17.1 Build [20240101]</vt:lpwstr>
  </property>
  <property fmtid="{D5CDD505-2E9C-101B-9397-08002B2CF9AE}" pid="5" name="&lt;FdR&gt;">
    <vt:lpwstr>1294536</vt:lpwstr>
  </property>
  <property fmtid="{D5CDD505-2E9C-101B-9397-08002B2CF9AE}" pid="6" name="&lt;Type&gt;">
    <vt:lpwstr>AD</vt:lpwstr>
  </property>
  <property fmtid="{D5CDD505-2E9C-101B-9397-08002B2CF9AE}" pid="7" name="&lt;ModelCod&gt;">
    <vt:lpwstr>\\eiciBRUpr1\pdocep$\DocEP\DOCS\General\PA\PA_NonLeg\PA_NonLeg.dotx(18/09/2023 10:25:02)</vt:lpwstr>
  </property>
  <property fmtid="{D5CDD505-2E9C-101B-9397-08002B2CF9AE}" pid="8" name="&lt;ModelTra&gt;">
    <vt:lpwstr>\\eiciBRUpr1\pdocep$\DocEP\TRANSFIL\EN\PA_NonLeg.EN(18/09/2023 10:08:01)</vt:lpwstr>
  </property>
  <property fmtid="{D5CDD505-2E9C-101B-9397-08002B2CF9AE}" pid="9" name="&lt;Model&gt;">
    <vt:lpwstr>PA_NonLeg</vt:lpwstr>
  </property>
  <property fmtid="{D5CDD505-2E9C-101B-9397-08002B2CF9AE}" pid="10" name="FooterPath">
    <vt:lpwstr>AD\1294536PL.docx</vt:lpwstr>
  </property>
  <property fmtid="{D5CDD505-2E9C-101B-9397-08002B2CF9AE}" pid="11" name="PE number">
    <vt:lpwstr>756.201</vt:lpwstr>
  </property>
  <property fmtid="{D5CDD505-2E9C-101B-9397-08002B2CF9AE}" pid="12" name="SendToEpades">
    <vt:lpwstr>OK - 2024/01/25 17:50</vt:lpwstr>
  </property>
  <property fmtid="{D5CDD505-2E9C-101B-9397-08002B2CF9AE}" pid="13" name="SDLStudio">
    <vt:lpwstr/>
  </property>
  <property fmtid="{D5CDD505-2E9C-101B-9397-08002B2CF9AE}" pid="14" name="Bookout">
    <vt:lpwstr>OK - 2024/02/07 10:18</vt:lpwstr>
  </property>
</Properties>
</file>