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B59B1" w:rsidTr="00C85D0F">
        <w:trPr>
          <w:trHeight w:hRule="exact" w:val="1418"/>
        </w:trPr>
        <w:tc>
          <w:tcPr>
            <w:tcW w:w="6804" w:type="dxa"/>
            <w:shd w:val="clear" w:color="auto" w:fill="auto"/>
            <w:vAlign w:val="center"/>
          </w:tcPr>
          <w:p w:rsidR="00854CAC" w:rsidRPr="001C3092" w:rsidRDefault="00517BD2" w:rsidP="00C85D0F">
            <w:pPr>
              <w:pStyle w:val="EPName"/>
            </w:pPr>
            <w:r>
              <w:t>Evropský parlament</w:t>
            </w:r>
          </w:p>
          <w:p w:rsidR="00854CAC" w:rsidRPr="002671D5" w:rsidRDefault="00517BD2" w:rsidP="002671D5">
            <w:pPr>
              <w:pStyle w:val="EPTerm"/>
            </w:pPr>
            <w:r>
              <w:t>2019-2024</w:t>
            </w:r>
          </w:p>
        </w:tc>
        <w:tc>
          <w:tcPr>
            <w:tcW w:w="2268" w:type="dxa"/>
            <w:shd w:val="clear" w:color="auto" w:fill="auto"/>
          </w:tcPr>
          <w:p w:rsidR="00854CAC" w:rsidRPr="001C3092" w:rsidRDefault="00517BD2" w:rsidP="00C85D0F">
            <w:pPr>
              <w:pStyle w:val="EPLogo"/>
            </w:pPr>
            <w:r w:rsidRPr="001C30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1C3092" w:rsidRDefault="001746D0" w:rsidP="001746D0">
      <w:pPr>
        <w:pStyle w:val="LineTop"/>
      </w:pPr>
    </w:p>
    <w:p w:rsidR="001746D0" w:rsidRPr="001C3092" w:rsidRDefault="00517BD2" w:rsidP="001746D0">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 a vnitřní věci</w:t>
      </w:r>
      <w:r>
        <w:rPr>
          <w:rStyle w:val="HideTWBExt"/>
        </w:rPr>
        <w:t>&lt;/</w:t>
      </w:r>
      <w:r>
        <w:rPr>
          <w:rStyle w:val="HideTWBExt"/>
          <w:i w:val="0"/>
        </w:rPr>
        <w:t>Commission</w:t>
      </w:r>
      <w:r>
        <w:rPr>
          <w:rStyle w:val="HideTWBExt"/>
        </w:rPr>
        <w:t>&gt;</w:t>
      </w:r>
    </w:p>
    <w:p w:rsidR="001746D0" w:rsidRPr="001C3092" w:rsidRDefault="001746D0" w:rsidP="001746D0">
      <w:pPr>
        <w:pStyle w:val="LineBottom"/>
      </w:pPr>
    </w:p>
    <w:p w:rsidR="002E2F2E" w:rsidRPr="001C3092" w:rsidRDefault="00517BD2">
      <w:pPr>
        <w:pStyle w:val="CoverReference"/>
      </w:pPr>
      <w:r>
        <w:rPr>
          <w:rStyle w:val="HideTWBExt"/>
          <w:b w:val="0"/>
        </w:rPr>
        <w:t>&lt;RefProc&gt;</w:t>
      </w:r>
      <w:r>
        <w:t>2023/2172</w:t>
      </w:r>
      <w:r>
        <w:rPr>
          <w:rStyle w:val="HideTWBExt"/>
          <w:b w:val="0"/>
        </w:rPr>
        <w:t>&lt;/RefProc&gt;&lt;RefTypeProc&gt;</w:t>
      </w:r>
      <w:r>
        <w:t>(DEC)</w:t>
      </w:r>
      <w:r>
        <w:rPr>
          <w:rStyle w:val="HideTWBExt"/>
          <w:b w:val="0"/>
        </w:rPr>
        <w:t>&lt;/RefTypeProc&gt;</w:t>
      </w:r>
    </w:p>
    <w:p w:rsidR="002E2F2E" w:rsidRPr="001C3092" w:rsidRDefault="00517BD2">
      <w:pPr>
        <w:pStyle w:val="CoverDate"/>
      </w:pPr>
      <w:r>
        <w:rPr>
          <w:rStyle w:val="HideTWBExt"/>
        </w:rPr>
        <w:t>&lt;Date&gt;</w:t>
      </w:r>
      <w:r>
        <w:rPr>
          <w:rStyle w:val="HideTWBInt"/>
          <w:color w:val="auto"/>
        </w:rPr>
        <w:t>{24/01/2024}</w:t>
      </w:r>
      <w:r>
        <w:t>24.1.2024</w:t>
      </w:r>
      <w:r>
        <w:rPr>
          <w:rStyle w:val="HideTWBExt"/>
        </w:rPr>
        <w:t>&lt;/Date&gt;</w:t>
      </w:r>
    </w:p>
    <w:p w:rsidR="002E2F2E" w:rsidRPr="001C3092" w:rsidRDefault="00517BD2">
      <w:pPr>
        <w:pStyle w:val="CoverDocType24a"/>
      </w:pPr>
      <w:r>
        <w:rPr>
          <w:rStyle w:val="HideTWBExt"/>
          <w:b w:val="0"/>
        </w:rPr>
        <w:t>&lt;TitreType&gt;</w:t>
      </w:r>
      <w:r>
        <w:t>STANOVISKO</w:t>
      </w:r>
      <w:r>
        <w:rPr>
          <w:rStyle w:val="HideTWBExt"/>
          <w:b w:val="0"/>
        </w:rPr>
        <w:t>&lt;/TitreType&gt;</w:t>
      </w:r>
    </w:p>
    <w:p w:rsidR="002E2F2E" w:rsidRPr="001C3092" w:rsidRDefault="00517BD2">
      <w:pPr>
        <w:pStyle w:val="CoverNormal24a"/>
      </w:pPr>
      <w:r>
        <w:rPr>
          <w:rStyle w:val="HideTWBExt"/>
        </w:rPr>
        <w:t>&lt;CommissionResp&gt;</w:t>
      </w:r>
      <w:r>
        <w:t>Výboru pro občanské svobody, spravedlnost a vnitřní věci</w:t>
      </w:r>
      <w:r>
        <w:rPr>
          <w:rStyle w:val="HideTWBExt"/>
        </w:rPr>
        <w:t>&lt;/CommissionResp&gt;</w:t>
      </w:r>
    </w:p>
    <w:p w:rsidR="002E2F2E" w:rsidRPr="001C3092" w:rsidRDefault="00517BD2">
      <w:pPr>
        <w:pStyle w:val="CoverNormal24a"/>
      </w:pPr>
      <w:r>
        <w:rPr>
          <w:rStyle w:val="HideTWBExt"/>
        </w:rPr>
        <w:t>&lt;CommissionInt&gt;</w:t>
      </w:r>
      <w:r>
        <w:t>pro Výbor pro rozpočtovou kontrolu</w:t>
      </w:r>
      <w:r>
        <w:rPr>
          <w:rStyle w:val="HideTWBExt"/>
        </w:rPr>
        <w:t>&lt;/CommissionInt&gt;</w:t>
      </w:r>
    </w:p>
    <w:p w:rsidR="002E2F2E" w:rsidRPr="001C3092" w:rsidRDefault="00517BD2">
      <w:pPr>
        <w:pStyle w:val="CoverNormal"/>
      </w:pPr>
      <w:r>
        <w:rPr>
          <w:rStyle w:val="HideTWBExt"/>
        </w:rPr>
        <w:t>&lt;Titre&gt;</w:t>
      </w:r>
      <w:r>
        <w:t>o udělení absolutoria za plnění rozpočtu Evropské agentury pro pohraniční a pobřežní stráž na rozpočtový rok 2022</w:t>
      </w:r>
      <w:r>
        <w:rPr>
          <w:rStyle w:val="HideTWBExt"/>
        </w:rPr>
        <w:t>&lt;/Titre&gt;</w:t>
      </w:r>
    </w:p>
    <w:p w:rsidR="002E2F2E" w:rsidRPr="001C3092" w:rsidRDefault="00517BD2">
      <w:pPr>
        <w:pStyle w:val="CoverNormal24a"/>
      </w:pPr>
      <w:r>
        <w:rPr>
          <w:rStyle w:val="HideTWBExt"/>
        </w:rPr>
        <w:t>&lt;DocRef&gt;</w:t>
      </w:r>
      <w:r>
        <w:t>(2023/2172(DEC))</w:t>
      </w:r>
      <w:r>
        <w:rPr>
          <w:rStyle w:val="HideTWBExt"/>
        </w:rPr>
        <w:t>&lt;/DocRef&gt;</w:t>
      </w:r>
    </w:p>
    <w:p w:rsidR="002E2F2E" w:rsidRPr="001C3092" w:rsidRDefault="00517BD2">
      <w:pPr>
        <w:pStyle w:val="CoverNormal24a"/>
      </w:pPr>
      <w:r>
        <w:t xml:space="preserve">Zpravodaj: </w:t>
      </w:r>
      <w:r>
        <w:rPr>
          <w:rStyle w:val="HideTWBExt"/>
        </w:rPr>
        <w:t>&lt;Depute&gt;</w:t>
      </w:r>
      <w:r>
        <w:t>Tomáš Zdechovský</w:t>
      </w:r>
      <w:r>
        <w:rPr>
          <w:rStyle w:val="HideTWBExt"/>
        </w:rPr>
        <w:t>&lt;/Depute&gt;</w:t>
      </w:r>
    </w:p>
    <w:p w:rsidR="00A72C35" w:rsidRPr="001C3092" w:rsidRDefault="00A72C35" w:rsidP="00A72C35">
      <w:pPr>
        <w:pStyle w:val="CoverNormal"/>
      </w:pPr>
    </w:p>
    <w:p w:rsidR="002E2F2E" w:rsidRPr="001C3092" w:rsidRDefault="00517BD2" w:rsidP="00E856D2">
      <w:pPr>
        <w:widowControl/>
        <w:tabs>
          <w:tab w:val="center" w:pos="4677"/>
        </w:tabs>
      </w:pPr>
      <w:r>
        <w:br w:type="page"/>
      </w:r>
      <w:r>
        <w:lastRenderedPageBreak/>
        <w:t>PA_NonLeg</w:t>
      </w:r>
    </w:p>
    <w:p w:rsidR="002E2F2E" w:rsidRPr="001C3092" w:rsidRDefault="00517BD2">
      <w:pPr>
        <w:pStyle w:val="PageHeadingNotTOC"/>
      </w:pPr>
      <w:r>
        <w:br w:type="page"/>
      </w:r>
      <w:r>
        <w:lastRenderedPageBreak/>
        <w:t>NÁVRHY</w:t>
      </w:r>
    </w:p>
    <w:p w:rsidR="002671D5" w:rsidRPr="00655BD0" w:rsidRDefault="00517BD2" w:rsidP="002671D5">
      <w:pPr>
        <w:pStyle w:val="Normal12a"/>
      </w:pPr>
      <w:r>
        <w:t xml:space="preserve"> Výbor pro občanské svobody, spravedlnost a vnitřní věci vyzývá Výbor pro rozpočtovou kontrolu jako příslušný výbor, aby do návrhu usnesení, který přijme, začlenil tyto návrhy:</w:t>
      </w:r>
    </w:p>
    <w:p w:rsidR="00253BD1" w:rsidRPr="00AB28DA" w:rsidRDefault="00517BD2" w:rsidP="00253BD1">
      <w:pPr>
        <w:pStyle w:val="NormalHanging12a"/>
        <w:rPr>
          <w:szCs w:val="24"/>
        </w:rPr>
      </w:pPr>
      <w:r>
        <w:t>1.</w:t>
      </w:r>
      <w:r>
        <w:tab/>
        <w:t xml:space="preserve">vítá skutečnost, že Účetní dvůr prohlásil, že transakce, na nichž se zakládá roční účetní závěrka Evropské agentury pro pohraniční a pobřežní stráž (dále jen Frontex nebo agentura) za rozpočtový rok 2022, jsou ve všech významných ohledech legální a správné; </w:t>
      </w:r>
    </w:p>
    <w:p w:rsidR="00253BD1" w:rsidRPr="00AB28DA" w:rsidRDefault="00517BD2" w:rsidP="00253BD1">
      <w:pPr>
        <w:pStyle w:val="NormalHanging12a"/>
        <w:rPr>
          <w:szCs w:val="24"/>
        </w:rPr>
      </w:pPr>
      <w:r>
        <w:t>2.</w:t>
      </w:r>
      <w:r>
        <w:tab/>
        <w:t>připomíná svá předchozí usnesení o udělení absolutoria, v nichž byly identifikovány nedostatky týkající se rámce základních práv, transparentnosti, ochrany údajů a kultury řízení, které vedly Parlament k tomu, že odmítl udělit agentuře absolutorium za plnění rozpočtu agentury za rok 2020; vítá spolupráci s orgánem udělujícím absolutorium; bere na vědomí pokrok, jehož dosáhlo prozatímní a nové vedení v návaznosti na doporučení s cílem zajistit kontinuitu činnosti agentury Frontex, dohled a odpovědnost; vyzývá nové vedení, aby se i nadále intenzivně zasazovalo o důkladnou reformu organizační kultury agentury a pravidelně podávalo orgánu příslušnému k udělení absolutoria zprávy o pokroku v této oblasti;</w:t>
      </w:r>
    </w:p>
    <w:p w:rsidR="00253BD1" w:rsidRPr="00AB28DA" w:rsidRDefault="00517BD2" w:rsidP="00253BD1">
      <w:pPr>
        <w:pStyle w:val="NormalHanging12a"/>
        <w:rPr>
          <w:szCs w:val="24"/>
        </w:rPr>
      </w:pPr>
      <w:r>
        <w:t>3.</w:t>
      </w:r>
      <w:r>
        <w:tab/>
        <w:t>zdůrazňuje potřebu silné, účinné a dobře fungující agentury Frontex, která je schopná pomáhat členským státům při efektivní správě společných vnějších hranic Evropské unie a při zabezpečování integrované správy hranic v plném souladu se základními právy;</w:t>
      </w:r>
    </w:p>
    <w:p w:rsidR="00253BD1" w:rsidRPr="00AB28DA" w:rsidRDefault="00517BD2" w:rsidP="00253BD1">
      <w:pPr>
        <w:pStyle w:val="NormalHanging12a"/>
        <w:rPr>
          <w:szCs w:val="24"/>
        </w:rPr>
      </w:pPr>
      <w:r>
        <w:t>4.</w:t>
      </w:r>
      <w:r>
        <w:tab/>
        <w:t>bere na vědomí rychlou reakci a podporu, kterou agentura Frontex poskytuje členským státům v souvislosti s řešením důsledků ruské invaze na Ukrajinu; vítá nasazení přibližně 500 příslušníků stálého útvaru, kteří působí podél východní hranice od Finska po Rumunsko, včetně více než 350 příslušníků na hranicích EU s Ukrajinou; uznává, že centrální Středomoří zůstává hlavní migrační trasou do EU; konstatuje, že EU a členské státy musejí vyčlenit dost</w:t>
      </w:r>
      <w:r w:rsidR="00C558AB">
        <w:t>at</w:t>
      </w:r>
      <w:r>
        <w:t>ečné zdroje a postupy, aby přispěly k záchraně životů, a to i v souladu s úmluvou o pátrání a záchraně na moři a zároveň aby nedoc</w:t>
      </w:r>
      <w:r w:rsidR="00C558AB">
        <w:t>h</w:t>
      </w:r>
      <w:r>
        <w:t>ázelo k vyloďování migrantů v nebezpečných přístavech;</w:t>
      </w:r>
    </w:p>
    <w:p w:rsidR="00253BD1" w:rsidRPr="00AB28DA" w:rsidRDefault="00517BD2" w:rsidP="00253BD1">
      <w:pPr>
        <w:pStyle w:val="NormalHanging12a"/>
        <w:rPr>
          <w:szCs w:val="24"/>
        </w:rPr>
      </w:pPr>
      <w:r>
        <w:t>5.</w:t>
      </w:r>
      <w:r>
        <w:tab/>
        <w:t xml:space="preserve">konstatuje, že v roce 2022 agentura Frontex podpořila členské státy nasazením více než 617 tisíc pracovních dnů příslušníků stálého útvaru, více než 111 tisíc dnů příslušníků námořních, leteckých a pozemních prostředků ve 20 operacích, včetně nových 102 operačních míst; dále bere na vědomí zvýšení podpory, která byla poskytnuta členským státům agenturou Frontex pro účinné navrácení 24 868 osob, které nelegálně vstoupily na území těchto států; vítá vyslání zaměstnanců agentury Frontex do Moldavské republiky a jejich pomoc v návaznosti na podpis dohody mezi EU a Moldavskem o spolupráci v oblasti správy hranic; </w:t>
      </w:r>
    </w:p>
    <w:p w:rsidR="00253BD1" w:rsidRPr="00AB28DA" w:rsidRDefault="00517BD2" w:rsidP="00253BD1">
      <w:pPr>
        <w:pStyle w:val="NormalHanging12a"/>
        <w:rPr>
          <w:szCs w:val="24"/>
        </w:rPr>
      </w:pPr>
      <w:r>
        <w:t>6.</w:t>
      </w:r>
      <w:r>
        <w:tab/>
        <w:t xml:space="preserve">zdůrazňuje, že Frontex je největší agenturou EU, jejíž rozpočet se v posledních letech zvyšoval zdaleka nejvýrazněji, v souladu s jejími novými povinnostmi; připomíná, že EU v roce 2023 přispěla částkou 788 milionů EUR oproti 704 milionům EUR v roce 2022; připomíná, že agentura Frontex byla v roce 2019, kdy jí byl svěřen nový mandát, posílena o personál a technické vybavení; konstatuje, že s ohledem na složitou </w:t>
      </w:r>
      <w:r>
        <w:lastRenderedPageBreak/>
        <w:t>geopolitickou situaci, na kterou poukázala nevyprovokovaná ruská agrese na Ukrajině, výrazně vzrostl význam agentury Frontex v souvislosti s podporou členských států a že je třeba vynakládat další úsilí, pokud jde o lidské a materiální zdroje; zdůrazňuje, že toto rozšíření odpovědnosti a navýšení rozpočtu agentury musí doprovázet odpovídající opatření, která zajistí odpovědnost, transparentnost a kontrolu dodržování práva Unie ze strany agentury;</w:t>
      </w:r>
    </w:p>
    <w:p w:rsidR="00253BD1" w:rsidRPr="00AB28DA" w:rsidRDefault="00517BD2" w:rsidP="00253BD1">
      <w:pPr>
        <w:pStyle w:val="NormalHanging12a"/>
        <w:rPr>
          <w:szCs w:val="24"/>
        </w:rPr>
      </w:pPr>
      <w:r>
        <w:t>7.</w:t>
      </w:r>
      <w:r>
        <w:tab/>
        <w:t xml:space="preserve">vítá skutečnost, že agentura Frontex plnila svůj rozpočet na rok 2022 na 99,4 %, což prokazuje účinnost a účelnost zavedených vnitřních kontrol a významné zlepšení v rozpočtovém řízení; vítá, že byla přijata opatření a bylo dosaženo pokroku při řešení některých připomínek; konstatuje však, že řada připomínek Účetního dvora z předchozích let nebyla dosud </w:t>
      </w:r>
      <w:r w:rsidRPr="00C558AB">
        <w:t>uzavřena, a to i pokud jde o vysokou míru přenosů a zrušení prostředků, jakož i zpoždění a rušení</w:t>
      </w:r>
      <w:r>
        <w:t xml:space="preserve"> v platebním procesu; bere na vědomí dvě připomínky týkající se zadávání veřejných zakázek, které by měly být řešeny, aby se zabránilo případům nesrovnalostí při provádění veřejných zakázek, zpoždění plateb agentury Frontex a nedostatek zmírňujících opatření k řešení možného střetu zájmů při náboru zaměstnanců; připomíná, že nedostatky mohou agenturu Frontex vystavit riziku poškození dobré pověsti a právním rizikům;</w:t>
      </w:r>
    </w:p>
    <w:p w:rsidR="00253BD1" w:rsidRPr="00AB28DA" w:rsidRDefault="00517BD2" w:rsidP="00253BD1">
      <w:pPr>
        <w:pStyle w:val="NormalHanging12a"/>
        <w:rPr>
          <w:szCs w:val="24"/>
        </w:rPr>
      </w:pPr>
      <w:r>
        <w:t>8.</w:t>
      </w:r>
      <w:r>
        <w:tab/>
        <w:t>vítá, že v průběhu posledních dvou let došlo v agentuře k významným změnám ve vedení, např. jmenování nového úředníka pro otázky základních práv, nového předsedy správní rady, dvou nových zástupců výkonného ředitele a jmenování nového výkonného ředitele; bere na vědomí, že ve spolupráci s vnitrostátními orgány byly vypracovány akční plány, které by napravily chyby z minulosti i současnosti; dále vítá kroky, které agentura Frontex podnikla s cílem provést proces transformace a zlepšit kulturu řízení a podpořit dobré pracovní podmínky zaměstnanců; vyzývá nové vedení, aby provedlo reformy, které jsou zapotřebí zejména v oblasti základních práv, transparentnosti a účinnosti vnitřních postupů, a aby zvýšilo odpovědnost vůči Parlamentu a Radě v souladu s platným právním rámcem;</w:t>
      </w:r>
    </w:p>
    <w:p w:rsidR="00253BD1" w:rsidRPr="00AB28DA" w:rsidRDefault="00517BD2" w:rsidP="00253BD1">
      <w:pPr>
        <w:pStyle w:val="NormalHanging12a"/>
        <w:rPr>
          <w:szCs w:val="24"/>
        </w:rPr>
      </w:pPr>
      <w:r>
        <w:t>9.</w:t>
      </w:r>
      <w:r>
        <w:tab/>
        <w:t>vítá posílení úřadu pro základní práva, vytvoření sítě kontaktních míst pro základní práva ve všech útvarech agentury s cílem rozvíjet odborné znalosti v oblasti základních práv ve všech oblastech činnosti, jakož i akční plán pro základní práva; připomíná, že z 87 činností stanovených v akčním plánu pro začleňování základních práv do všech činností agentury bylo osm plně provedeno; 56 bylo zahájeno a probíhá (systematicky a průběžně); 17 bylo provedeno částečně; a dvě se zpozdily;</w:t>
      </w:r>
    </w:p>
    <w:p w:rsidR="00253BD1" w:rsidRPr="00AB28DA" w:rsidRDefault="00517BD2" w:rsidP="00253BD1">
      <w:pPr>
        <w:pStyle w:val="NormalHanging12a"/>
        <w:rPr>
          <w:szCs w:val="24"/>
        </w:rPr>
      </w:pPr>
      <w:r>
        <w:t>10.</w:t>
      </w:r>
      <w:r>
        <w:tab/>
        <w:t xml:space="preserve">s uspokojením konstatuje, že v návaznosti na doporučení týkající se účinné správy hranic agenturou, při kterém budou dodržována základní práva, a v zájmu zlepšení odpovědnosti, správnosti a zákonnosti všech činností agentury Frontex bylo externě přijato dalších 22 osob pověřených sledováním základních práv; připomíná, že všechny osoby pověřené sledováním základních práv by měly být přijímány na úrovni platové třídy AD, a to co nejdříve v rámci příslušných postupů; upozorňuje, že na základě aktualizovaného mandátu agentury by měl počet osob pověřených sledováním základních práv nadále růst; vítá skutečnost, že úřad pro základní práva zorganizoval 1 183 dnů vyslání, během nichž navštívil 50 zemí, což ve srovnání s předchozím rokem představuje výrazný nárůst;   </w:t>
      </w:r>
    </w:p>
    <w:p w:rsidR="00253BD1" w:rsidRPr="00AB28DA" w:rsidRDefault="00517BD2" w:rsidP="00253BD1">
      <w:pPr>
        <w:pStyle w:val="NormalHanging12a"/>
        <w:rPr>
          <w:szCs w:val="24"/>
        </w:rPr>
      </w:pPr>
      <w:r>
        <w:lastRenderedPageBreak/>
        <w:t>11.</w:t>
      </w:r>
      <w:r>
        <w:tab/>
        <w:t>připomíná, že agentura Frontex a příslušné orgány členských států představují hlavní garanty silných a chráněných vnějších hranic EU, přičemž zároveň dodržují základní práva a závazky v oblasti mezinárodní ochrany; konstatuje, že úředník pro otázky základních práv ve svém stanovisku ze dne 1. září 2022 dospěl k závěru, že podmínky pro aktivaci článku 46 nařízení o agentuře Frontex byly splněny; dále konstatuje, že pracovní skupina agentury pro základní práva podle článku 46 vydala řadu doporučení týkajících se základních práv v Řecku, z nichž čtyři byla v říjnu 2023 plně provedena; bere na vědomí, že pracovní skupina agentury má v úmyslu sledovat další pokrok a že doporučená opatření jsou i nadále uplatňována; vyzývá k tomu, aby byla všechna doporučení plně provedena jako priorita, a žádá agenturu Frontex, aby Parlament i nadále informovala o dosaženém pokroku;</w:t>
      </w:r>
    </w:p>
    <w:p w:rsidR="00253BD1" w:rsidRPr="00AB28DA" w:rsidRDefault="00517BD2" w:rsidP="00253BD1">
      <w:pPr>
        <w:pStyle w:val="NormalHanging12a"/>
      </w:pPr>
      <w:r>
        <w:t>12.</w:t>
      </w:r>
      <w:r>
        <w:tab/>
        <w:t>bere na vědomí opatření agentury Frontex týkající se transparentnosti a kontroly, konkrétně poskytování přehledu o její činnosti Parlamentu a Radě prostřednictvím nového nástroje pro podávání zpráv nazvaného „přehled“; vybízí předsedy správní rady, aby i nadále zvali pozorovatele Parlamentu na své schůze a aby zvážili rozšíření pozvánek na všechny body pořadu jednání, včetně neveřejných částí jednání, a aby i nadále poskytovali veškeré podklady bez výjimky a v případě potřeby tak učinili důvěrným způsobem;</w:t>
      </w:r>
    </w:p>
    <w:p w:rsidR="00253BD1" w:rsidRPr="00AB28DA" w:rsidRDefault="00517BD2" w:rsidP="00253BD1">
      <w:pPr>
        <w:pStyle w:val="NormalHanging12a"/>
      </w:pPr>
      <w:r>
        <w:t>13,</w:t>
      </w:r>
      <w:r>
        <w:tab/>
        <w:t>připomíná doporučení veřejné ochránkyně práv ve věci OI/4/2021/MHZ, že agentura Frontex by měla zajistit aktivnější přístup k transparentnosti s cílem zajistit větší odpovědnost za své operace, a doporučení veřejné ochránkyně práv ve věci OI/4/2022/PB v souvislosti s postupy agentury při vyřizování žádostí o přístup k dokumentům; bere na vědomí vypracování a další provádění komplexního akčního plánu pro řešení doporučení, která pro agenturu Frontex vydala evropská veřejná ochránkyně práv v roce 2020 a 2021 a která se zaměřují na účinnost a transparentnost mechanismu agentury Frontex pro podávání a vyřizování stížností, úlohu a nezávislost úředníka agentury Frontex pro otázky základních práv, dodržování povinností v oblasti základních práv a odpovědnost;</w:t>
      </w:r>
    </w:p>
    <w:p w:rsidR="00253BD1" w:rsidRPr="00AB28DA" w:rsidRDefault="00517BD2" w:rsidP="00253BD1">
      <w:pPr>
        <w:pStyle w:val="NormalHanging12a"/>
      </w:pPr>
      <w:r>
        <w:t>14.</w:t>
      </w:r>
      <w:r>
        <w:tab/>
        <w:t>připomíná rozhodnutí evropského inspektora ochrany údajů (EIOÚ) v souvislosti se dvěma rozhodnutími správní rady, v němž EIOÚ zdůraznil několik oblastí, včetně zvýšeného zpracování a sdílení osobních údajů, které by mohly vést k nesouladu s nařízením 2018/1725; konstatuje, že agentura vytvořila prováděcí plán s cílem zabývat se doporučeními evropského inspektora ochrany údajů; vyzývá agenturu, aby pokračovala ve spolupráci s evropským inspektorem ochrany údajů při řešení všech nevyřešených otázek;</w:t>
      </w:r>
    </w:p>
    <w:p w:rsidR="00253BD1" w:rsidRPr="00AB28DA" w:rsidRDefault="00517BD2" w:rsidP="00253BD1">
      <w:pPr>
        <w:pStyle w:val="NormalHanging12a"/>
      </w:pPr>
      <w:r>
        <w:t>15.</w:t>
      </w:r>
      <w:r>
        <w:tab/>
        <w:t xml:space="preserve">konstatuje, že v návaznosti na problémy uvedené ve zprávě Evropského úřadu pro boj proti podvodům (OLAF), která byla předložena správní radě v lednu 2023, se připravuje akční plán; vyzývá agenturu, aby se plně zabývala otázkami uvedenými ve zprávě úřadu OLAF a pokračovala v podávání zpráv o pokroku dosaženém v této oblasti; připomíná druhé vyšetřování Evropského úřadu pro boj proti podvodům (OLAF) zaměřené na řídicí postupy v agentuře, které probíhá pouhých devět měsíců po uzavření prvního vyšetřování prováděného úřadem OLAF; žádá, aby byla obvinění z pochybení důkladně prověřena a prošetřena; vyzývá agenturu, aby zajistila plnou a loajální spolupráci s úřadem OLAF ve všech fázích vyšetřování a aby Parlamentu pravidelně podávala </w:t>
      </w:r>
      <w:r>
        <w:lastRenderedPageBreak/>
        <w:t>zprávy o pokroku a výsledcích vyšetřování;</w:t>
      </w:r>
    </w:p>
    <w:p w:rsidR="00253BD1" w:rsidRPr="00AB28DA" w:rsidRDefault="00517BD2" w:rsidP="00253BD1">
      <w:pPr>
        <w:pStyle w:val="NormalHanging12a"/>
      </w:pPr>
      <w:r>
        <w:t>16.</w:t>
      </w:r>
      <w:r>
        <w:tab/>
        <w:t>vyjadřuje znepokojení v souvislosti s právními případy, které jsou stále projednávány, a kritikou týkající se zapojení agentury do porušování lidských práv, zejména pokud jde o nucené navracení na vnějších hranicích EU, což je v rozporu s vnitřními předpisy agentury;</w:t>
      </w:r>
    </w:p>
    <w:p w:rsidR="00253BD1" w:rsidRPr="00AB28DA" w:rsidRDefault="00517BD2" w:rsidP="00253BD1">
      <w:pPr>
        <w:pStyle w:val="NormalHanging12a"/>
      </w:pPr>
      <w:r>
        <w:t>17.</w:t>
      </w:r>
      <w:r>
        <w:tab/>
        <w:t>bere na vědomí připomínku Účetního dvora týkající se nesprávného výpočtu příspěvků zemí přidružených k Schengenu; je znepokojen skutečností, že dohody mezi EU a zeměmi přidruženými k Schengenu, které slouží jako právní základ pro výpočet příspěvků zemí do rozpočtu EU, jsou nejasné a umožňují odlišný výklad, což vede k nižším příspěvkům ze strany zemí přidružených k Schengenu, a to přibližně 7 %; připomíná odpověď agentury, že pokud jde o výpočet příspěvků zemí přidružených k Schengenu, jedná se o zavedený postup, který schválily správní rada a Komise; vyzývá Komisi, aby tyto dohody přezkoumala, neboť neexistuje jednotný automatický vzorec pro stanovení příspěvků do rozpočtů EU a agentur;</w:t>
      </w:r>
    </w:p>
    <w:p w:rsidR="00253BD1" w:rsidRPr="00AB28DA" w:rsidRDefault="00517BD2" w:rsidP="00253BD1">
      <w:pPr>
        <w:pStyle w:val="NormalHanging12a"/>
      </w:pPr>
      <w:r>
        <w:t>18.</w:t>
      </w:r>
      <w:r>
        <w:tab/>
        <w:t>dále bere na vědomí druhou připomínku Účetního dvora k věcnému bodu, který se týkal ověření účetní závěrky za druhý rok po sobě; bere na vědomí odpověď agentury, že účetní závěrka nemohla být certifikována z důvodu chybějících informací týkajících se informačního systému (systém řízení úkolů), který vlastní Komise a který poskytuje účetní údaje;</w:t>
      </w:r>
    </w:p>
    <w:p w:rsidR="00253BD1" w:rsidRPr="00AB28DA" w:rsidRDefault="00517BD2" w:rsidP="00253BD1">
      <w:pPr>
        <w:pStyle w:val="NormalHanging12a"/>
        <w:ind w:left="560" w:hanging="560"/>
      </w:pPr>
      <w:r>
        <w:t>19.</w:t>
      </w:r>
      <w:r>
        <w:tab/>
        <w:t>vyzývá agenturu Frontex, aby prioritně plně provedla všechna doporučení evropských auditních a kontrolních orgánů, zejména doporučení pracovní skupiny Evropského parlamentu pro kontrolu agentury Frontex, evropského veřejného ochránce práv, Účetního dvora a pracovní skupiny agentury Frontex pracovní skupiny pro základní práva a právní aspekty operací (WG FRaLO), jakož i veškerá požadovaná opatření vyplývající ze zprávy úřadu OLAF v návaznosti na příslušné vyšetřování, a aby napravila všechny problémy, které jsou ve zprávě zdůrazněny; vybízí agenturu, aby zintenzívnila své úsilí a přijala veškerá opatření nezbytná k zajištění plného dodržování norem EU, zejména v oblasti rozpočtového a finančního řízení, základních práv, organizační kultury a transparentnosti;</w:t>
      </w:r>
    </w:p>
    <w:p w:rsidR="00253BD1" w:rsidRDefault="00253BD1" w:rsidP="00B16655">
      <w:pPr>
        <w:sectPr w:rsidR="00253BD1" w:rsidSect="00253BD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16655" w:rsidRPr="00B16655" w:rsidRDefault="00B16655" w:rsidP="00B16655"/>
    <w:p w:rsidR="00B16655" w:rsidRDefault="00517BD2" w:rsidP="00B16655">
      <w:pPr>
        <w:pStyle w:val="PageHeadingNotTOC"/>
      </w:pPr>
      <w:bookmarkStart w:id="0" w:name="ProcPageAD"/>
      <w:r>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B59B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6655" w:rsidRDefault="00517BD2">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6655" w:rsidRDefault="00B1665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6655" w:rsidRDefault="00B1665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6655" w:rsidRDefault="00B16655">
            <w:pPr>
              <w:autoSpaceDE w:val="0"/>
              <w:autoSpaceDN w:val="0"/>
              <w:adjustRightInd w:val="0"/>
              <w:rPr>
                <w:rFonts w:ascii="sans-serif" w:hAnsi="sans-serif" w:cs="sans-serif"/>
                <w:color w:val="000000"/>
                <w:szCs w:val="24"/>
              </w:rPr>
            </w:pPr>
          </w:p>
        </w:tc>
      </w:tr>
      <w:tr w:rsidR="00AB59B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6655" w:rsidRDefault="00517BD2">
            <w:pPr>
              <w:autoSpaceDE w:val="0"/>
              <w:autoSpaceDN w:val="0"/>
              <w:adjustRightInd w:val="0"/>
              <w:rPr>
                <w:color w:val="000000"/>
                <w:sz w:val="20"/>
              </w:rPr>
            </w:pPr>
            <w:r>
              <w:rPr>
                <w:color w:val="000000"/>
                <w:sz w:val="20"/>
              </w:rPr>
              <w:t>+:</w:t>
            </w:r>
          </w:p>
          <w:p w:rsidR="00B16655" w:rsidRDefault="00517BD2">
            <w:pPr>
              <w:autoSpaceDE w:val="0"/>
              <w:autoSpaceDN w:val="0"/>
              <w:adjustRightInd w:val="0"/>
              <w:rPr>
                <w:color w:val="000000"/>
                <w:sz w:val="20"/>
              </w:rPr>
            </w:pPr>
            <w:r>
              <w:rPr>
                <w:color w:val="000000"/>
                <w:sz w:val="20"/>
              </w:rPr>
              <w:t>–:</w:t>
            </w:r>
          </w:p>
          <w:p w:rsidR="00B16655" w:rsidRDefault="00517BD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color w:val="000000"/>
                <w:sz w:val="20"/>
              </w:rPr>
            </w:pPr>
            <w:r>
              <w:rPr>
                <w:color w:val="000000"/>
                <w:sz w:val="20"/>
              </w:rPr>
              <w:t>42</w:t>
            </w:r>
          </w:p>
          <w:p w:rsidR="00B16655" w:rsidRDefault="00517BD2">
            <w:pPr>
              <w:autoSpaceDE w:val="0"/>
              <w:autoSpaceDN w:val="0"/>
              <w:adjustRightInd w:val="0"/>
              <w:rPr>
                <w:color w:val="000000"/>
                <w:sz w:val="20"/>
              </w:rPr>
            </w:pPr>
            <w:r>
              <w:rPr>
                <w:color w:val="000000"/>
                <w:sz w:val="20"/>
              </w:rPr>
              <w:t>12</w:t>
            </w:r>
          </w:p>
          <w:p w:rsidR="00B16655" w:rsidRDefault="00517BD2">
            <w:pPr>
              <w:autoSpaceDE w:val="0"/>
              <w:autoSpaceDN w:val="0"/>
              <w:adjustRightInd w:val="0"/>
              <w:rPr>
                <w:color w:val="000000"/>
                <w:sz w:val="20"/>
              </w:rPr>
            </w:pPr>
            <w:r>
              <w:rPr>
                <w:color w:val="000000"/>
                <w:sz w:val="20"/>
              </w:rPr>
              <w:t>2</w:t>
            </w:r>
          </w:p>
        </w:tc>
      </w:tr>
      <w:tr w:rsidR="00AB59B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Lukas Mandl, Erik Marquardt, Javier Moreno Sánchez, Maite Pagazaurtundúa, Diana Riba i Giner, Isabel Santos, Birgit Sippel, Vincenzo Sofo, Tineke Strik, Jana Toom, Milan Uhrík, Tom Vandendriessche, Elissavet Vozemberg-Vrionidi, Elena Yoncheva, Javier Zarzalejos</w:t>
            </w:r>
          </w:p>
        </w:tc>
      </w:tr>
      <w:tr w:rsidR="00AB59B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color w:val="000000"/>
                <w:sz w:val="20"/>
              </w:rPr>
            </w:pPr>
            <w:r>
              <w:rPr>
                <w:color w:val="000000"/>
                <w:sz w:val="20"/>
              </w:rPr>
              <w:t>Cyrus Engerer, José Gusmão, Beata Kempa, Leopoldo López Gil, Janina Ochojska, Anne-Sophie Pelletier, Bergur Løkke Rasmussen, Maria Walsh, Tomáš Zdechovský</w:t>
            </w:r>
          </w:p>
        </w:tc>
      </w:tr>
      <w:tr w:rsidR="00AB59B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16655" w:rsidRDefault="00517BD2">
            <w:pPr>
              <w:autoSpaceDE w:val="0"/>
              <w:autoSpaceDN w:val="0"/>
              <w:adjustRightInd w:val="0"/>
              <w:rPr>
                <w:color w:val="000000"/>
                <w:sz w:val="20"/>
              </w:rPr>
            </w:pPr>
            <w:r>
              <w:rPr>
                <w:color w:val="000000"/>
                <w:sz w:val="20"/>
              </w:rPr>
              <w:t>Andrus Ansip, Hildegard Bentele, Maria da Graça Carvalho, Marisa Matias, Caroline Nagtegaal</w:t>
            </w:r>
          </w:p>
        </w:tc>
      </w:tr>
    </w:tbl>
    <w:p w:rsidR="00B16655" w:rsidRDefault="00B16655"/>
    <w:bookmarkEnd w:id="0"/>
    <w:p w:rsidR="00253BD1" w:rsidRDefault="00517BD2">
      <w:pPr>
        <w:widowControl/>
      </w:pPr>
      <w:r>
        <w:br w:type="page"/>
      </w:r>
    </w:p>
    <w:p w:rsidR="00253BD1" w:rsidRDefault="00517BD2" w:rsidP="00253BD1">
      <w:pPr>
        <w:pStyle w:val="PageHeadingNotTOC"/>
        <w:rPr>
          <w:noProof/>
        </w:rPr>
      </w:pPr>
      <w:r>
        <w:t>PŘÍLOHA: SUBJEKTY NEBO OSOBY,</w:t>
      </w:r>
      <w:r>
        <w:br/>
        <w:t>OD NICHŽ ZPRAVODAJ OBDRŽEL PODNĚTY</w:t>
      </w:r>
    </w:p>
    <w:p w:rsidR="00253BD1" w:rsidRPr="00AB28DA" w:rsidRDefault="00517BD2" w:rsidP="00253BD1">
      <w:pPr>
        <w:pStyle w:val="Normal24a"/>
      </w:pPr>
      <w:r>
        <w:rPr>
          <w:rStyle w:val="HideTWBExt"/>
        </w:rPr>
        <w:t>&lt;FootprintIntro&gt;</w:t>
      </w:r>
      <w:r>
        <w:t>Zpravodaj prohlašuje, že při vypracovávání stanoviska obdržel podněty od těchto subjektů nebo osob: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B59B1" w:rsidTr="00D73212">
        <w:tc>
          <w:tcPr>
            <w:tcW w:w="9286" w:type="dxa"/>
            <w:shd w:val="clear" w:color="auto" w:fill="auto"/>
          </w:tcPr>
          <w:p w:rsidR="00253BD1" w:rsidRPr="00AB28DA" w:rsidRDefault="00517BD2" w:rsidP="00D73212">
            <w:pPr>
              <w:pStyle w:val="NormalBoldCenter"/>
            </w:pPr>
            <w:r>
              <w:t>Subjekt nebo osoba</w:t>
            </w:r>
          </w:p>
        </w:tc>
      </w:tr>
      <w:tr w:rsidR="00AB59B1" w:rsidTr="00D73212">
        <w:tc>
          <w:tcPr>
            <w:tcW w:w="9286" w:type="dxa"/>
            <w:shd w:val="clear" w:color="auto" w:fill="auto"/>
          </w:tcPr>
          <w:p w:rsidR="00253BD1" w:rsidRPr="00AB28DA" w:rsidRDefault="00517BD2" w:rsidP="00D73212">
            <w:r>
              <w:t>European Border and Coast Guard Agency (“FRONTEX”)</w:t>
            </w:r>
          </w:p>
        </w:tc>
      </w:tr>
    </w:tbl>
    <w:p w:rsidR="00253BD1" w:rsidRPr="00AB28DA" w:rsidRDefault="00253BD1" w:rsidP="00253BD1"/>
    <w:p w:rsidR="00253BD1" w:rsidRPr="00AB28DA" w:rsidRDefault="00517BD2" w:rsidP="00253BD1">
      <w:pPr>
        <w:rPr>
          <w:szCs w:val="24"/>
        </w:rPr>
      </w:pPr>
      <w:r>
        <w:t>Výše uvedený seznam je sestaven na výhradní odpovědnost zpravodaje.</w:t>
      </w:r>
    </w:p>
    <w:p w:rsidR="00253BD1" w:rsidRDefault="00253BD1" w:rsidP="00253BD1">
      <w:pPr>
        <w:sectPr w:rsidR="00253BD1" w:rsidSect="00253BD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53BD1" w:rsidRPr="00253BD1" w:rsidRDefault="00253BD1" w:rsidP="00253BD1"/>
    <w:p w:rsidR="00253BD1" w:rsidRPr="0099178F" w:rsidRDefault="00517BD2" w:rsidP="00C36610">
      <w:pPr>
        <w:pStyle w:val="PageHeadingNotTOC"/>
      </w:pPr>
      <w:bookmarkStart w:id="1" w:name="RollCallPageAD"/>
      <w:r>
        <w:t xml:space="preserve">JMENOVITÉ KONEČNÉ HLASOVÁNÍ </w:t>
      </w:r>
      <w:r w:rsidR="002C150C">
        <w:br/>
      </w:r>
      <w:bookmarkStart w:id="2" w:name="_GoBack"/>
      <w:bookmarkEnd w:id="2"/>
      <w: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59B1" w:rsidTr="00D73212">
        <w:trPr>
          <w:cantSplit/>
        </w:trPr>
        <w:tc>
          <w:tcPr>
            <w:tcW w:w="1701" w:type="dxa"/>
            <w:shd w:val="pct10" w:color="000000" w:fill="FFFFFF"/>
            <w:vAlign w:val="center"/>
          </w:tcPr>
          <w:p w:rsidR="003648E6" w:rsidRPr="00AB28DA" w:rsidRDefault="00517BD2" w:rsidP="00D73212">
            <w:pPr>
              <w:pStyle w:val="RollCallVotes"/>
            </w:pPr>
            <w:r>
              <w:t>42</w:t>
            </w:r>
          </w:p>
        </w:tc>
        <w:tc>
          <w:tcPr>
            <w:tcW w:w="7371" w:type="dxa"/>
            <w:shd w:val="pct10" w:color="000000" w:fill="FFFFFF"/>
          </w:tcPr>
          <w:p w:rsidR="003648E6" w:rsidRPr="00AB28DA" w:rsidRDefault="00517BD2" w:rsidP="00D73212">
            <w:pPr>
              <w:pStyle w:val="RollCallSymbols14pt"/>
            </w:pPr>
            <w:r>
              <w:t>+</w:t>
            </w:r>
          </w:p>
        </w:tc>
      </w:tr>
      <w:tr w:rsidR="00AB59B1" w:rsidTr="00D73212">
        <w:trPr>
          <w:cantSplit/>
        </w:trPr>
        <w:tc>
          <w:tcPr>
            <w:tcW w:w="1701" w:type="dxa"/>
            <w:shd w:val="clear" w:color="auto" w:fill="FFFFFF"/>
          </w:tcPr>
          <w:p w:rsidR="003648E6" w:rsidRPr="00AB28DA" w:rsidRDefault="00517BD2" w:rsidP="00D73212">
            <w:pPr>
              <w:pStyle w:val="RollCallTable"/>
            </w:pPr>
            <w:r>
              <w:t>PPE</w:t>
            </w:r>
          </w:p>
        </w:tc>
        <w:tc>
          <w:tcPr>
            <w:tcW w:w="7371" w:type="dxa"/>
            <w:shd w:val="clear" w:color="auto" w:fill="FFFFFF"/>
          </w:tcPr>
          <w:p w:rsidR="003648E6" w:rsidRPr="00AB28DA" w:rsidRDefault="00517BD2" w:rsidP="00D73212">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AB59B1" w:rsidTr="00D73212">
        <w:trPr>
          <w:cantSplit/>
        </w:trPr>
        <w:tc>
          <w:tcPr>
            <w:tcW w:w="1701" w:type="dxa"/>
            <w:shd w:val="clear" w:color="auto" w:fill="FFFFFF"/>
          </w:tcPr>
          <w:p w:rsidR="003648E6" w:rsidRPr="00AB28DA" w:rsidRDefault="00517BD2" w:rsidP="00D73212">
            <w:pPr>
              <w:pStyle w:val="RollCallTable"/>
            </w:pPr>
            <w:r>
              <w:t>Renew</w:t>
            </w:r>
          </w:p>
        </w:tc>
        <w:tc>
          <w:tcPr>
            <w:tcW w:w="7371" w:type="dxa"/>
            <w:shd w:val="clear" w:color="auto" w:fill="FFFFFF"/>
          </w:tcPr>
          <w:p w:rsidR="003648E6" w:rsidRPr="00AB28DA" w:rsidRDefault="00517BD2" w:rsidP="00D73212">
            <w:pPr>
              <w:pStyle w:val="RollCallTable"/>
            </w:pPr>
            <w:r>
              <w:t>Abir Al-Sahlani, Andrus Ansip, Lucia Ďuriš Nicholsonová, Sophia in 't Veld, Moritz Körner, Caroline Nagtegaal, Maite Pagazaurtundúa, Bergur Løkke Rasmussen, Róża Thun und Hohenstein, Jana Toom</w:t>
            </w:r>
          </w:p>
        </w:tc>
      </w:tr>
      <w:tr w:rsidR="00AB59B1" w:rsidTr="00D73212">
        <w:trPr>
          <w:cantSplit/>
        </w:trPr>
        <w:tc>
          <w:tcPr>
            <w:tcW w:w="1701" w:type="dxa"/>
            <w:shd w:val="clear" w:color="auto" w:fill="FFFFFF"/>
          </w:tcPr>
          <w:p w:rsidR="003648E6" w:rsidRPr="00AB28DA" w:rsidRDefault="00517BD2" w:rsidP="00D73212">
            <w:pPr>
              <w:pStyle w:val="RollCallTable"/>
            </w:pPr>
            <w:r>
              <w:t>S&amp;D</w:t>
            </w:r>
          </w:p>
        </w:tc>
        <w:tc>
          <w:tcPr>
            <w:tcW w:w="7371" w:type="dxa"/>
            <w:shd w:val="clear" w:color="auto" w:fill="FFFFFF"/>
          </w:tcPr>
          <w:p w:rsidR="003648E6" w:rsidRPr="00AB28DA" w:rsidRDefault="00517BD2" w:rsidP="00D73212">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AB59B1" w:rsidTr="00D73212">
        <w:trPr>
          <w:cantSplit/>
        </w:trPr>
        <w:tc>
          <w:tcPr>
            <w:tcW w:w="1701" w:type="dxa"/>
            <w:shd w:val="clear" w:color="auto" w:fill="FFFFFF"/>
          </w:tcPr>
          <w:p w:rsidR="003648E6" w:rsidRPr="00AB28DA" w:rsidRDefault="00517BD2" w:rsidP="00D73212">
            <w:pPr>
              <w:pStyle w:val="RollCallTable"/>
            </w:pPr>
            <w:r>
              <w:t>Verts/ALE</w:t>
            </w:r>
          </w:p>
        </w:tc>
        <w:tc>
          <w:tcPr>
            <w:tcW w:w="7371" w:type="dxa"/>
            <w:shd w:val="clear" w:color="auto" w:fill="FFFFFF"/>
          </w:tcPr>
          <w:p w:rsidR="003648E6" w:rsidRPr="00AB28DA" w:rsidRDefault="00517BD2" w:rsidP="00D73212">
            <w:pPr>
              <w:pStyle w:val="RollCallTable"/>
            </w:pPr>
            <w:r>
              <w:t>Patrick Breyer, Saskia Bricmont, Alice Kuhnke, Erik Marquardt, Diana Riba i Giner, Tineke Strik</w:t>
            </w:r>
          </w:p>
        </w:tc>
      </w:tr>
    </w:tbl>
    <w:p w:rsidR="003648E6" w:rsidRPr="00AB28DA" w:rsidRDefault="003648E6" w:rsidP="003648E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59B1" w:rsidTr="00D73212">
        <w:trPr>
          <w:cantSplit/>
        </w:trPr>
        <w:tc>
          <w:tcPr>
            <w:tcW w:w="1701" w:type="dxa"/>
            <w:shd w:val="pct10" w:color="000000" w:fill="FFFFFF"/>
            <w:vAlign w:val="center"/>
          </w:tcPr>
          <w:p w:rsidR="003648E6" w:rsidRPr="00AB28DA" w:rsidRDefault="00517BD2" w:rsidP="00D73212">
            <w:pPr>
              <w:pStyle w:val="RollCallVotes"/>
            </w:pPr>
            <w:r>
              <w:t>12</w:t>
            </w:r>
          </w:p>
        </w:tc>
        <w:tc>
          <w:tcPr>
            <w:tcW w:w="7371" w:type="dxa"/>
            <w:shd w:val="pct10" w:color="000000" w:fill="FFFFFF"/>
          </w:tcPr>
          <w:p w:rsidR="003648E6" w:rsidRPr="00AB28DA" w:rsidRDefault="00517BD2" w:rsidP="00D73212">
            <w:pPr>
              <w:pStyle w:val="RollCallSymbols14pt"/>
            </w:pPr>
            <w:r>
              <w:t>-</w:t>
            </w:r>
          </w:p>
        </w:tc>
      </w:tr>
      <w:tr w:rsidR="00AB59B1" w:rsidTr="00D73212">
        <w:trPr>
          <w:cantSplit/>
        </w:trPr>
        <w:tc>
          <w:tcPr>
            <w:tcW w:w="1701" w:type="dxa"/>
            <w:shd w:val="clear" w:color="auto" w:fill="FFFFFF"/>
          </w:tcPr>
          <w:p w:rsidR="003648E6" w:rsidRPr="00AB28DA" w:rsidRDefault="00517BD2" w:rsidP="00D73212">
            <w:pPr>
              <w:pStyle w:val="RollCallTable"/>
            </w:pPr>
            <w:r>
              <w:t>ECR</w:t>
            </w:r>
          </w:p>
        </w:tc>
        <w:tc>
          <w:tcPr>
            <w:tcW w:w="7371" w:type="dxa"/>
            <w:shd w:val="clear" w:color="auto" w:fill="FFFFFF"/>
          </w:tcPr>
          <w:p w:rsidR="003648E6" w:rsidRPr="00AB28DA" w:rsidRDefault="00517BD2" w:rsidP="00D73212">
            <w:pPr>
              <w:pStyle w:val="RollCallTable"/>
            </w:pPr>
            <w:r>
              <w:t>Jorge Buxadé Villalba, Patryk Jaki, Assita Kanko, Beata Kempa, Vincenzo Sofo</w:t>
            </w:r>
          </w:p>
        </w:tc>
      </w:tr>
      <w:tr w:rsidR="00AB59B1" w:rsidTr="00D73212">
        <w:trPr>
          <w:cantSplit/>
        </w:trPr>
        <w:tc>
          <w:tcPr>
            <w:tcW w:w="1701" w:type="dxa"/>
            <w:shd w:val="clear" w:color="auto" w:fill="FFFFFF"/>
          </w:tcPr>
          <w:p w:rsidR="003648E6" w:rsidRPr="00AB28DA" w:rsidRDefault="00517BD2" w:rsidP="00D73212">
            <w:pPr>
              <w:pStyle w:val="RollCallTable"/>
            </w:pPr>
            <w:r>
              <w:t>ID</w:t>
            </w:r>
          </w:p>
        </w:tc>
        <w:tc>
          <w:tcPr>
            <w:tcW w:w="7371" w:type="dxa"/>
            <w:shd w:val="clear" w:color="auto" w:fill="FFFFFF"/>
          </w:tcPr>
          <w:p w:rsidR="003648E6" w:rsidRPr="00AB28DA" w:rsidRDefault="00517BD2" w:rsidP="00D73212">
            <w:pPr>
              <w:pStyle w:val="RollCallTable"/>
            </w:pPr>
            <w:r>
              <w:t>Patricia Chagnon, Nicolaus Fest</w:t>
            </w:r>
          </w:p>
        </w:tc>
      </w:tr>
      <w:tr w:rsidR="00AB59B1" w:rsidTr="00D73212">
        <w:trPr>
          <w:cantSplit/>
        </w:trPr>
        <w:tc>
          <w:tcPr>
            <w:tcW w:w="1701" w:type="dxa"/>
            <w:shd w:val="clear" w:color="auto" w:fill="FFFFFF"/>
          </w:tcPr>
          <w:p w:rsidR="003648E6" w:rsidRPr="00AB28DA" w:rsidRDefault="00517BD2" w:rsidP="00D73212">
            <w:pPr>
              <w:pStyle w:val="RollCallTable"/>
            </w:pPr>
            <w:r>
              <w:t>NI</w:t>
            </w:r>
          </w:p>
        </w:tc>
        <w:tc>
          <w:tcPr>
            <w:tcW w:w="7371" w:type="dxa"/>
            <w:shd w:val="clear" w:color="auto" w:fill="FFFFFF"/>
          </w:tcPr>
          <w:p w:rsidR="003648E6" w:rsidRPr="00AB28DA" w:rsidRDefault="00517BD2" w:rsidP="00D73212">
            <w:pPr>
              <w:pStyle w:val="RollCallTable"/>
            </w:pPr>
            <w:r>
              <w:t>Milan Uhrík</w:t>
            </w:r>
          </w:p>
        </w:tc>
      </w:tr>
      <w:tr w:rsidR="00AB59B1" w:rsidTr="00D73212">
        <w:trPr>
          <w:cantSplit/>
        </w:trPr>
        <w:tc>
          <w:tcPr>
            <w:tcW w:w="1701" w:type="dxa"/>
            <w:shd w:val="clear" w:color="auto" w:fill="FFFFFF"/>
          </w:tcPr>
          <w:p w:rsidR="003648E6" w:rsidRPr="00AB28DA" w:rsidRDefault="00517BD2" w:rsidP="00D73212">
            <w:pPr>
              <w:pStyle w:val="RollCallTable"/>
            </w:pPr>
            <w:r>
              <w:t>The Left</w:t>
            </w:r>
          </w:p>
        </w:tc>
        <w:tc>
          <w:tcPr>
            <w:tcW w:w="7371" w:type="dxa"/>
            <w:shd w:val="clear" w:color="auto" w:fill="FFFFFF"/>
          </w:tcPr>
          <w:p w:rsidR="003648E6" w:rsidRPr="00AB28DA" w:rsidRDefault="00517BD2" w:rsidP="00D73212">
            <w:pPr>
              <w:pStyle w:val="RollCallTable"/>
            </w:pPr>
            <w:r>
              <w:t>Cornelia Ernst, José Gusmão, Marisa Matias, Anne-Sophie Pelletier</w:t>
            </w:r>
          </w:p>
        </w:tc>
      </w:tr>
    </w:tbl>
    <w:p w:rsidR="003648E6" w:rsidRPr="00AB28DA" w:rsidRDefault="003648E6" w:rsidP="003648E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59B1" w:rsidTr="00D73212">
        <w:trPr>
          <w:cantSplit/>
        </w:trPr>
        <w:tc>
          <w:tcPr>
            <w:tcW w:w="1701" w:type="dxa"/>
            <w:shd w:val="pct10" w:color="000000" w:fill="FFFFFF"/>
            <w:vAlign w:val="center"/>
          </w:tcPr>
          <w:p w:rsidR="003648E6" w:rsidRPr="00AB28DA" w:rsidRDefault="00517BD2" w:rsidP="00D73212">
            <w:pPr>
              <w:pStyle w:val="RollCallVotes"/>
            </w:pPr>
            <w:r>
              <w:t>2</w:t>
            </w:r>
          </w:p>
        </w:tc>
        <w:tc>
          <w:tcPr>
            <w:tcW w:w="7371" w:type="dxa"/>
            <w:shd w:val="pct10" w:color="000000" w:fill="FFFFFF"/>
          </w:tcPr>
          <w:p w:rsidR="003648E6" w:rsidRPr="00AB28DA" w:rsidRDefault="00517BD2" w:rsidP="00D73212">
            <w:pPr>
              <w:pStyle w:val="RollCallSymbols14pt"/>
            </w:pPr>
            <w:r>
              <w:t>0</w:t>
            </w:r>
          </w:p>
        </w:tc>
      </w:tr>
      <w:tr w:rsidR="00AB59B1" w:rsidTr="00D73212">
        <w:trPr>
          <w:cantSplit/>
        </w:trPr>
        <w:tc>
          <w:tcPr>
            <w:tcW w:w="1701" w:type="dxa"/>
            <w:shd w:val="clear" w:color="auto" w:fill="FFFFFF"/>
          </w:tcPr>
          <w:p w:rsidR="003648E6" w:rsidRPr="00AB28DA" w:rsidRDefault="00517BD2" w:rsidP="00D73212">
            <w:pPr>
              <w:pStyle w:val="RollCallTable"/>
            </w:pPr>
            <w:r>
              <w:t>ID</w:t>
            </w:r>
          </w:p>
        </w:tc>
        <w:tc>
          <w:tcPr>
            <w:tcW w:w="7371" w:type="dxa"/>
            <w:shd w:val="clear" w:color="auto" w:fill="FFFFFF"/>
          </w:tcPr>
          <w:p w:rsidR="003648E6" w:rsidRPr="00AB28DA" w:rsidRDefault="00517BD2" w:rsidP="00D73212">
            <w:pPr>
              <w:pStyle w:val="RollCallTable"/>
            </w:pPr>
            <w:r>
              <w:t>Tom Vandendriessche</w:t>
            </w:r>
          </w:p>
        </w:tc>
      </w:tr>
      <w:tr w:rsidR="00AB59B1" w:rsidTr="00D73212">
        <w:trPr>
          <w:cantSplit/>
        </w:trPr>
        <w:tc>
          <w:tcPr>
            <w:tcW w:w="1701" w:type="dxa"/>
            <w:shd w:val="clear" w:color="auto" w:fill="FFFFFF"/>
          </w:tcPr>
          <w:p w:rsidR="003648E6" w:rsidRPr="00AB28DA" w:rsidRDefault="00517BD2" w:rsidP="00D73212">
            <w:pPr>
              <w:pStyle w:val="RollCallTable"/>
            </w:pPr>
            <w:r>
              <w:t>Verts/ALE</w:t>
            </w:r>
          </w:p>
        </w:tc>
        <w:tc>
          <w:tcPr>
            <w:tcW w:w="7371" w:type="dxa"/>
            <w:shd w:val="clear" w:color="auto" w:fill="FFFFFF"/>
          </w:tcPr>
          <w:p w:rsidR="003648E6" w:rsidRPr="00AB28DA" w:rsidRDefault="00517BD2" w:rsidP="00D73212">
            <w:pPr>
              <w:pStyle w:val="RollCallTable"/>
            </w:pPr>
            <w:r>
              <w:t>Damien Carême</w:t>
            </w:r>
          </w:p>
        </w:tc>
      </w:tr>
    </w:tbl>
    <w:p w:rsidR="00253BD1" w:rsidRDefault="00253BD1" w:rsidP="00147FBF">
      <w:pPr>
        <w:pStyle w:val="Normal12a"/>
      </w:pPr>
    </w:p>
    <w:p w:rsidR="00253BD1" w:rsidRDefault="00517BD2" w:rsidP="00B735E3">
      <w:r>
        <w:t>Význam zkratek:</w:t>
      </w:r>
    </w:p>
    <w:p w:rsidR="00253BD1" w:rsidRDefault="00517BD2" w:rsidP="003858C5">
      <w:pPr>
        <w:pStyle w:val="RollCallTabs"/>
      </w:pPr>
      <w:r>
        <w:t>+</w:t>
      </w:r>
      <w:r>
        <w:tab/>
        <w:t>:</w:t>
      </w:r>
      <w:r>
        <w:tab/>
        <w:t>pro</w:t>
      </w:r>
    </w:p>
    <w:p w:rsidR="00253BD1" w:rsidRDefault="00517BD2" w:rsidP="003858C5">
      <w:pPr>
        <w:pStyle w:val="RollCallTabs"/>
      </w:pPr>
      <w:r>
        <w:t>-</w:t>
      </w:r>
      <w:r>
        <w:tab/>
        <w:t>:</w:t>
      </w:r>
      <w:r>
        <w:tab/>
        <w:t>proti</w:t>
      </w:r>
    </w:p>
    <w:p w:rsidR="00253BD1" w:rsidRDefault="00517BD2" w:rsidP="003858C5">
      <w:pPr>
        <w:pStyle w:val="RollCallTabs"/>
      </w:pPr>
      <w:r>
        <w:t>0</w:t>
      </w:r>
      <w:r>
        <w:tab/>
        <w:t>:</w:t>
      </w:r>
      <w:r>
        <w:tab/>
        <w:t>zdrželi se</w:t>
      </w:r>
    </w:p>
    <w:p w:rsidR="00253BD1" w:rsidRDefault="00253BD1" w:rsidP="00207509"/>
    <w:bookmarkEnd w:id="1"/>
    <w:p w:rsidR="002E6F98" w:rsidRPr="00253BD1" w:rsidRDefault="002E6F98" w:rsidP="00253BD1"/>
    <w:sectPr w:rsidR="002E6F98" w:rsidRPr="00253BD1" w:rsidSect="00253B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1B8" w:rsidRDefault="00517BD2">
      <w:r>
        <w:separator/>
      </w:r>
    </w:p>
  </w:endnote>
  <w:endnote w:type="continuationSeparator" w:id="0">
    <w:p w:rsidR="005571B8" w:rsidRDefault="00517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55" w:rsidRDefault="00517BD2" w:rsidP="00B16655">
    <w:pPr>
      <w:pStyle w:val="EPFooter"/>
    </w:pPr>
    <w:r>
      <w:t>PE</w:t>
    </w:r>
    <w:r w:rsidRPr="00B16655">
      <w:rPr>
        <w:rStyle w:val="HideTWBExt"/>
      </w:rPr>
      <w:t>&lt;NoPE&gt;</w:t>
    </w:r>
    <w:r>
      <w:t>756.203</w:t>
    </w:r>
    <w:r w:rsidRPr="00B16655">
      <w:rPr>
        <w:rStyle w:val="HideTWBExt"/>
      </w:rPr>
      <w:t>&lt;/NoPE&gt;&lt;Version&gt;</w:t>
    </w:r>
    <w:r>
      <w:t>v02-00</w:t>
    </w:r>
    <w:r w:rsidRPr="00B16655">
      <w:rPr>
        <w:rStyle w:val="HideTWBExt"/>
      </w:rPr>
      <w:t>&lt;/Version&gt;</w:t>
    </w:r>
    <w:r>
      <w:tab/>
    </w:r>
    <w:r>
      <w:fldChar w:fldCharType="begin"/>
    </w:r>
    <w:r>
      <w:instrText xml:space="preserve"> PAGE  \* MERGEFORMAT </w:instrText>
    </w:r>
    <w:r>
      <w:fldChar w:fldCharType="separate"/>
    </w:r>
    <w:r w:rsidR="002C150C">
      <w:rPr>
        <w:noProof/>
      </w:rPr>
      <w:t>8</w:t>
    </w:r>
    <w:r>
      <w:fldChar w:fldCharType="end"/>
    </w:r>
    <w:r>
      <w:t>/</w:t>
    </w:r>
    <w:r w:rsidR="003648E6">
      <w:fldChar w:fldCharType="begin"/>
    </w:r>
    <w:r>
      <w:instrText xml:space="preserve"> NUMPAGES  \* MERGEFORMAT </w:instrText>
    </w:r>
    <w:r w:rsidR="003648E6">
      <w:fldChar w:fldCharType="separate"/>
    </w:r>
    <w:r w:rsidR="002C150C">
      <w:rPr>
        <w:noProof/>
      </w:rPr>
      <w:t>9</w:t>
    </w:r>
    <w:r w:rsidR="003648E6">
      <w:rPr>
        <w:noProof/>
      </w:rPr>
      <w:fldChar w:fldCharType="end"/>
    </w:r>
    <w:r>
      <w:tab/>
    </w:r>
    <w:r w:rsidRPr="00B16655">
      <w:rPr>
        <w:rStyle w:val="HideTWBExt"/>
      </w:rPr>
      <w:t>&lt;PathFdR&gt;</w:t>
    </w:r>
    <w:r>
      <w:t>AD\1294537CS.docx</w:t>
    </w:r>
    <w:r w:rsidRPr="00B16655">
      <w:rPr>
        <w:rStyle w:val="HideTWBExt"/>
      </w:rPr>
      <w:t>&lt;/PathFdR&gt;</w:t>
    </w:r>
  </w:p>
  <w:p w:rsidR="002E2F2E" w:rsidRPr="001C3092" w:rsidRDefault="00517BD2" w:rsidP="00B16655">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55" w:rsidRDefault="00517BD2" w:rsidP="00B16655">
    <w:pPr>
      <w:pStyle w:val="EPFooter"/>
    </w:pPr>
    <w:r w:rsidRPr="00B16655">
      <w:rPr>
        <w:rStyle w:val="HideTWBExt"/>
      </w:rPr>
      <w:t>&lt;PathFdR&gt;</w:t>
    </w:r>
    <w:r>
      <w:t>AD\1294537CS.docx</w:t>
    </w:r>
    <w:r w:rsidRPr="00B16655">
      <w:rPr>
        <w:rStyle w:val="HideTWBExt"/>
      </w:rPr>
      <w:t>&lt;/PathFdR&gt;</w:t>
    </w:r>
    <w:r>
      <w:tab/>
    </w:r>
    <w:r>
      <w:fldChar w:fldCharType="begin"/>
    </w:r>
    <w:r>
      <w:instrText xml:space="preserve"> PAGE  \* MERGEFORMAT </w:instrText>
    </w:r>
    <w:r>
      <w:fldChar w:fldCharType="separate"/>
    </w:r>
    <w:r w:rsidR="002C150C">
      <w:rPr>
        <w:noProof/>
      </w:rPr>
      <w:t>9</w:t>
    </w:r>
    <w:r>
      <w:fldChar w:fldCharType="end"/>
    </w:r>
    <w:r>
      <w:t>/</w:t>
    </w:r>
    <w:r w:rsidR="003648E6">
      <w:fldChar w:fldCharType="begin"/>
    </w:r>
    <w:r>
      <w:instrText xml:space="preserve"> NUMPAGES  \* MERGEFORMAT </w:instrText>
    </w:r>
    <w:r w:rsidR="003648E6">
      <w:fldChar w:fldCharType="separate"/>
    </w:r>
    <w:r w:rsidR="002C150C">
      <w:rPr>
        <w:noProof/>
      </w:rPr>
      <w:t>9</w:t>
    </w:r>
    <w:r w:rsidR="003648E6">
      <w:rPr>
        <w:noProof/>
      </w:rPr>
      <w:fldChar w:fldCharType="end"/>
    </w:r>
    <w:r>
      <w:tab/>
      <w:t>PE</w:t>
    </w:r>
    <w:r w:rsidRPr="00B16655">
      <w:rPr>
        <w:rStyle w:val="HideTWBExt"/>
      </w:rPr>
      <w:t>&lt;NoPE&gt;</w:t>
    </w:r>
    <w:r>
      <w:t>756.203</w:t>
    </w:r>
    <w:r w:rsidRPr="00B16655">
      <w:rPr>
        <w:rStyle w:val="HideTWBExt"/>
      </w:rPr>
      <w:t>&lt;/NoPE&gt;&lt;Version&gt;</w:t>
    </w:r>
    <w:r>
      <w:t>v02-00</w:t>
    </w:r>
    <w:r w:rsidRPr="00B16655">
      <w:rPr>
        <w:rStyle w:val="HideTWBExt"/>
      </w:rPr>
      <w:t>&lt;/Version&gt;</w:t>
    </w:r>
  </w:p>
  <w:p w:rsidR="002E2F2E" w:rsidRPr="001C3092" w:rsidRDefault="00517BD2" w:rsidP="00B16655">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55" w:rsidRDefault="00517BD2" w:rsidP="00B16655">
    <w:pPr>
      <w:pStyle w:val="EPFooter"/>
    </w:pPr>
    <w:r w:rsidRPr="00B16655">
      <w:rPr>
        <w:rStyle w:val="HideTWBExt"/>
      </w:rPr>
      <w:t>&lt;PathFdR&gt;</w:t>
    </w:r>
    <w:r>
      <w:t>AD\1294537CS.docx</w:t>
    </w:r>
    <w:r w:rsidRPr="00B16655">
      <w:rPr>
        <w:rStyle w:val="HideTWBExt"/>
      </w:rPr>
      <w:t>&lt;/PathFdR&gt;</w:t>
    </w:r>
    <w:r>
      <w:tab/>
    </w:r>
    <w:r>
      <w:tab/>
      <w:t>PE</w:t>
    </w:r>
    <w:r w:rsidRPr="00B16655">
      <w:rPr>
        <w:rStyle w:val="HideTWBExt"/>
      </w:rPr>
      <w:t>&lt;NoPE&gt;</w:t>
    </w:r>
    <w:r>
      <w:t>756.203</w:t>
    </w:r>
    <w:r w:rsidRPr="00B16655">
      <w:rPr>
        <w:rStyle w:val="HideTWBExt"/>
      </w:rPr>
      <w:t>&lt;/NoPE&gt;&lt;Version&gt;</w:t>
    </w:r>
    <w:r>
      <w:t>v02-00</w:t>
    </w:r>
    <w:r w:rsidRPr="00B16655">
      <w:rPr>
        <w:rStyle w:val="HideTWBExt"/>
      </w:rPr>
      <w:t>&lt;/Version&gt;</w:t>
    </w:r>
  </w:p>
  <w:p w:rsidR="002E2F2E" w:rsidRPr="001C3092" w:rsidRDefault="00517BD2" w:rsidP="00B16655">
    <w:pPr>
      <w:pStyle w:val="EPFooter2"/>
    </w:pPr>
    <w:r>
      <w:t>CS</w:t>
    </w:r>
    <w:r>
      <w:tab/>
    </w:r>
    <w:r w:rsidRPr="00B16655">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1B8" w:rsidRDefault="00517BD2">
      <w:r>
        <w:separator/>
      </w:r>
    </w:p>
  </w:footnote>
  <w:footnote w:type="continuationSeparator" w:id="0">
    <w:p w:rsidR="005571B8" w:rsidRDefault="00517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BD1" w:rsidRDefault="00253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BD1" w:rsidRDefault="00253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BD1" w:rsidRDefault="00253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4"/>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224786 HideTWBInt;}{_x000d__x000a_\s18\ql \fi-567\li567\ri0\sa240\nowidctlpar\wrapdefault\aspalpha\aspnum\faauto\adjustright\rin0\lin567\itap0 \rtlch\fcs1 \af0\afs20\alang1025 \ltrch\fcs0 \fs24\lang1029\langfe2057\cgrid\langnp1029\langfenp2057 _x000d__x000a_\sbasedon0 \snext18 \spriority0 \styrsid10224786 NormalHanging12a;}}{\*\rsidtbl \rsid24658\rsid223860\rsid735077\rsid1718133\rsid2892074\rsid3565327\rsid4666813\rsid6641733\rsid7630550\rsid7823322\rsid9636012\rsid10224786\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VYROUBALOVA Jana}{\operator VYROUBALOVA Jana}{\creatim\yr2024\mo1\dy29\hr16\min59}{\revtim\yr2024\mo1\dy29\hr16\min59}{\version1}{\edmins0}{\nofpages1}{\nofwords1}{\nofchars11}{\nofcharsws11}{\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24786\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7630550 \chftnsep _x000d__x000a_\par }}{\*\ftnsepc \ltrpar \pard\plain \ltrpar\ql \li0\ri0\widctlpar\wrapdefault\aspalpha\aspnum\faauto\adjustright\rin0\lin0\itap0 \rtlch\fcs1 \af0\afs20\alang1025 \ltrch\fcs0 \fs24\lang2057\langfe2057\cgrid\langnp2057\langfenp2057 {\rtlch\fcs1 \af0 _x000d__x000a_\ltrch\fcs0 \insrsid7630550 \chftnsepc _x000d__x000a_\par }}{\*\aftnsep \ltrpar \pard\plain \ltrpar\ql \li0\ri0\widctlpar\wrapdefault\aspalpha\aspnum\faauto\adjustright\rin0\lin0\itap0 \rtlch\fcs1 \af0\afs20\alang1025 \ltrch\fcs0 \fs24\lang2057\langfe2057\cgrid\langnp2057\langfenp2057 {\rtlch\fcs1 \af0 _x000d__x000a_\ltrch\fcs0 \insrsid7630550 \chftnsep _x000d__x000a_\par }}{\*\aftnsepc \ltrpar \pard\plain \ltrpar\ql \li0\ri0\widctlpar\wrapdefault\aspalpha\aspnum\faauto\adjustright\rin0\lin0\itap0 \rtlch\fcs1 \af0\afs20\alang1025 \ltrch\fcs0 \fs24\lang2057\langfe2057\cgrid\langnp2057\langfenp2057 {\rtlch\fcs1 \af0 _x000d__x000a_\ltrch\fcs0 \insrsid7630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0224786 \rtlch\fcs1 \af0\afs20\alang1025 \ltrch\fcs0 \fs24\lang1029\langfe2057\cgrid\langnp1029\langfenp2057 {\rtlch\fcs1 \af0 _x000d__x000a_\ltrch\fcs0 \insrsid10224786\charrsid1847442 {\*\bkmkstart restart}#}{\rtlch\fcs1 \af1 \ltrch\fcs0 \cs17\v\f1\fs20\cf15\insrsid10224786\charrsid1847442 NRMSG}{\rtlch\fcs1 \af0 \ltrch\fcs0 \insrsid10224786\charrsid1847442 #\tab ##}{\rtlch\fcs1 \af0 _x000d__x000a_\ltrch\fcs0 \insrsid1022478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7218c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423716 NormalHanging12a;}}{\*\rsidtbl \rsid24658\rsid223860\rsid735077\rsid1718133\rsid2892074\rsid3475845\rsid3565327\rsid4666813\rsid6423716\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VYROUBALOVA Jana}{\operator VYROUBALOVA Jana}{\creatim\yr2024\mo1\dy29\hr16\min59}{\revtim\yr2024\mo1\dy29\hr16\min59}{\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23716\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3475845 \chftnsep _x000d__x000a_\par }}{\*\ftnsepc \ltrpar \pard\plain \ltrpar\ql \li0\ri0\widctlpar\wrapdefault\aspalpha\aspnum\faauto\adjustright\rin0\lin0\itap0 \rtlch\fcs1 \af0\afs20\alang1025 \ltrch\fcs0 \fs24\lang2057\langfe2057\cgrid\langnp2057\langfenp2057 {\rtlch\fcs1 \af0 _x000d__x000a_\ltrch\fcs0 \insrsid3475845 \chftnsepc _x000d__x000a_\par }}{\*\aftnsep \ltrpar \pard\plain \ltrpar\ql \li0\ri0\widctlpar\wrapdefault\aspalpha\aspnum\faauto\adjustright\rin0\lin0\itap0 \rtlch\fcs1 \af0\afs20\alang1025 \ltrch\fcs0 \fs24\lang2057\langfe2057\cgrid\langnp2057\langfenp2057 {\rtlch\fcs1 \af0 _x000d__x000a_\ltrch\fcs0 \insrsid3475845 \chftnsep _x000d__x000a_\par }}{\*\aftnsepc \ltrpar \pard\plain \ltrpar\ql \li0\ri0\widctlpar\wrapdefault\aspalpha\aspnum\faauto\adjustright\rin0\lin0\itap0 \rtlch\fcs1 \af0\afs20\alang1025 \ltrch\fcs0 \fs24\lang2057\langfe2057\cgrid\langnp2057\langfenp2057 {\rtlch\fcs1 \af0 _x000d__x000a_\ltrch\fcs0 \insrsid347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423716 \rtlch\fcs1 \af0\afs20\alang1025 \ltrch\fcs0 \fs24\lang2057\langfe2057\cgrid\langnp2057\langfenp2057 {\rtlch\fcs1 \af0 _x000d__x000a_\ltrch\fcs0 \insrsid6423716\charrsid1525456 {\*\bkmkstart restart}[ZSUGGESTIONNR]\tab [ZSUGGESTIONTEXT]}{\rtlch\fcs1 \af0 \ltrch\fcs0 \insrsid642371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f_x000d__x000a_d61dc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CS"/>
    <w:docVar w:name="TXTLANGUEMIN" w:val="cs"/>
    <w:docVar w:name="TXTNRPE" w:val="756.203"/>
    <w:docVar w:name="TXTNRPROC" w:val="2023/2172"/>
    <w:docVar w:name="TXTPEorAP" w:val="PE"/>
    <w:docVar w:name="TXTROUTE" w:val="AD\1294537CS.docx"/>
    <w:docVar w:name="TXTVERSION" w:val="02-00"/>
  </w:docVars>
  <w:rsids>
    <w:rsidRoot w:val="001C3092"/>
    <w:rsid w:val="000E7EBF"/>
    <w:rsid w:val="00124F60"/>
    <w:rsid w:val="00135121"/>
    <w:rsid w:val="00140BE6"/>
    <w:rsid w:val="00147F4E"/>
    <w:rsid w:val="00147FBF"/>
    <w:rsid w:val="0016635E"/>
    <w:rsid w:val="001746D0"/>
    <w:rsid w:val="001B7393"/>
    <w:rsid w:val="001C3092"/>
    <w:rsid w:val="001D2ED9"/>
    <w:rsid w:val="001D6C87"/>
    <w:rsid w:val="001F21C1"/>
    <w:rsid w:val="00207509"/>
    <w:rsid w:val="00253BD1"/>
    <w:rsid w:val="002671D5"/>
    <w:rsid w:val="002C150C"/>
    <w:rsid w:val="002D28A7"/>
    <w:rsid w:val="002E2F2E"/>
    <w:rsid w:val="002E6F98"/>
    <w:rsid w:val="00325BCB"/>
    <w:rsid w:val="00331944"/>
    <w:rsid w:val="00332AD9"/>
    <w:rsid w:val="00347D2C"/>
    <w:rsid w:val="003648E6"/>
    <w:rsid w:val="0037356F"/>
    <w:rsid w:val="003858C5"/>
    <w:rsid w:val="00390EB2"/>
    <w:rsid w:val="00396A0E"/>
    <w:rsid w:val="003E2402"/>
    <w:rsid w:val="004C28FB"/>
    <w:rsid w:val="004C44C0"/>
    <w:rsid w:val="005019E0"/>
    <w:rsid w:val="00517BD2"/>
    <w:rsid w:val="0052544E"/>
    <w:rsid w:val="005571B8"/>
    <w:rsid w:val="005940C3"/>
    <w:rsid w:val="00594C48"/>
    <w:rsid w:val="005B2F11"/>
    <w:rsid w:val="005C0BDF"/>
    <w:rsid w:val="005D60C6"/>
    <w:rsid w:val="006102E7"/>
    <w:rsid w:val="00640C1B"/>
    <w:rsid w:val="00655BD0"/>
    <w:rsid w:val="00657AFB"/>
    <w:rsid w:val="006D5BF7"/>
    <w:rsid w:val="00737145"/>
    <w:rsid w:val="008313E7"/>
    <w:rsid w:val="00854CAC"/>
    <w:rsid w:val="008A32C5"/>
    <w:rsid w:val="008C6203"/>
    <w:rsid w:val="008D61E7"/>
    <w:rsid w:val="008F7002"/>
    <w:rsid w:val="00961DCE"/>
    <w:rsid w:val="0099178F"/>
    <w:rsid w:val="0099493F"/>
    <w:rsid w:val="00A16BEA"/>
    <w:rsid w:val="00A312B3"/>
    <w:rsid w:val="00A72C35"/>
    <w:rsid w:val="00AB28DA"/>
    <w:rsid w:val="00AB59B1"/>
    <w:rsid w:val="00AE180F"/>
    <w:rsid w:val="00B16655"/>
    <w:rsid w:val="00B362F7"/>
    <w:rsid w:val="00B5456B"/>
    <w:rsid w:val="00B735E3"/>
    <w:rsid w:val="00B74B53"/>
    <w:rsid w:val="00BC26E4"/>
    <w:rsid w:val="00BD1EAA"/>
    <w:rsid w:val="00C36610"/>
    <w:rsid w:val="00C52739"/>
    <w:rsid w:val="00C558AB"/>
    <w:rsid w:val="00C827FF"/>
    <w:rsid w:val="00C85D0F"/>
    <w:rsid w:val="00CD34AC"/>
    <w:rsid w:val="00D73212"/>
    <w:rsid w:val="00DB42CB"/>
    <w:rsid w:val="00DE19FF"/>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48221"/>
  <w15:chartTrackingRefBased/>
  <w15:docId w15:val="{75AC5B3E-BFFE-4A12-9200-52139BCF0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671D5"/>
    <w:pPr>
      <w:tabs>
        <w:tab w:val="center" w:pos="4513"/>
        <w:tab w:val="right" w:pos="9026"/>
      </w:tabs>
    </w:pPr>
  </w:style>
  <w:style w:type="character" w:customStyle="1" w:styleId="FooterChar">
    <w:name w:val="Footer Char"/>
    <w:basedOn w:val="DefaultParagraphFont"/>
    <w:link w:val="Footer"/>
    <w:semiHidden/>
    <w:rsid w:val="002671D5"/>
    <w:rPr>
      <w:sz w:val="24"/>
      <w:lang w:val="cs-CZ"/>
    </w:rPr>
  </w:style>
  <w:style w:type="paragraph" w:customStyle="1" w:styleId="Normal24a">
    <w:name w:val="Normal24a"/>
    <w:basedOn w:val="Normal"/>
    <w:rsid w:val="00253BD1"/>
    <w:pPr>
      <w:spacing w:after="480"/>
    </w:pPr>
  </w:style>
  <w:style w:type="paragraph" w:customStyle="1" w:styleId="NormalBoldCenter">
    <w:name w:val="NormalBoldCenter"/>
    <w:basedOn w:val="Normal"/>
    <w:rsid w:val="00253BD1"/>
    <w:pPr>
      <w:jc w:val="center"/>
    </w:pPr>
    <w:rPr>
      <w:b/>
    </w:rPr>
  </w:style>
  <w:style w:type="paragraph" w:customStyle="1" w:styleId="RollCallSymbols14pt">
    <w:name w:val="RollCallSymbols14pt"/>
    <w:basedOn w:val="Normal"/>
    <w:rsid w:val="00253BD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53BD1"/>
    <w:pPr>
      <w:tabs>
        <w:tab w:val="center" w:pos="284"/>
        <w:tab w:val="left" w:pos="426"/>
      </w:tabs>
    </w:pPr>
    <w:rPr>
      <w:snapToGrid w:val="0"/>
      <w:lang w:eastAsia="en-US"/>
    </w:rPr>
  </w:style>
  <w:style w:type="paragraph" w:customStyle="1" w:styleId="RollCallVotes">
    <w:name w:val="RollCallVotes"/>
    <w:basedOn w:val="Normal"/>
    <w:rsid w:val="00253BD1"/>
    <w:pPr>
      <w:spacing w:before="120" w:after="120"/>
      <w:jc w:val="center"/>
    </w:pPr>
    <w:rPr>
      <w:b/>
      <w:bCs/>
      <w:snapToGrid w:val="0"/>
      <w:sz w:val="16"/>
      <w:lang w:eastAsia="en-US"/>
    </w:rPr>
  </w:style>
  <w:style w:type="paragraph" w:customStyle="1" w:styleId="RollCallTable">
    <w:name w:val="RollCallTable"/>
    <w:basedOn w:val="Normal"/>
    <w:rsid w:val="00253BD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2166</Words>
  <Characters>12935</Characters>
  <Application>Microsoft Office Word</Application>
  <DocSecurity>0</DocSecurity>
  <Lines>267</Lines>
  <Paragraphs>85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2024-02-08T09:41:00Z</dcterms:created>
  <dcterms:modified xsi:type="dcterms:W3CDTF">2024-02-08T09:41:00Z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1294537</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\\eiciBRUpr1\pdocep$\DocEP\TRANSFIL\CS\PA_NonLeg.CS(18/09/2023 10:08:00)</vt:lpwstr>
  </property>
  <property fmtid="{D5CDD505-2E9C-101B-9397-08002B2CF9AE}" pid="7" name="&lt;Type&gt;">
    <vt:lpwstr>AD</vt:lpwstr>
  </property>
  <property fmtid="{D5CDD505-2E9C-101B-9397-08002B2CF9AE}" pid="8" name="Bookout">
    <vt:lpwstr>OK - 2024/02/08 10:41</vt:lpwstr>
  </property>
  <property fmtid="{D5CDD505-2E9C-101B-9397-08002B2CF9AE}" pid="9" name="Created with">
    <vt:lpwstr>9.16.1 Build [20230915]</vt:lpwstr>
  </property>
  <property fmtid="{D5CDD505-2E9C-101B-9397-08002B2CF9AE}" pid="10" name="FooterPath">
    <vt:lpwstr>AD\1294537CS.docx</vt:lpwstr>
  </property>
  <property fmtid="{D5CDD505-2E9C-101B-9397-08002B2CF9AE}" pid="11" name="LastEdited with">
    <vt:lpwstr>9.17.1 Build [20240111]</vt:lpwstr>
  </property>
  <property fmtid="{D5CDD505-2E9C-101B-9397-08002B2CF9AE}" pid="12" name="PE number">
    <vt:lpwstr>756.203</vt:lpwstr>
  </property>
  <property fmtid="{D5CDD505-2E9C-101B-9397-08002B2CF9AE}" pid="13" name="SDLStudio">
    <vt:lpwstr/>
  </property>
</Properties>
</file>