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08032C" w:rsidTr="00C85D0F">
        <w:trPr>
          <w:trHeight w:hRule="exact" w:val="1418"/>
        </w:trPr>
        <w:tc>
          <w:tcPr>
            <w:tcW w:w="6804" w:type="dxa"/>
            <w:shd w:val="clear" w:color="auto" w:fill="auto"/>
            <w:vAlign w:val="center"/>
          </w:tcPr>
          <w:p w:rsidR="00854CAC" w:rsidRPr="0008032C" w:rsidRDefault="000211EB" w:rsidP="00C85D0F">
            <w:pPr>
              <w:pStyle w:val="EPName"/>
            </w:pPr>
            <w:r>
              <w:t>Evropský parlament</w:t>
            </w:r>
          </w:p>
          <w:p w:rsidR="00854CAC" w:rsidRPr="0008032C" w:rsidRDefault="00CA4A6C" w:rsidP="00CA4A6C">
            <w:pPr>
              <w:pStyle w:val="EPTerm"/>
            </w:pPr>
            <w:r>
              <w:t>2019-2024</w:t>
            </w:r>
          </w:p>
        </w:tc>
        <w:tc>
          <w:tcPr>
            <w:tcW w:w="2268" w:type="dxa"/>
            <w:shd w:val="clear" w:color="auto" w:fill="auto"/>
          </w:tcPr>
          <w:p w:rsidR="00854CAC" w:rsidRPr="0008032C" w:rsidRDefault="00854CAC" w:rsidP="00C85D0F">
            <w:pPr>
              <w:pStyle w:val="EPLogo"/>
            </w:pPr>
            <w:r w:rsidRPr="0008032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08032C" w:rsidRDefault="001746D0" w:rsidP="001746D0">
      <w:pPr>
        <w:pStyle w:val="LineTop"/>
      </w:pPr>
    </w:p>
    <w:p w:rsidR="001746D0" w:rsidRPr="0008032C"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1746D0" w:rsidRPr="0008032C" w:rsidRDefault="001746D0" w:rsidP="001746D0">
      <w:pPr>
        <w:pStyle w:val="LineBottom"/>
      </w:pPr>
    </w:p>
    <w:p w:rsidR="002E2F2E" w:rsidRPr="0008032C" w:rsidRDefault="002E2F2E">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08032C" w:rsidRDefault="002E2F2E">
      <w:pPr>
        <w:pStyle w:val="CoverDate"/>
      </w:pPr>
      <w:r>
        <w:rPr>
          <w:rStyle w:val="HideTWBExt"/>
        </w:rPr>
        <w:t>&lt;Date&gt;</w:t>
      </w:r>
      <w:r>
        <w:rPr>
          <w:rStyle w:val="HideTWBInt"/>
        </w:rPr>
        <w:t>{24/01/2024}</w:t>
      </w:r>
      <w:r>
        <w:t>24.1.2024</w:t>
      </w:r>
      <w:r>
        <w:rPr>
          <w:rStyle w:val="HideTWBExt"/>
        </w:rPr>
        <w:t>&lt;/Date&gt;</w:t>
      </w:r>
    </w:p>
    <w:p w:rsidR="002E2F2E" w:rsidRPr="0008032C" w:rsidRDefault="002E2F2E">
      <w:pPr>
        <w:pStyle w:val="CoverDocType24a"/>
      </w:pPr>
      <w:r>
        <w:rPr>
          <w:rStyle w:val="HideTWBExt"/>
          <w:b w:val="0"/>
        </w:rPr>
        <w:t>&lt;TitreType&gt;</w:t>
      </w:r>
      <w:r>
        <w:t>STANOVISKO</w:t>
      </w:r>
      <w:r>
        <w:rPr>
          <w:rStyle w:val="HideTWBExt"/>
          <w:b w:val="0"/>
        </w:rPr>
        <w:t>&lt;/TitreType&gt;</w:t>
      </w:r>
    </w:p>
    <w:p w:rsidR="002E2F2E" w:rsidRPr="0008032C" w:rsidRDefault="002E2F2E">
      <w:pPr>
        <w:pStyle w:val="CoverNormal24a"/>
      </w:pPr>
      <w:r>
        <w:rPr>
          <w:rStyle w:val="HideTWBExt"/>
        </w:rPr>
        <w:t>&lt;CommissionResp&gt;</w:t>
      </w:r>
      <w:r>
        <w:t>Výboru pro občanské svobody, spravedlnost a vnitřní věci</w:t>
      </w:r>
      <w:r>
        <w:rPr>
          <w:rStyle w:val="HideTWBExt"/>
        </w:rPr>
        <w:t>&lt;/CommissionResp&gt;</w:t>
      </w:r>
    </w:p>
    <w:p w:rsidR="002E2F2E" w:rsidRPr="0008032C" w:rsidRDefault="002E2F2E">
      <w:pPr>
        <w:pStyle w:val="CoverNormal24a"/>
      </w:pPr>
      <w:r>
        <w:rPr>
          <w:rStyle w:val="HideTWBExt"/>
        </w:rPr>
        <w:t>&lt;CommissionInt&gt;</w:t>
      </w:r>
      <w:r>
        <w:t>pro Výbor pro rozpočtovou kontrolu</w:t>
      </w:r>
      <w:r>
        <w:rPr>
          <w:rStyle w:val="HideTWBExt"/>
        </w:rPr>
        <w:t>&lt;/CommissionInt&gt;</w:t>
      </w:r>
    </w:p>
    <w:p w:rsidR="002E2F2E" w:rsidRPr="0008032C" w:rsidRDefault="00CA4A6C">
      <w:pPr>
        <w:pStyle w:val="CoverNormal"/>
      </w:pPr>
      <w:r>
        <w:rPr>
          <w:rStyle w:val="HideTWBExt"/>
        </w:rPr>
        <w:t>&lt;Titre&gt;</w:t>
      </w:r>
      <w:r>
        <w:t>o udělení absolutoria za plnění souhrnného rozpočtu Evropské unie na rozpočtový rok 2021, oddíl III – Komise</w:t>
      </w:r>
      <w:r>
        <w:rPr>
          <w:rStyle w:val="HideTWBExt"/>
        </w:rPr>
        <w:t>&lt;/Titre&gt;</w:t>
      </w:r>
    </w:p>
    <w:p w:rsidR="002E2F2E" w:rsidRPr="0008032C" w:rsidRDefault="002E2F2E">
      <w:pPr>
        <w:pStyle w:val="CoverNormal24a"/>
      </w:pPr>
      <w:r>
        <w:rPr>
          <w:rStyle w:val="HideTWBExt"/>
        </w:rPr>
        <w:t>&lt;DocRef&gt;</w:t>
      </w:r>
      <w:r>
        <w:t>(2023/2129(DEC))</w:t>
      </w:r>
      <w:r>
        <w:rPr>
          <w:rStyle w:val="HideTWBExt"/>
        </w:rPr>
        <w:t>&lt;/DocRef&gt;</w:t>
      </w:r>
    </w:p>
    <w:p w:rsidR="002E2F2E" w:rsidRPr="0008032C" w:rsidRDefault="00CA4A6C">
      <w:pPr>
        <w:pStyle w:val="CoverNormal24a"/>
      </w:pPr>
      <w:r>
        <w:t xml:space="preserve">Zpravodaj: </w:t>
      </w:r>
      <w:r>
        <w:rPr>
          <w:rStyle w:val="HideTWBExt"/>
        </w:rPr>
        <w:t>&lt;Depute&gt;</w:t>
      </w:r>
      <w:r>
        <w:t>Tomáš Zdechovský</w:t>
      </w:r>
      <w:r>
        <w:rPr>
          <w:rStyle w:val="HideTWBExt"/>
        </w:rPr>
        <w:t>&lt;/Depute&gt;</w:t>
      </w:r>
    </w:p>
    <w:p w:rsidR="00A72C35" w:rsidRPr="0008032C" w:rsidRDefault="00A72C35" w:rsidP="00A72C35">
      <w:pPr>
        <w:pStyle w:val="CoverNormal"/>
      </w:pPr>
    </w:p>
    <w:p w:rsidR="002E2F2E" w:rsidRPr="0008032C" w:rsidRDefault="002E2F2E" w:rsidP="00E856D2">
      <w:pPr>
        <w:widowControl/>
        <w:tabs>
          <w:tab w:val="center" w:pos="4677"/>
        </w:tabs>
      </w:pPr>
      <w:r>
        <w:br w:type="page"/>
      </w:r>
      <w:r>
        <w:lastRenderedPageBreak/>
        <w:t>PA_NonLeg</w:t>
      </w:r>
    </w:p>
    <w:p w:rsidR="002E2F2E" w:rsidRPr="0008032C" w:rsidRDefault="002E2F2E">
      <w:pPr>
        <w:pStyle w:val="PageHeadingNotTOC"/>
      </w:pPr>
      <w:r>
        <w:br w:type="page"/>
      </w:r>
      <w:r>
        <w:lastRenderedPageBreak/>
        <w:t>NÁVRHY</w:t>
      </w:r>
    </w:p>
    <w:p w:rsidR="00CA4A6C" w:rsidRPr="0008032C" w:rsidRDefault="000211EB" w:rsidP="00CA4A6C">
      <w:pPr>
        <w:pStyle w:val="Normal12a"/>
      </w:pPr>
      <w:r>
        <w:t>Výbor pro občanské svobody, spravedlnost a vnitřní věci vyzývá Výbor pro rozpočtovou kontrolu jako příslušný výbor, aby do návrhu usnesení, který přijme, začlenil tyto návrhy:</w:t>
      </w:r>
    </w:p>
    <w:p w:rsidR="0008032C" w:rsidRPr="0008032C" w:rsidRDefault="0008032C" w:rsidP="0008032C">
      <w:pPr>
        <w:spacing w:after="240"/>
        <w:ind w:left="567" w:hanging="567"/>
      </w:pPr>
      <w:bookmarkStart w:id="0" w:name="restart"/>
      <w:r>
        <w:t>1.</w:t>
      </w:r>
      <w:r>
        <w:tab/>
        <w:t xml:space="preserve">bere na vědomí, že Účetní dvůr provedl audit v oblastech výdajů, které zahrnují různé politiky související s migrací a správou hranic (okruh 4) a bezpečností a obranou (okruh 5); </w:t>
      </w:r>
    </w:p>
    <w:p w:rsidR="0008032C" w:rsidRPr="0008032C" w:rsidRDefault="0008032C" w:rsidP="0008032C">
      <w:pPr>
        <w:spacing w:after="240"/>
        <w:ind w:left="567" w:hanging="567"/>
      </w:pPr>
      <w:r>
        <w:t>2.</w:t>
      </w:r>
      <w:r>
        <w:tab/>
        <w:t>konstatuje, že u kontrolovaných výdajových oblastí souvisejících s migrací a správou hranic a politikami na poli bezpečnosti a obrany prověřoval Účetní dvůr vzorek 23 operací v rámci okruhů 4 a 5 VFR; bere na vědomí vysvětlení Účetního dvora, že rozsah auditu nebyl koncipován tak, aby byl pro tyto okruhy reprezentativní, nicméně přispěl k vydání prohlášení o věrohodnosti; opakuje výzvu Parlamentu, aby audit provedl způsobem, který by umožnil výpočet odhadované míry chyb;</w:t>
      </w:r>
    </w:p>
    <w:p w:rsidR="0008032C" w:rsidRPr="0008032C" w:rsidRDefault="0008032C" w:rsidP="0008032C">
      <w:pPr>
        <w:spacing w:after="240"/>
        <w:ind w:left="567" w:hanging="567"/>
      </w:pPr>
      <w:r>
        <w:t>3.</w:t>
      </w:r>
      <w:r>
        <w:tab/>
        <w:t xml:space="preserve">se znepokojením bere na vědomí, že 11 z 23 operací, které Účetní dvůr zkoumal, vykázalo vyčíslitelné chyby, které měly finanční dopad na částky vydané z rozpočtu Unie; zdůrazňuje, že takové případy mohou mít negativní dopad na dobrou pověst; </w:t>
      </w:r>
    </w:p>
    <w:p w:rsidR="0008032C" w:rsidRPr="0008032C" w:rsidRDefault="0008032C" w:rsidP="0008032C">
      <w:pPr>
        <w:spacing w:after="240"/>
        <w:ind w:left="567" w:hanging="567"/>
      </w:pPr>
      <w:r>
        <w:t>4.</w:t>
      </w:r>
      <w:r>
        <w:tab/>
        <w:t>konstatuje, že v roce 2022 členské státy zlepšily míru plnění svých národních programů. je znepokojen tím, že v případě Azylového, migračního a integračního fondu (AMIF) (26 %) a Fondu pro vnitřní bezpečnost (ISF) (33 %) stále nebyly vyplaceny značné částky, přičemž uznává, že finanční prostředky na období 2014–2020 musí být vynaloženy do června 2024;  naléhavě vyzývá Komisi, aby byla více nápomocna členským státům při účinném provádění jejich příslušných vnitrostátních programů;</w:t>
      </w:r>
    </w:p>
    <w:p w:rsidR="0008032C" w:rsidRPr="0008032C" w:rsidRDefault="0008032C" w:rsidP="0008032C">
      <w:pPr>
        <w:spacing w:after="240"/>
        <w:ind w:left="567" w:hanging="567"/>
      </w:pPr>
      <w:r>
        <w:t>5.</w:t>
      </w:r>
      <w:r>
        <w:tab/>
        <w:t>konstatuje, že Komise jakožto strážkyně Smluv plně nevyužila svých výsad k zajištění toho, aby byly Rumunsko a Bulharsko přijaty do schengenského prostoru, a to navzdory skutečnosti, že obě země od roku 2011 splňují všechny podmínky pro plné členství v</w:t>
      </w:r>
      <w:r w:rsidR="002835E0">
        <w:t> </w:t>
      </w:r>
      <w:r>
        <w:t>schengenském prostoru;</w:t>
      </w:r>
    </w:p>
    <w:p w:rsidR="0008032C" w:rsidRPr="0008032C" w:rsidRDefault="0008032C" w:rsidP="0008032C">
      <w:pPr>
        <w:spacing w:after="240"/>
        <w:ind w:left="567" w:hanging="567"/>
      </w:pPr>
      <w:r>
        <w:t>6.</w:t>
      </w:r>
      <w:r>
        <w:tab/>
        <w:t>vyjadřuje politování nad tím, že Komise poskytuje Parlamentu často jen velmi omezené informace o provádění právních předpisů EU; vyzývá Komisi, aby tyto statistiky zveřejňovala aktivněji, aby dokázala, že dotčené politiky jsou nutné a přiměřené pro dosažení svých cílů;</w:t>
      </w:r>
    </w:p>
    <w:bookmarkEnd w:id="0"/>
    <w:p w:rsidR="0008032C" w:rsidRPr="0008032C" w:rsidRDefault="0008032C" w:rsidP="0008032C">
      <w:pPr>
        <w:spacing w:after="240"/>
        <w:ind w:left="567" w:hanging="567"/>
      </w:pPr>
      <w:r>
        <w:t>7.</w:t>
      </w:r>
      <w:r>
        <w:tab/>
        <w:t xml:space="preserve">bere na vědomí opatření GŘ HOME přijatá bezprostředně po ruské agresi, zejména včasné vypracování rozhodnutí o první aktivaci směrnice o dočasné ochraně; </w:t>
      </w:r>
    </w:p>
    <w:p w:rsidR="0008032C" w:rsidRPr="0008032C" w:rsidRDefault="0008032C" w:rsidP="0008032C">
      <w:pPr>
        <w:spacing w:after="240"/>
        <w:ind w:left="567" w:hanging="567"/>
      </w:pPr>
      <w:r>
        <w:t>8.</w:t>
      </w:r>
      <w:r>
        <w:tab/>
        <w:t>konstatuje, že počet osob bez dokladů na vnějších hranicích ve srovnání s předchozím rokem stále roste; bere na vědomí opatření GŘ HOME k vytvoření partnerství v rámci boje proti sítím obchodníků s lidmi s cílem podpořit členské státy při provádění relokací a dalších mechanismů přemísťování a při zlepšování rychlých a účinných azylových a</w:t>
      </w:r>
      <w:r w:rsidR="002835E0">
        <w:t> </w:t>
      </w:r>
      <w:r>
        <w:t xml:space="preserve">návratových řízení, jako jsou řízení týkající se vízové politiky a dvoustranné spolupráce v EU, a rovněž opatření na podporu strategií pro integraci legálně pobývajících státních příslušníků třetích zemí; vyzývá Komisi, aby pokračovala v práci na strategii pro účinnější navracení osob přicházejících do EU, která bude v plném </w:t>
      </w:r>
      <w:r>
        <w:lastRenderedPageBreak/>
        <w:t>souladu s Listinou základních práv a lidskými právy; dále vyzývá Komisi, aby pokračovala v rozšiřování své vnější spolupráce v oblasti migrace a azylu s náležitým ohledem na článek 218 SFEU a aby prosazovala strategie pro integraci legálně pobývajících státních příslušníků třetích zemí, a to s podporou fondu AMIF;</w:t>
      </w:r>
    </w:p>
    <w:p w:rsidR="0008032C" w:rsidRPr="0008032C" w:rsidRDefault="0008032C" w:rsidP="0008032C">
      <w:pPr>
        <w:spacing w:after="240"/>
        <w:ind w:left="567" w:hanging="567"/>
      </w:pPr>
      <w:r>
        <w:t>9.</w:t>
      </w:r>
      <w:r>
        <w:tab/>
        <w:t>naléhavě vyzývá Komisi, aby zvýšila transparentnost a odpovědnost za plánování a</w:t>
      </w:r>
      <w:r w:rsidR="002835E0">
        <w:t> </w:t>
      </w:r>
      <w:r>
        <w:t>provádění fondů v oblasti vnitřních věcí ve třetích zemích a financování nástroje NDICI, například v zemích, jako je Tunisko a Libye; vyzývá Komisi, aby vytvořila veřejně dostupný přehled všech výdajů souvisejících s migrací ve třetích zemích, a</w:t>
      </w:r>
      <w:r w:rsidR="002835E0">
        <w:t> </w:t>
      </w:r>
      <w:r>
        <w:t>naléhavě ji žádá, aby vypracovávala předběžná posouzení dopadu výdajů na migraci ve třetích zemích na lidská práva a aby tato hodnocení sdílela s Parlamentem, vyžadují-li to příslušná pravidla;</w:t>
      </w:r>
    </w:p>
    <w:p w:rsidR="0008032C" w:rsidRPr="0008032C" w:rsidRDefault="0008032C" w:rsidP="0008032C">
      <w:pPr>
        <w:pStyle w:val="NormalHanging12a"/>
      </w:pPr>
      <w:r>
        <w:t>10.</w:t>
      </w:r>
      <w:r>
        <w:rPr>
          <w:b/>
          <w:i/>
        </w:rPr>
        <w:tab/>
      </w:r>
      <w:r>
        <w:t>bere na vědomí skutečnost, že GŘ JUST i nadále podporuje politiku Komise v oblasti prosazování právního státu v Unii, zejména prostřednictvím ročního vydání srovnávacího přehledu o soudnictví a třetí výroční zprávy o právním státu, které poprvé obsahovaly doporučení určená členským státům; vybízí Komisi, aby pečlivě sledovala účinnost opatření přijímaných v návaznosti na doporučení poskytnutá dotčeným členským státům a aby přijala opatření, nebudou-li na vnitrostátní úrovni provedeny odpovídající kroky k řešení stávajících problémů;</w:t>
      </w:r>
    </w:p>
    <w:p w:rsidR="0008032C" w:rsidRPr="0008032C" w:rsidRDefault="0008032C" w:rsidP="0008032C">
      <w:pPr>
        <w:pStyle w:val="NormalHanging12a"/>
      </w:pPr>
      <w:r>
        <w:t>11.</w:t>
      </w:r>
      <w:r>
        <w:tab/>
        <w:t>se znepokojením bere na vědomí zvláštní zprávu evropské veřejné ochránkyně práv týkající se doby, kterou Komise potřebuje k vyřízení žádostí o přístup veřejnosti k</w:t>
      </w:r>
      <w:r w:rsidR="002835E0">
        <w:t> </w:t>
      </w:r>
      <w:r>
        <w:t>dokumentům, v níž se uvádí, že v 85 % případů se Komise nezabývá potvrzujícími žádostmi v zákonných lhůtách; vyzývá Komisi, aby se touto záležitostí urychleně zabývala a dodržovala nařízení 1049/2001 o přístupu veřejnosti k dokumentům, což je klíčovým předpokladem transparentnosti a důvěry veřejnosti v Komisi; připomíná, že v</w:t>
      </w:r>
      <w:r w:rsidR="002835E0">
        <w:t> </w:t>
      </w:r>
      <w:r>
        <w:t>roce 2022 veřejná ochránkyně práv naléhavě vyzvala Komisi, aby k žádostem o přístup k dokumentům týkajícím se fondů EU na podporu oživení přistupovala důsledněji a aby lépe vysvětlila své důvody, pokud se rozhodne požadované informace nezpřístupnit</w:t>
      </w:r>
      <w:r w:rsidRPr="0008032C">
        <w:rPr>
          <w:rStyle w:val="FootnoteReference"/>
        </w:rPr>
        <w:footnoteReference w:id="1"/>
      </w:r>
      <w:r>
        <w:t>, a že zahájila šetření týkající se odmítnutí Komise poskytnout veřejnosti přístup k dokumentům souvisejícím s návrhem nařízení o evropském prostoru pro zdravotní data</w:t>
      </w:r>
      <w:r w:rsidRPr="0008032C">
        <w:rPr>
          <w:rStyle w:val="FootnoteReference"/>
        </w:rPr>
        <w:footnoteReference w:id="2"/>
      </w:r>
      <w:r>
        <w:t>;</w:t>
      </w:r>
    </w:p>
    <w:p w:rsidR="0008032C" w:rsidRPr="0008032C" w:rsidRDefault="0008032C" w:rsidP="0008032C">
      <w:pPr>
        <w:pStyle w:val="NormalHanging12a"/>
        <w:ind w:left="560" w:hanging="560"/>
      </w:pPr>
      <w:r>
        <w:t>12.</w:t>
      </w:r>
      <w:r>
        <w:tab/>
        <w:t>vyjadřuje hluboké politování nad tím, že Komise nepřijala donucovací ani legislativní opatření v návaznosti na doporučení Parlamentu, včetně doporučení Radě a Komisi ze dne 15. června 2023 v návaznosti na vyšetřování údajných porušení a nesprávného úředního postupu při uplatňování práva Unie v souvislosti s používáním špionážního softwaru Pegasus a ekvivalentního špionážního softwaru; vyzývá Komisi, aby dodržovala zásadu loajální spolupráce mezi orgány Unie a plnila povinnosti stanovené v</w:t>
      </w:r>
      <w:r w:rsidR="002835E0">
        <w:t> </w:t>
      </w:r>
      <w:r>
        <w:t>rámcové dohodě a interinstitucionální dohodě o zdokonalení tvorby právních předpisů;</w:t>
      </w:r>
    </w:p>
    <w:p w:rsidR="0008032C" w:rsidRPr="0008032C" w:rsidRDefault="0008032C" w:rsidP="0008032C">
      <w:pPr>
        <w:pStyle w:val="NormalHanging12a"/>
        <w:ind w:left="560" w:hanging="560"/>
      </w:pPr>
      <w:r>
        <w:t>13.</w:t>
      </w:r>
      <w:r>
        <w:tab/>
        <w:t>je hluboce znepokojen odhaleními týkajícími se střetů zájmů, jež se týkají vysoce postavených úředníků Komise, a využíváním reklamní kampaně X související s</w:t>
      </w:r>
      <w:r w:rsidR="002835E0">
        <w:t> </w:t>
      </w:r>
      <w:r>
        <w:t xml:space="preserve">nařízením o pohlavním zneužívání dětí; vyzývá Komisi, aby zveřejnila všechny </w:t>
      </w:r>
      <w:r>
        <w:lastRenderedPageBreak/>
        <w:t>dokumenty požadované Parlamentem a zajistila v této věci plnou transparentnost;</w:t>
      </w:r>
    </w:p>
    <w:p w:rsidR="00620B44" w:rsidRPr="0008032C" w:rsidRDefault="00620B44" w:rsidP="00620B44">
      <w:r>
        <w:br w:type="page"/>
      </w:r>
    </w:p>
    <w:p w:rsidR="00620B44" w:rsidRPr="0008032C" w:rsidRDefault="00620B44" w:rsidP="00620B44">
      <w:pPr>
        <w:pStyle w:val="PageHeadingNotTOC"/>
      </w:pPr>
      <w:bookmarkStart w:id="1" w:name="ProcPageAD"/>
      <w:r>
        <w:lastRenderedPageBreak/>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20B44" w:rsidRPr="000803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0B44" w:rsidRPr="0008032C" w:rsidRDefault="00620B4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20B44" w:rsidRPr="0008032C" w:rsidRDefault="00620B4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rFonts w:ascii="sans-serif" w:hAnsi="sans-serif" w:cs="sans-serif"/>
                <w:color w:val="000000"/>
                <w:szCs w:val="24"/>
              </w:rPr>
            </w:pPr>
          </w:p>
        </w:tc>
      </w:tr>
      <w:tr w:rsidR="00620B44" w:rsidRPr="000803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w:t>
            </w:r>
          </w:p>
          <w:p w:rsidR="00620B44" w:rsidRPr="0008032C" w:rsidRDefault="00620B44">
            <w:pPr>
              <w:autoSpaceDE w:val="0"/>
              <w:autoSpaceDN w:val="0"/>
              <w:adjustRightInd w:val="0"/>
              <w:rPr>
                <w:color w:val="000000"/>
                <w:sz w:val="20"/>
              </w:rPr>
            </w:pPr>
            <w:r>
              <w:rPr>
                <w:color w:val="000000"/>
                <w:sz w:val="20"/>
              </w:rPr>
              <w:t>–:</w:t>
            </w:r>
          </w:p>
          <w:p w:rsidR="00620B44" w:rsidRPr="0008032C" w:rsidRDefault="00620B4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42</w:t>
            </w:r>
          </w:p>
          <w:p w:rsidR="00620B44" w:rsidRPr="0008032C" w:rsidRDefault="00620B44">
            <w:pPr>
              <w:autoSpaceDE w:val="0"/>
              <w:autoSpaceDN w:val="0"/>
              <w:adjustRightInd w:val="0"/>
              <w:rPr>
                <w:color w:val="000000"/>
                <w:sz w:val="20"/>
              </w:rPr>
            </w:pPr>
            <w:r>
              <w:rPr>
                <w:color w:val="000000"/>
                <w:sz w:val="20"/>
              </w:rPr>
              <w:t>13</w:t>
            </w:r>
          </w:p>
          <w:p w:rsidR="00620B44" w:rsidRPr="0008032C" w:rsidRDefault="00620B44">
            <w:pPr>
              <w:autoSpaceDE w:val="0"/>
              <w:autoSpaceDN w:val="0"/>
              <w:adjustRightInd w:val="0"/>
              <w:rPr>
                <w:color w:val="000000"/>
                <w:sz w:val="20"/>
              </w:rPr>
            </w:pPr>
            <w:r>
              <w:rPr>
                <w:color w:val="000000"/>
                <w:sz w:val="20"/>
              </w:rPr>
              <w:t>1</w:t>
            </w:r>
          </w:p>
        </w:tc>
      </w:tr>
      <w:tr w:rsidR="00620B44" w:rsidRPr="0008032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620B44" w:rsidRPr="000803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620B44" w:rsidRPr="0008032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20B44" w:rsidRPr="0008032C" w:rsidRDefault="00620B44">
            <w:pPr>
              <w:autoSpaceDE w:val="0"/>
              <w:autoSpaceDN w:val="0"/>
              <w:adjustRightInd w:val="0"/>
              <w:rPr>
                <w:color w:val="000000"/>
                <w:sz w:val="20"/>
              </w:rPr>
            </w:pPr>
            <w:r>
              <w:rPr>
                <w:color w:val="000000"/>
                <w:sz w:val="20"/>
              </w:rPr>
              <w:t>Andrus Ansip, Hildegard Bentele, Maria da Graça Carvalho, Marisa Matias, Caroline Nagtegaal</w:t>
            </w:r>
          </w:p>
        </w:tc>
      </w:tr>
    </w:tbl>
    <w:p w:rsidR="00620B44" w:rsidRPr="0008032C" w:rsidRDefault="00620B44"/>
    <w:bookmarkEnd w:id="1"/>
    <w:p w:rsidR="0008032C" w:rsidRPr="0008032C" w:rsidRDefault="0008032C">
      <w:pPr>
        <w:widowControl/>
      </w:pPr>
      <w:r>
        <w:br w:type="page"/>
      </w:r>
    </w:p>
    <w:p w:rsidR="0008032C" w:rsidRPr="0008032C" w:rsidRDefault="0008032C" w:rsidP="0008032C">
      <w:pPr>
        <w:jc w:val="center"/>
        <w:outlineLvl w:val="0"/>
        <w:rPr>
          <w:rFonts w:ascii="Arial" w:hAnsi="Arial"/>
          <w:b/>
          <w:caps/>
        </w:rPr>
      </w:pPr>
      <w:bookmarkStart w:id="2" w:name="FootprintPageAD"/>
      <w:r>
        <w:rPr>
          <w:rFonts w:ascii="Arial" w:hAnsi="Arial"/>
          <w:b/>
        </w:rPr>
        <w:t xml:space="preserve">PŘÍLOHA: </w:t>
      </w:r>
      <w:r>
        <w:rPr>
          <w:rFonts w:ascii="Arial" w:hAnsi="Arial"/>
          <w:b/>
          <w:caps/>
        </w:rPr>
        <w:t>SUBJEKTY nebo OSOBY,</w:t>
      </w:r>
    </w:p>
    <w:p w:rsidR="0008032C" w:rsidRPr="0008032C" w:rsidRDefault="0008032C" w:rsidP="0008032C">
      <w:pPr>
        <w:pStyle w:val="PageHeadingNotTOC"/>
        <w:rPr>
          <w:noProof/>
        </w:rPr>
      </w:pPr>
      <w:r>
        <w:rPr>
          <w:caps/>
        </w:rPr>
        <w:t>OD NICHŽ ZPRAVODAJ OBDRŽEL PODNĚTY</w:t>
      </w:r>
    </w:p>
    <w:p w:rsidR="0008032C" w:rsidRPr="0008032C" w:rsidRDefault="0008032C" w:rsidP="0008032C">
      <w:pPr>
        <w:pStyle w:val="Normal24a"/>
      </w:pPr>
      <w:r>
        <w:rPr>
          <w:rStyle w:val="HideTWBExt"/>
        </w:rPr>
        <w:t>&lt;FootprintIntro&gt;</w:t>
      </w:r>
      <w:r>
        <w:rPr>
          <w:sz w:val="22"/>
        </w:rPr>
        <w:t>Zpravodaj prohlašuje na svou výhradní odpovědnost, že neobdržel žádný podnět od subjektu nebo osoby, který musí být uveden v této příloze v souladu s přílohou I čl. 8 jednacího řádu.</w:t>
      </w:r>
      <w:r>
        <w:rPr>
          <w:rStyle w:val="HideTWBExt"/>
        </w:rPr>
        <w:t>&lt;/FootprintIntro&gt;</w:t>
      </w:r>
    </w:p>
    <w:p w:rsidR="0008032C" w:rsidRPr="0008032C" w:rsidRDefault="0008032C" w:rsidP="0008032C"/>
    <w:p w:rsidR="0008032C" w:rsidRPr="0008032C" w:rsidRDefault="0008032C" w:rsidP="0008032C"/>
    <w:bookmarkEnd w:id="2"/>
    <w:p w:rsidR="0008032C" w:rsidRPr="0008032C" w:rsidRDefault="0008032C" w:rsidP="0008032C">
      <w:pPr>
        <w:sectPr w:rsidR="0008032C" w:rsidRPr="0008032C" w:rsidSect="0008032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8032C" w:rsidRPr="0008032C" w:rsidRDefault="0008032C" w:rsidP="0008032C">
      <w:pPr>
        <w:pStyle w:val="PageHeadingNotTOC"/>
      </w:pPr>
      <w:bookmarkStart w:id="3" w:name="RollCallPageAD"/>
      <w:r>
        <w:t xml:space="preserve">JMENOVITÉ KONEČNÉ HLASOVÁNÍ </w:t>
      </w:r>
      <w:r w:rsidR="006216AC">
        <w:br/>
      </w:r>
      <w:r>
        <w:t xml:space="preserve">VE VÝBORU </w:t>
      </w:r>
      <w:bookmarkStart w:id="4" w:name="_GoBack"/>
      <w:bookmarkEnd w:id="4"/>
      <w:r>
        <w:t>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32C" w:rsidRPr="0008032C" w:rsidTr="00DF65BF">
        <w:trPr>
          <w:cantSplit/>
        </w:trPr>
        <w:tc>
          <w:tcPr>
            <w:tcW w:w="1701" w:type="dxa"/>
            <w:shd w:val="pct10" w:color="000000" w:fill="FFFFFF"/>
            <w:vAlign w:val="center"/>
          </w:tcPr>
          <w:p w:rsidR="0008032C" w:rsidRPr="0008032C" w:rsidRDefault="0008032C" w:rsidP="00DF65BF">
            <w:pPr>
              <w:pStyle w:val="RollCallVotes"/>
            </w:pPr>
            <w:r>
              <w:t>42</w:t>
            </w:r>
          </w:p>
        </w:tc>
        <w:tc>
          <w:tcPr>
            <w:tcW w:w="7371" w:type="dxa"/>
            <w:shd w:val="pct10" w:color="000000" w:fill="FFFFFF"/>
          </w:tcPr>
          <w:p w:rsidR="0008032C" w:rsidRPr="0008032C" w:rsidRDefault="0008032C" w:rsidP="00DF65BF">
            <w:pPr>
              <w:pStyle w:val="RollCallSymbols14pt"/>
            </w:pPr>
            <w:r>
              <w:t>+</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PPE</w:t>
            </w:r>
          </w:p>
        </w:tc>
        <w:tc>
          <w:tcPr>
            <w:tcW w:w="7371" w:type="dxa"/>
            <w:shd w:val="clear" w:color="auto" w:fill="FFFFFF"/>
          </w:tcPr>
          <w:p w:rsidR="0008032C" w:rsidRPr="0008032C" w:rsidRDefault="0008032C" w:rsidP="00DF65BF">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Renew</w:t>
            </w:r>
          </w:p>
        </w:tc>
        <w:tc>
          <w:tcPr>
            <w:tcW w:w="7371" w:type="dxa"/>
            <w:shd w:val="clear" w:color="auto" w:fill="FFFFFF"/>
          </w:tcPr>
          <w:p w:rsidR="0008032C" w:rsidRPr="0008032C" w:rsidRDefault="0008032C" w:rsidP="00DF65BF">
            <w:pPr>
              <w:pStyle w:val="RollCallTable"/>
            </w:pPr>
            <w:r>
              <w:t>Abir Al-Sahlani, Andrus Ansip, Lucia Ďuriš Nicholsonová, Sophia in 't Veld, Moritz Körner, Caroline Nagtegaal, Maite Pagazaurtundúa, Bergur Løkke Rasmussen, Róża Thun und Hohenstein, Jana Toom</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S&amp;D</w:t>
            </w:r>
          </w:p>
        </w:tc>
        <w:tc>
          <w:tcPr>
            <w:tcW w:w="7371" w:type="dxa"/>
            <w:shd w:val="clear" w:color="auto" w:fill="FFFFFF"/>
          </w:tcPr>
          <w:p w:rsidR="0008032C" w:rsidRPr="0008032C" w:rsidRDefault="0008032C" w:rsidP="00DF65BF">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Verts/ALE</w:t>
            </w:r>
          </w:p>
        </w:tc>
        <w:tc>
          <w:tcPr>
            <w:tcW w:w="7371" w:type="dxa"/>
            <w:shd w:val="clear" w:color="auto" w:fill="FFFFFF"/>
          </w:tcPr>
          <w:p w:rsidR="0008032C" w:rsidRPr="0008032C" w:rsidRDefault="0008032C" w:rsidP="00DF65BF">
            <w:pPr>
              <w:pStyle w:val="RollCallTable"/>
            </w:pPr>
            <w:r>
              <w:t>Saskia Bricmont, Damien Carême, Alice Kuhnke, Erik Marquardt, Diana Riba i Giner, Tineke Strik</w:t>
            </w:r>
          </w:p>
        </w:tc>
      </w:tr>
    </w:tbl>
    <w:p w:rsidR="0008032C" w:rsidRPr="0008032C" w:rsidRDefault="0008032C" w:rsidP="0008032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32C" w:rsidRPr="0008032C" w:rsidTr="00DF65BF">
        <w:trPr>
          <w:cantSplit/>
        </w:trPr>
        <w:tc>
          <w:tcPr>
            <w:tcW w:w="1701" w:type="dxa"/>
            <w:shd w:val="pct10" w:color="000000" w:fill="FFFFFF"/>
            <w:vAlign w:val="center"/>
          </w:tcPr>
          <w:p w:rsidR="0008032C" w:rsidRPr="0008032C" w:rsidRDefault="0008032C" w:rsidP="00DF65BF">
            <w:pPr>
              <w:pStyle w:val="RollCallVotes"/>
            </w:pPr>
            <w:r>
              <w:t>13</w:t>
            </w:r>
          </w:p>
        </w:tc>
        <w:tc>
          <w:tcPr>
            <w:tcW w:w="7371" w:type="dxa"/>
            <w:shd w:val="pct10" w:color="000000" w:fill="FFFFFF"/>
          </w:tcPr>
          <w:p w:rsidR="0008032C" w:rsidRPr="0008032C" w:rsidRDefault="0008032C" w:rsidP="00DF65BF">
            <w:pPr>
              <w:pStyle w:val="RollCallSymbols14pt"/>
            </w:pPr>
            <w:r>
              <w:t>-</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ECR</w:t>
            </w:r>
          </w:p>
        </w:tc>
        <w:tc>
          <w:tcPr>
            <w:tcW w:w="7371" w:type="dxa"/>
            <w:shd w:val="clear" w:color="auto" w:fill="FFFFFF"/>
          </w:tcPr>
          <w:p w:rsidR="0008032C" w:rsidRPr="0008032C" w:rsidRDefault="0008032C" w:rsidP="00DF65BF">
            <w:pPr>
              <w:pStyle w:val="RollCallTable"/>
            </w:pPr>
            <w:r>
              <w:t>Jorge Buxadé Villalba, Patryk Jaki, Assita Kanko, Beata Kempa, Vincenzo Sofo</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ID</w:t>
            </w:r>
          </w:p>
        </w:tc>
        <w:tc>
          <w:tcPr>
            <w:tcW w:w="7371" w:type="dxa"/>
            <w:shd w:val="clear" w:color="auto" w:fill="FFFFFF"/>
          </w:tcPr>
          <w:p w:rsidR="0008032C" w:rsidRPr="0008032C" w:rsidRDefault="0008032C" w:rsidP="00DF65BF">
            <w:pPr>
              <w:pStyle w:val="RollCallTable"/>
            </w:pPr>
            <w:r>
              <w:t>Patricia Chagnon, Nicolaus Fest, Tom Vandendriessche</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NI</w:t>
            </w:r>
          </w:p>
        </w:tc>
        <w:tc>
          <w:tcPr>
            <w:tcW w:w="7371" w:type="dxa"/>
            <w:shd w:val="clear" w:color="auto" w:fill="FFFFFF"/>
          </w:tcPr>
          <w:p w:rsidR="0008032C" w:rsidRPr="0008032C" w:rsidRDefault="0008032C" w:rsidP="00DF65BF">
            <w:pPr>
              <w:pStyle w:val="RollCallTable"/>
            </w:pPr>
            <w:r>
              <w:t>Milan Uhrík</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The Left</w:t>
            </w:r>
          </w:p>
        </w:tc>
        <w:tc>
          <w:tcPr>
            <w:tcW w:w="7371" w:type="dxa"/>
            <w:shd w:val="clear" w:color="auto" w:fill="FFFFFF"/>
          </w:tcPr>
          <w:p w:rsidR="0008032C" w:rsidRPr="0008032C" w:rsidRDefault="0008032C" w:rsidP="00DF65BF">
            <w:pPr>
              <w:pStyle w:val="RollCallTable"/>
            </w:pPr>
            <w:r>
              <w:t>Cornelia Ernst, José Gusmão, Marisa Matias, Anne-Sophie Pelletier</w:t>
            </w:r>
          </w:p>
        </w:tc>
      </w:tr>
    </w:tbl>
    <w:p w:rsidR="0008032C" w:rsidRPr="0008032C" w:rsidRDefault="0008032C" w:rsidP="0008032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032C" w:rsidRPr="0008032C" w:rsidTr="00DF65BF">
        <w:trPr>
          <w:cantSplit/>
        </w:trPr>
        <w:tc>
          <w:tcPr>
            <w:tcW w:w="1701" w:type="dxa"/>
            <w:shd w:val="pct10" w:color="000000" w:fill="FFFFFF"/>
            <w:vAlign w:val="center"/>
          </w:tcPr>
          <w:p w:rsidR="0008032C" w:rsidRPr="0008032C" w:rsidRDefault="0008032C" w:rsidP="00DF65BF">
            <w:pPr>
              <w:pStyle w:val="RollCallVotes"/>
            </w:pPr>
            <w:r>
              <w:t>1</w:t>
            </w:r>
          </w:p>
        </w:tc>
        <w:tc>
          <w:tcPr>
            <w:tcW w:w="7371" w:type="dxa"/>
            <w:shd w:val="pct10" w:color="000000" w:fill="FFFFFF"/>
          </w:tcPr>
          <w:p w:rsidR="0008032C" w:rsidRPr="0008032C" w:rsidRDefault="0008032C" w:rsidP="00DF65BF">
            <w:pPr>
              <w:pStyle w:val="RollCallSymbols14pt"/>
            </w:pPr>
            <w:r>
              <w:t>0</w:t>
            </w:r>
          </w:p>
        </w:tc>
      </w:tr>
      <w:tr w:rsidR="0008032C" w:rsidRPr="0008032C" w:rsidTr="00DF65BF">
        <w:trPr>
          <w:cantSplit/>
        </w:trPr>
        <w:tc>
          <w:tcPr>
            <w:tcW w:w="1701" w:type="dxa"/>
            <w:shd w:val="clear" w:color="auto" w:fill="FFFFFF"/>
          </w:tcPr>
          <w:p w:rsidR="0008032C" w:rsidRPr="0008032C" w:rsidRDefault="0008032C" w:rsidP="00DF65BF">
            <w:pPr>
              <w:pStyle w:val="RollCallTable"/>
            </w:pPr>
            <w:r>
              <w:t>Verts/ALE</w:t>
            </w:r>
          </w:p>
        </w:tc>
        <w:tc>
          <w:tcPr>
            <w:tcW w:w="7371" w:type="dxa"/>
            <w:shd w:val="clear" w:color="auto" w:fill="FFFFFF"/>
          </w:tcPr>
          <w:p w:rsidR="0008032C" w:rsidRPr="0008032C" w:rsidRDefault="0008032C" w:rsidP="00DF65BF">
            <w:pPr>
              <w:pStyle w:val="RollCallTable"/>
            </w:pPr>
            <w:r>
              <w:t>Patrick Breyer</w:t>
            </w:r>
          </w:p>
        </w:tc>
      </w:tr>
    </w:tbl>
    <w:p w:rsidR="0008032C" w:rsidRPr="0008032C" w:rsidRDefault="0008032C" w:rsidP="0008032C">
      <w:pPr>
        <w:pStyle w:val="Normal12a"/>
      </w:pPr>
    </w:p>
    <w:p w:rsidR="0008032C" w:rsidRPr="0008032C" w:rsidRDefault="0008032C" w:rsidP="0008032C">
      <w:r>
        <w:t>Význam zkratek:</w:t>
      </w:r>
    </w:p>
    <w:p w:rsidR="0008032C" w:rsidRPr="0008032C" w:rsidRDefault="0008032C" w:rsidP="0008032C">
      <w:pPr>
        <w:pStyle w:val="RollCallTabs"/>
      </w:pPr>
      <w:r>
        <w:t>+</w:t>
      </w:r>
      <w:r>
        <w:tab/>
        <w:t>:</w:t>
      </w:r>
      <w:r>
        <w:tab/>
        <w:t>pro</w:t>
      </w:r>
    </w:p>
    <w:p w:rsidR="0008032C" w:rsidRPr="0008032C" w:rsidRDefault="0008032C" w:rsidP="0008032C">
      <w:pPr>
        <w:pStyle w:val="RollCallTabs"/>
      </w:pPr>
      <w:r>
        <w:t>-</w:t>
      </w:r>
      <w:r>
        <w:tab/>
        <w:t>:</w:t>
      </w:r>
      <w:r>
        <w:tab/>
        <w:t>proti</w:t>
      </w:r>
    </w:p>
    <w:p w:rsidR="0008032C" w:rsidRPr="0008032C" w:rsidRDefault="0008032C" w:rsidP="0008032C">
      <w:pPr>
        <w:pStyle w:val="RollCallTabs"/>
      </w:pPr>
      <w:r>
        <w:t>0</w:t>
      </w:r>
      <w:r>
        <w:tab/>
        <w:t>:</w:t>
      </w:r>
      <w:r>
        <w:tab/>
        <w:t>zdrželi se</w:t>
      </w:r>
    </w:p>
    <w:p w:rsidR="0008032C" w:rsidRPr="0008032C" w:rsidRDefault="0008032C" w:rsidP="0008032C"/>
    <w:bookmarkEnd w:id="3"/>
    <w:p w:rsidR="0008032C" w:rsidRPr="0008032C" w:rsidRDefault="0008032C" w:rsidP="0008032C"/>
    <w:p w:rsidR="002E6F98" w:rsidRPr="0008032C" w:rsidRDefault="002E6F98" w:rsidP="00620B44"/>
    <w:sectPr w:rsidR="002E6F98" w:rsidRPr="0008032C" w:rsidSect="0008032C">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1EB" w:rsidRPr="0008032C" w:rsidRDefault="000211EB">
      <w:r w:rsidRPr="0008032C">
        <w:separator/>
      </w:r>
    </w:p>
  </w:endnote>
  <w:endnote w:type="continuationSeparator" w:id="0">
    <w:p w:rsidR="000211EB" w:rsidRPr="0008032C" w:rsidRDefault="000211EB">
      <w:r w:rsidRPr="00080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32C" w:rsidRPr="0008032C" w:rsidRDefault="0008032C" w:rsidP="0008032C">
    <w:pPr>
      <w:pStyle w:val="EPFooter"/>
    </w:pPr>
    <w:r w:rsidRPr="0008032C">
      <w:t>PE</w:t>
    </w:r>
    <w:r w:rsidRPr="0008032C">
      <w:rPr>
        <w:rStyle w:val="HideTWBExt"/>
      </w:rPr>
      <w:t>&lt;NoPE&gt;</w:t>
    </w:r>
    <w:r w:rsidRPr="0008032C">
      <w:t>756.204</w:t>
    </w:r>
    <w:r w:rsidRPr="0008032C">
      <w:rPr>
        <w:rStyle w:val="HideTWBExt"/>
      </w:rPr>
      <w:t>&lt;/NoPE&gt;&lt;Version&gt;</w:t>
    </w:r>
    <w:r w:rsidRPr="0008032C">
      <w:t>v02-00</w:t>
    </w:r>
    <w:r w:rsidRPr="0008032C">
      <w:rPr>
        <w:rStyle w:val="HideTWBExt"/>
      </w:rPr>
      <w:t>&lt;/Version&gt;</w:t>
    </w:r>
    <w:r w:rsidRPr="0008032C">
      <w:tab/>
    </w:r>
    <w:r w:rsidRPr="0008032C">
      <w:fldChar w:fldCharType="begin"/>
    </w:r>
    <w:r w:rsidRPr="0008032C">
      <w:instrText xml:space="preserve"> PAGE  \* MERGEFORMAT </w:instrText>
    </w:r>
    <w:r w:rsidRPr="0008032C">
      <w:fldChar w:fldCharType="separate"/>
    </w:r>
    <w:r w:rsidR="006216AC">
      <w:rPr>
        <w:noProof/>
      </w:rPr>
      <w:t>8</w:t>
    </w:r>
    <w:r w:rsidRPr="0008032C">
      <w:fldChar w:fldCharType="end"/>
    </w:r>
    <w:r w:rsidRPr="0008032C">
      <w:t>/</w:t>
    </w:r>
    <w:fldSimple w:instr=" NUMPAGES  \* MERGEFORMAT ">
      <w:r w:rsidR="006216AC">
        <w:rPr>
          <w:noProof/>
        </w:rPr>
        <w:t>8</w:t>
      </w:r>
    </w:fldSimple>
    <w:r w:rsidRPr="0008032C">
      <w:tab/>
    </w:r>
    <w:r w:rsidRPr="0008032C">
      <w:rPr>
        <w:rStyle w:val="HideTWBExt"/>
      </w:rPr>
      <w:t>&lt;PathFdR&gt;</w:t>
    </w:r>
    <w:r w:rsidRPr="0008032C">
      <w:t>AD\1294538CS.docx</w:t>
    </w:r>
    <w:r w:rsidRPr="0008032C">
      <w:rPr>
        <w:rStyle w:val="HideTWBExt"/>
      </w:rPr>
      <w:t>&lt;/PathFdR&gt;</w:t>
    </w:r>
  </w:p>
  <w:p w:rsidR="0008032C" w:rsidRPr="0008032C" w:rsidRDefault="0008032C" w:rsidP="0008032C">
    <w:pPr>
      <w:pStyle w:val="EPFooter2"/>
    </w:pPr>
    <w:r w:rsidRPr="0008032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32C" w:rsidRPr="0008032C" w:rsidRDefault="0008032C" w:rsidP="0008032C">
    <w:pPr>
      <w:pStyle w:val="EPFooter"/>
    </w:pPr>
    <w:r w:rsidRPr="0008032C">
      <w:rPr>
        <w:rStyle w:val="HideTWBExt"/>
      </w:rPr>
      <w:t>&lt;PathFdR&gt;</w:t>
    </w:r>
    <w:r w:rsidRPr="0008032C">
      <w:t>AD\1294538CS.docx</w:t>
    </w:r>
    <w:r w:rsidRPr="0008032C">
      <w:rPr>
        <w:rStyle w:val="HideTWBExt"/>
      </w:rPr>
      <w:t>&lt;/PathFdR&gt;</w:t>
    </w:r>
    <w:r w:rsidRPr="0008032C">
      <w:tab/>
    </w:r>
    <w:r w:rsidRPr="0008032C">
      <w:fldChar w:fldCharType="begin"/>
    </w:r>
    <w:r w:rsidRPr="0008032C">
      <w:instrText xml:space="preserve"> PAGE  \* MERGEFORMAT </w:instrText>
    </w:r>
    <w:r w:rsidRPr="0008032C">
      <w:fldChar w:fldCharType="separate"/>
    </w:r>
    <w:r w:rsidR="006216AC">
      <w:rPr>
        <w:noProof/>
      </w:rPr>
      <w:t>7</w:t>
    </w:r>
    <w:r w:rsidRPr="0008032C">
      <w:fldChar w:fldCharType="end"/>
    </w:r>
    <w:r w:rsidRPr="0008032C">
      <w:t>/</w:t>
    </w:r>
    <w:fldSimple w:instr=" NUMPAGES  \* MERGEFORMAT ">
      <w:r w:rsidR="006216AC">
        <w:rPr>
          <w:noProof/>
        </w:rPr>
        <w:t>8</w:t>
      </w:r>
    </w:fldSimple>
    <w:r w:rsidRPr="0008032C">
      <w:tab/>
      <w:t>PE</w:t>
    </w:r>
    <w:r w:rsidRPr="0008032C">
      <w:rPr>
        <w:rStyle w:val="HideTWBExt"/>
      </w:rPr>
      <w:t>&lt;NoPE&gt;</w:t>
    </w:r>
    <w:r w:rsidRPr="0008032C">
      <w:t>756.204</w:t>
    </w:r>
    <w:r w:rsidRPr="0008032C">
      <w:rPr>
        <w:rStyle w:val="HideTWBExt"/>
      </w:rPr>
      <w:t>&lt;/NoPE&gt;&lt;Version&gt;</w:t>
    </w:r>
    <w:r w:rsidRPr="0008032C">
      <w:t>v02-00</w:t>
    </w:r>
    <w:r w:rsidRPr="0008032C">
      <w:rPr>
        <w:rStyle w:val="HideTWBExt"/>
      </w:rPr>
      <w:t>&lt;/Version&gt;</w:t>
    </w:r>
  </w:p>
  <w:p w:rsidR="0008032C" w:rsidRPr="0008032C" w:rsidRDefault="0008032C" w:rsidP="0008032C">
    <w:pPr>
      <w:pStyle w:val="EPFooter2"/>
    </w:pPr>
    <w:r w:rsidRPr="0008032C">
      <w:tab/>
    </w:r>
    <w:r w:rsidRPr="0008032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32C" w:rsidRPr="0008032C" w:rsidRDefault="0008032C" w:rsidP="0008032C">
    <w:pPr>
      <w:pStyle w:val="EPFooter"/>
    </w:pPr>
    <w:r w:rsidRPr="0008032C">
      <w:rPr>
        <w:rStyle w:val="HideTWBExt"/>
      </w:rPr>
      <w:t>&lt;PathFdR&gt;</w:t>
    </w:r>
    <w:r w:rsidRPr="0008032C">
      <w:t>AD\1294538CS.docx</w:t>
    </w:r>
    <w:r w:rsidRPr="0008032C">
      <w:rPr>
        <w:rStyle w:val="HideTWBExt"/>
      </w:rPr>
      <w:t>&lt;/PathFdR&gt;</w:t>
    </w:r>
    <w:r w:rsidRPr="0008032C">
      <w:tab/>
    </w:r>
    <w:r w:rsidRPr="0008032C">
      <w:tab/>
      <w:t>PE</w:t>
    </w:r>
    <w:r w:rsidRPr="0008032C">
      <w:rPr>
        <w:rStyle w:val="HideTWBExt"/>
      </w:rPr>
      <w:t>&lt;NoPE&gt;</w:t>
    </w:r>
    <w:r w:rsidRPr="0008032C">
      <w:t>756.204</w:t>
    </w:r>
    <w:r w:rsidRPr="0008032C">
      <w:rPr>
        <w:rStyle w:val="HideTWBExt"/>
      </w:rPr>
      <w:t>&lt;/NoPE&gt;&lt;Version&gt;</w:t>
    </w:r>
    <w:r w:rsidRPr="0008032C">
      <w:t>v02-00</w:t>
    </w:r>
    <w:r w:rsidRPr="0008032C">
      <w:rPr>
        <w:rStyle w:val="HideTWBExt"/>
      </w:rPr>
      <w:t>&lt;/Version&gt;</w:t>
    </w:r>
  </w:p>
  <w:p w:rsidR="0008032C" w:rsidRPr="0008032C" w:rsidRDefault="0008032C" w:rsidP="0008032C">
    <w:pPr>
      <w:pStyle w:val="EPFooter2"/>
    </w:pPr>
    <w:r w:rsidRPr="0008032C">
      <w:t>CS</w:t>
    </w:r>
    <w:r w:rsidRPr="0008032C">
      <w:tab/>
    </w:r>
    <w:r w:rsidRPr="0008032C">
      <w:rPr>
        <w:b w:val="0"/>
        <w:i/>
        <w:color w:val="C0C0C0"/>
        <w:sz w:val="22"/>
      </w:rPr>
      <w:t>Jednotná v rozmanitosti</w:t>
    </w:r>
    <w:r w:rsidRPr="0008032C">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B44" w:rsidRPr="0008032C" w:rsidRDefault="00620B44" w:rsidP="00620B44">
    <w:pPr>
      <w:pStyle w:val="EPFooter"/>
    </w:pPr>
    <w:r w:rsidRPr="0008032C">
      <w:rPr>
        <w:rStyle w:val="HideTWBExt"/>
      </w:rPr>
      <w:t>&lt;PathFdR&gt;</w:t>
    </w:r>
    <w:r w:rsidRPr="0008032C">
      <w:t>AD\1294538CS.docx</w:t>
    </w:r>
    <w:r w:rsidRPr="0008032C">
      <w:rPr>
        <w:rStyle w:val="HideTWBExt"/>
      </w:rPr>
      <w:t>&lt;/PathFdR&gt;</w:t>
    </w:r>
    <w:r w:rsidRPr="0008032C">
      <w:tab/>
    </w:r>
    <w:r w:rsidRPr="0008032C">
      <w:tab/>
      <w:t>PE</w:t>
    </w:r>
    <w:r w:rsidRPr="0008032C">
      <w:rPr>
        <w:rStyle w:val="HideTWBExt"/>
      </w:rPr>
      <w:t>&lt;NoPE&gt;</w:t>
    </w:r>
    <w:r w:rsidRPr="0008032C">
      <w:t>756.204</w:t>
    </w:r>
    <w:r w:rsidRPr="0008032C">
      <w:rPr>
        <w:rStyle w:val="HideTWBExt"/>
      </w:rPr>
      <w:t>&lt;/NoPE&gt;&lt;Version&gt;</w:t>
    </w:r>
    <w:r w:rsidRPr="0008032C">
      <w:t>v02-00</w:t>
    </w:r>
    <w:r w:rsidRPr="0008032C">
      <w:rPr>
        <w:rStyle w:val="HideTWBExt"/>
      </w:rPr>
      <w:t>&lt;/Version&gt;</w:t>
    </w:r>
  </w:p>
  <w:p w:rsidR="002E2F2E" w:rsidRPr="0008032C" w:rsidRDefault="00620B44" w:rsidP="00620B44">
    <w:pPr>
      <w:pStyle w:val="EPFooter2"/>
    </w:pPr>
    <w:r w:rsidRPr="0008032C">
      <w:t>CS</w:t>
    </w:r>
    <w:r w:rsidRPr="0008032C">
      <w:tab/>
    </w:r>
    <w:r w:rsidRPr="0008032C">
      <w:rPr>
        <w:b w:val="0"/>
        <w:i/>
        <w:color w:val="C0C0C0"/>
        <w:sz w:val="22"/>
      </w:rPr>
      <w:t>Jednotná v rozmanitosti</w:t>
    </w:r>
    <w:r w:rsidRPr="0008032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1EB" w:rsidRPr="0008032C" w:rsidRDefault="000211EB">
      <w:r w:rsidRPr="0008032C">
        <w:separator/>
      </w:r>
    </w:p>
  </w:footnote>
  <w:footnote w:type="continuationSeparator" w:id="0">
    <w:p w:rsidR="000211EB" w:rsidRPr="0008032C" w:rsidRDefault="000211EB">
      <w:r w:rsidRPr="0008032C">
        <w:continuationSeparator/>
      </w:r>
    </w:p>
  </w:footnote>
  <w:footnote w:id="1">
    <w:p w:rsidR="0008032C" w:rsidRPr="0008032C" w:rsidRDefault="0008032C" w:rsidP="0008032C">
      <w:pPr>
        <w:pStyle w:val="FootnoteText"/>
      </w:pPr>
      <w:r>
        <w:rPr>
          <w:rStyle w:val="FootnoteReference"/>
        </w:rPr>
        <w:footnoteRef/>
      </w:r>
      <w:r>
        <w:t xml:space="preserve"> https://www.ombudsman.europa.eu/en/news-document/en/163567</w:t>
      </w:r>
    </w:p>
  </w:footnote>
  <w:footnote w:id="2">
    <w:p w:rsidR="0008032C" w:rsidRPr="0008032C" w:rsidRDefault="0008032C" w:rsidP="0008032C">
      <w:pPr>
        <w:pStyle w:val="FootnoteText"/>
      </w:pPr>
      <w:r>
        <w:rPr>
          <w:rStyle w:val="FootnoteReference"/>
        </w:rPr>
        <w:footnoteRef/>
      </w:r>
      <w:r>
        <w:t xml:space="preserve"> https://www.ombudsman.europa.eu/en/case/en/62762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3E9" w:rsidRDefault="00014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3E9" w:rsidRDefault="00014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3E9" w:rsidRDefault="000143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6" w:rsidRDefault="00D20C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6" w:rsidRDefault="00D20C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06" w:rsidRDefault="00D20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LIBE"/>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82773 HideTWBInt;}{_x000d__x000a_\s18\ql \fi-567\li567\ri0\sa240\nowidctlpar\wrapdefault\aspalpha\aspnum\faauto\adjustright\rin0\lin567\itap0 \rtlch\fcs1 \af0\afs20\alang1025 \ltrch\fcs0 \fs24\lang1029\langfe2057\cgrid\langnp1029\langfenp2057 _x000d__x000a_\sbasedon0 \snext18 \spriority0 \styrsid11282773 NormalHanging12a;}}{\*\rsidtbl \rsid24658\rsid223860\rsid735077\rsid1718133\rsid2892074\rsid3565327\rsid4147758\rsid4666813\rsid6641733\rsid7823322\rsid9636012\rsid10377208\rsid11215221\rsid11282773_x000d__x000a_\rsid11549030\rsid12154954\rsid14382809\rsid14424199\rsid15204470\rsid15285974\rsid15950462\rsid16324206\rsid16662270}{\mmathPr\mmathFont34\mbrkBin0\mbrkBinSub0\msmallFrac0\mdispDef1\mlMargin0\mrMargin0\mdefJc1\mwrapIndent1440\mintLim0\mnaryLim1}{\info_x000d__x000a_{\author VIDROVA Kamila}{\operator VIDROVA Kamila}{\creatim\yr2024\mo1\dy29\hr16\min18}{\revtim\yr2024\mo1\dy29\hr16\min18}{\version1}{\edmins0}{\nofpages1}{\nofwords1}{\nofchars11}{\nofcharsws11}{\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2773\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4147758 \chftnsep _x000d__x000a_\par }}{\*\ftnsepc \ltrpar \pard\plain \ltrpar\ql \li0\ri0\widctlpar\wrapdefault\aspalpha\aspnum\faauto\adjustright\rin0\lin0\itap0 \rtlch\fcs1 \af0\afs20\alang1025 \ltrch\fcs0 \fs24\lang2057\langfe2057\cgrid\langnp2057\langfenp2057 {\rtlch\fcs1 \af0 _x000d__x000a_\ltrch\fcs0 \insrsid4147758 \chftnsepc _x000d__x000a_\par }}{\*\aftnsep \ltrpar \pard\plain \ltrpar\ql \li0\ri0\widctlpar\wrapdefault\aspalpha\aspnum\faauto\adjustright\rin0\lin0\itap0 \rtlch\fcs1 \af0\afs20\alang1025 \ltrch\fcs0 \fs24\lang2057\langfe2057\cgrid\langnp2057\langfenp2057 {\rtlch\fcs1 \af0 _x000d__x000a_\ltrch\fcs0 \insrsid4147758 \chftnsep _x000d__x000a_\par }}{\*\aftnsepc \ltrpar \pard\plain \ltrpar\ql \li0\ri0\widctlpar\wrapdefault\aspalpha\aspnum\faauto\adjustright\rin0\lin0\itap0 \rtlch\fcs1 \af0\afs20\alang1025 \ltrch\fcs0 \fs24\lang2057\langfe2057\cgrid\langnp2057\langfenp2057 {\rtlch\fcs1 \af0 _x000d__x000a_\ltrch\fcs0 \insrsid4147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282773 \rtlch\fcs1 \af0\afs20\alang1025 \ltrch\fcs0 \fs24\lang1029\langfe2057\cgrid\langnp1029\langfenp2057 {\rtlch\fcs1 \af0 _x000d__x000a_\ltrch\fcs0 \insrsid11282773\charrsid135659 {\*\bkmkstart restart}#}{\rtlch\fcs1 \af1 \ltrch\fcs0 \cs17\v\f1\fs20\cf15\insrsid11282773\charrsid135659 NRMSG}{\rtlch\fcs1 \af0 \ltrch\fcs0 \insrsid11282773\charrsid135659 #\tab ##}{\rtlch\fcs1 \af0 _x000d__x000a_\ltrch\fcs0 \insrsid1128277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0_x000d__x000a_1b7ac6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367213 NormalHanging12a;}}{\*\rsidtbl \rsid24658\rsid223860\rsid735077\rsid1718133\rsid2892074\rsid3565327\rsid4666813\rsid6641733\rsid7367213\rsid7823322_x000d__x000a_\rsid9636012\rsid10377208\rsid10690137\rsid11215221\rsid11549030\rsid12154954\rsid14382809\rsid14424199\rsid15204470\rsid15285974\rsid15950462\rsid16324206\rsid16662270}{\mmathPr\mmathFont34\mbrkBin0\mbrkBinSub0\msmallFrac0\mdispDef1\mlMargin0\mrMargin0_x000d__x000a_\mdefJc1\mwrapIndent1440\mintLim0\mnaryLim1}{\info{\author VIDROVA Kamila}{\operator VIDROVA Kamila}{\creatim\yr2024\mo1\dy29\hr16\min18}{\revtim\yr2024\mo1\dy29\hr16\min19}{\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67213\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10690137 \chftnsep _x000d__x000a_\par }}{\*\ftnsepc \ltrpar \pard\plain \ltrpar\ql \li0\ri0\widctlpar\wrapdefault\aspalpha\aspnum\faauto\adjustright\rin0\lin0\itap0 \rtlch\fcs1 \af0\afs20\alang1025 \ltrch\fcs0 \fs24\lang2057\langfe2057\cgrid\langnp2057\langfenp2057 {\rtlch\fcs1 \af0 _x000d__x000a_\ltrch\fcs0 \insrsid10690137 \chftnsepc _x000d__x000a_\par }}{\*\aftnsep \ltrpar \pard\plain \ltrpar\ql \li0\ri0\widctlpar\wrapdefault\aspalpha\aspnum\faauto\adjustright\rin0\lin0\itap0 \rtlch\fcs1 \af0\afs20\alang1025 \ltrch\fcs0 \fs24\lang2057\langfe2057\cgrid\langnp2057\langfenp2057 {\rtlch\fcs1 \af0 _x000d__x000a_\ltrch\fcs0 \insrsid10690137 \chftnsep _x000d__x000a_\par }}{\*\aftnsepc \ltrpar \pard\plain \ltrpar\ql \li0\ri0\widctlpar\wrapdefault\aspalpha\aspnum\faauto\adjustright\rin0\lin0\itap0 \rtlch\fcs1 \af0\afs20\alang1025 \ltrch\fcs0 \fs24\lang2057\langfe2057\cgrid\langnp2057\langfenp2057 {\rtlch\fcs1 \af0 _x000d__x000a_\ltrch\fcs0 \insrsid106901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367213 \rtlch\fcs1 \af0\afs20\alang1025 \ltrch\fcs0 \fs24\lang2057\langfe2057\cgrid\langnp2057\langfenp2057 {\rtlch\fcs1 \af0 _x000d__x000a_\ltrch\fcs0 \insrsid7367213\charrsid1525456 {\*\bkmkstart restart}[ZSUGGESTIONNR]\tab [ZSUGGESTIONTEXT]}{\rtlch\fcs1 \af0 \ltrch\fcs0 \insrsid736721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337cc6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CS"/>
    <w:docVar w:name="TXTLANGUEMIN" w:val="cs"/>
    <w:docVar w:name="TXTNRPE" w:val="756.204"/>
    <w:docVar w:name="TXTNRPROC" w:val="2023/2129"/>
    <w:docVar w:name="TXTPEorAP" w:val="PE"/>
    <w:docVar w:name="TXTROUTE" w:val="AD\1294538CS.docx"/>
    <w:docVar w:name="TXTVERSION" w:val="02-00"/>
  </w:docVars>
  <w:rsids>
    <w:rsidRoot w:val="000211EB"/>
    <w:rsid w:val="000143E9"/>
    <w:rsid w:val="000211EB"/>
    <w:rsid w:val="0008032C"/>
    <w:rsid w:val="000E7EBF"/>
    <w:rsid w:val="00124F60"/>
    <w:rsid w:val="00135121"/>
    <w:rsid w:val="00140BE6"/>
    <w:rsid w:val="00147F4E"/>
    <w:rsid w:val="0016635E"/>
    <w:rsid w:val="001746D0"/>
    <w:rsid w:val="001B7393"/>
    <w:rsid w:val="001D2ED9"/>
    <w:rsid w:val="001F21C1"/>
    <w:rsid w:val="002835E0"/>
    <w:rsid w:val="002D28A7"/>
    <w:rsid w:val="002E2F2E"/>
    <w:rsid w:val="002E6F98"/>
    <w:rsid w:val="002F31B4"/>
    <w:rsid w:val="00325BCB"/>
    <w:rsid w:val="00331944"/>
    <w:rsid w:val="00332AD9"/>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20B44"/>
    <w:rsid w:val="006216AC"/>
    <w:rsid w:val="00640C1B"/>
    <w:rsid w:val="00657AFB"/>
    <w:rsid w:val="006D5BF7"/>
    <w:rsid w:val="008313E7"/>
    <w:rsid w:val="00854CAC"/>
    <w:rsid w:val="008A32C5"/>
    <w:rsid w:val="008C6203"/>
    <w:rsid w:val="008D61E7"/>
    <w:rsid w:val="008F7002"/>
    <w:rsid w:val="0099493F"/>
    <w:rsid w:val="00A16BEA"/>
    <w:rsid w:val="00A312B3"/>
    <w:rsid w:val="00A72C35"/>
    <w:rsid w:val="00AE180F"/>
    <w:rsid w:val="00B362F7"/>
    <w:rsid w:val="00B5456B"/>
    <w:rsid w:val="00B74B53"/>
    <w:rsid w:val="00BC26E4"/>
    <w:rsid w:val="00BD1EAA"/>
    <w:rsid w:val="00C52739"/>
    <w:rsid w:val="00C827FF"/>
    <w:rsid w:val="00CA4A6C"/>
    <w:rsid w:val="00CD34AC"/>
    <w:rsid w:val="00D20C06"/>
    <w:rsid w:val="00DC57A7"/>
    <w:rsid w:val="00DE19FF"/>
    <w:rsid w:val="00E81BA6"/>
    <w:rsid w:val="00E856D2"/>
    <w:rsid w:val="00E929A7"/>
    <w:rsid w:val="00FA750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9D47671"/>
  <w15:chartTrackingRefBased/>
  <w15:docId w15:val="{5E231F10-2D1C-4B6D-AA57-CAEEEDD8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CA4A6C"/>
    <w:pPr>
      <w:tabs>
        <w:tab w:val="center" w:pos="4513"/>
        <w:tab w:val="right" w:pos="9026"/>
      </w:tabs>
    </w:pPr>
  </w:style>
  <w:style w:type="character" w:customStyle="1" w:styleId="FooterChar">
    <w:name w:val="Footer Char"/>
    <w:basedOn w:val="DefaultParagraphFont"/>
    <w:link w:val="Footer"/>
    <w:semiHidden/>
    <w:rsid w:val="00CA4A6C"/>
    <w:rPr>
      <w:sz w:val="24"/>
      <w:lang w:val="cs-CZ"/>
    </w:rPr>
  </w:style>
  <w:style w:type="paragraph" w:styleId="FootnoteText">
    <w:name w:val="footnote text"/>
    <w:basedOn w:val="Normal"/>
    <w:link w:val="FootnoteTextChar"/>
    <w:rsid w:val="0008032C"/>
    <w:rPr>
      <w:sz w:val="20"/>
    </w:rPr>
  </w:style>
  <w:style w:type="character" w:customStyle="1" w:styleId="FootnoteTextChar">
    <w:name w:val="Footnote Text Char"/>
    <w:basedOn w:val="DefaultParagraphFont"/>
    <w:link w:val="FootnoteText"/>
    <w:rsid w:val="0008032C"/>
    <w:rPr>
      <w:lang w:val="cs-CZ"/>
    </w:rPr>
  </w:style>
  <w:style w:type="character" w:styleId="FootnoteReference">
    <w:name w:val="footnote reference"/>
    <w:basedOn w:val="DefaultParagraphFont"/>
    <w:rsid w:val="0008032C"/>
    <w:rPr>
      <w:vertAlign w:val="superscript"/>
    </w:rPr>
  </w:style>
  <w:style w:type="paragraph" w:customStyle="1" w:styleId="RollCallSymbols14pt">
    <w:name w:val="RollCallSymbols14pt"/>
    <w:basedOn w:val="Normal"/>
    <w:rsid w:val="0008032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032C"/>
    <w:pPr>
      <w:tabs>
        <w:tab w:val="center" w:pos="284"/>
        <w:tab w:val="left" w:pos="426"/>
      </w:tabs>
    </w:pPr>
    <w:rPr>
      <w:snapToGrid w:val="0"/>
      <w:lang w:eastAsia="en-US"/>
    </w:rPr>
  </w:style>
  <w:style w:type="paragraph" w:customStyle="1" w:styleId="RollCallVotes">
    <w:name w:val="RollCallVotes"/>
    <w:basedOn w:val="Normal"/>
    <w:rsid w:val="0008032C"/>
    <w:pPr>
      <w:spacing w:before="120" w:after="120"/>
      <w:jc w:val="center"/>
    </w:pPr>
    <w:rPr>
      <w:b/>
      <w:bCs/>
      <w:snapToGrid w:val="0"/>
      <w:sz w:val="16"/>
      <w:lang w:eastAsia="en-US"/>
    </w:rPr>
  </w:style>
  <w:style w:type="paragraph" w:customStyle="1" w:styleId="RollCallTable">
    <w:name w:val="RollCallTable"/>
    <w:basedOn w:val="Normal"/>
    <w:rsid w:val="0008032C"/>
    <w:pPr>
      <w:spacing w:before="120" w:after="120"/>
    </w:pPr>
    <w:rPr>
      <w:snapToGrid w:val="0"/>
      <w:sz w:val="16"/>
      <w:lang w:eastAsia="en-US"/>
    </w:rPr>
  </w:style>
  <w:style w:type="paragraph" w:customStyle="1" w:styleId="Normal24a">
    <w:name w:val="Normal24a"/>
    <w:basedOn w:val="Normal"/>
    <w:rsid w:val="0008032C"/>
    <w:pPr>
      <w:spacing w:after="480"/>
    </w:pPr>
  </w:style>
  <w:style w:type="character" w:customStyle="1" w:styleId="Heading7Char">
    <w:name w:val="Heading 7 Char"/>
    <w:basedOn w:val="DefaultParagraphFont"/>
    <w:link w:val="Heading7"/>
    <w:uiPriority w:val="9"/>
    <w:semiHidden/>
    <w:rsid w:val="0008032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1313</Words>
  <Characters>7877</Characters>
  <Application>Microsoft Office Word</Application>
  <DocSecurity>0</DocSecurity>
  <Lines>186</Lines>
  <Paragraphs>75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2024-02-08T09:45:00Z</dcterms:created>
  <dcterms:modified xsi:type="dcterms:W3CDTF">2024-02-08T09:45:00Z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1294538</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\\eiciBRUpr1\pdocep$\DocEP\TRANSFIL\CS\PA_NonLeg.CS(18/09/2023 10:08:00)</vt:lpwstr>
  </property>
  <property fmtid="{D5CDD505-2E9C-101B-9397-08002B2CF9AE}" pid="9" name="&lt;Model&gt;">
    <vt:lpwstr>PA_NonLeg</vt:lpwstr>
  </property>
  <property fmtid="{D5CDD505-2E9C-101B-9397-08002B2CF9AE}" pid="10" name="FooterPath">
    <vt:lpwstr>AD\1294538CS.docx</vt:lpwstr>
  </property>
  <property fmtid="{D5CDD505-2E9C-101B-9397-08002B2CF9AE}" pid="11" name="PE number">
    <vt:lpwstr>756.204</vt:lpwstr>
  </property>
  <property fmtid="{D5CDD505-2E9C-101B-9397-08002B2CF9AE}" pid="12" name="Bookout">
    <vt:lpwstr>OK - 2024/02/08 10:44</vt:lpwstr>
  </property>
  <property fmtid="{D5CDD505-2E9C-101B-9397-08002B2CF9AE}" pid="13" name="SDLStudio">
    <vt:lpwstr/>
  </property>
</Properties>
</file>