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CC1D78" w:rsidTr="00C85D0F">
        <w:trPr>
          <w:trHeight w:hRule="exact" w:val="1418"/>
        </w:trPr>
        <w:tc>
          <w:tcPr>
            <w:tcW w:w="6804" w:type="dxa"/>
            <w:shd w:val="clear" w:color="auto" w:fill="auto"/>
            <w:vAlign w:val="center"/>
          </w:tcPr>
          <w:p w:rsidR="00854CAC" w:rsidRPr="00CC1D78" w:rsidRDefault="00AB5481" w:rsidP="00C85D0F">
            <w:pPr>
              <w:pStyle w:val="EPName"/>
            </w:pPr>
            <w:r>
              <w:t>Europa-Parlamentet</w:t>
            </w:r>
          </w:p>
          <w:p w:rsidR="00854CAC" w:rsidRPr="00CC1D78" w:rsidRDefault="002E1D3A" w:rsidP="002E1D3A">
            <w:pPr>
              <w:pStyle w:val="EPTerm"/>
            </w:pPr>
            <w:r>
              <w:t>2019-2024</w:t>
            </w:r>
          </w:p>
        </w:tc>
        <w:tc>
          <w:tcPr>
            <w:tcW w:w="2268" w:type="dxa"/>
            <w:shd w:val="clear" w:color="auto" w:fill="auto"/>
          </w:tcPr>
          <w:p w:rsidR="00854CAC" w:rsidRPr="00CC1D78" w:rsidRDefault="00854CAC" w:rsidP="00C85D0F">
            <w:pPr>
              <w:pStyle w:val="EPLogo"/>
            </w:pPr>
            <w:r w:rsidRPr="00CC1D78">
              <w:rPr>
                <w:noProof/>
                <w:lang w:eastAsia="da-DK"/>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CC1D78" w:rsidRDefault="001746D0" w:rsidP="001746D0">
      <w:pPr>
        <w:pStyle w:val="LineTop"/>
      </w:pPr>
    </w:p>
    <w:p w:rsidR="001746D0" w:rsidRPr="00CC1D78" w:rsidRDefault="001746D0" w:rsidP="001746D0">
      <w:pPr>
        <w:pStyle w:val="EPBody"/>
      </w:pPr>
      <w:r>
        <w:rPr>
          <w:rStyle w:val="HideTWBExt"/>
        </w:rPr>
        <w:t>&lt;</w:t>
      </w:r>
      <w:r>
        <w:rPr>
          <w:rStyle w:val="HideTWBExt"/>
          <w:i w:val="0"/>
        </w:rPr>
        <w:t>Commission</w:t>
      </w:r>
      <w:r>
        <w:rPr>
          <w:rStyle w:val="HideTWBExt"/>
        </w:rPr>
        <w:t>&gt;</w:t>
      </w:r>
      <w:r>
        <w:rPr>
          <w:rStyle w:val="HideTWBInt"/>
        </w:rPr>
        <w:t>{LIBE}</w:t>
      </w:r>
      <w:r>
        <w:t>Udvalget om Borgernes Rettigheder og Retlige og Indre Anliggender</w:t>
      </w:r>
      <w:r>
        <w:rPr>
          <w:rStyle w:val="HideTWBExt"/>
        </w:rPr>
        <w:t>&lt;/</w:t>
      </w:r>
      <w:r>
        <w:rPr>
          <w:rStyle w:val="HideTWBExt"/>
          <w:i w:val="0"/>
        </w:rPr>
        <w:t>Commission</w:t>
      </w:r>
      <w:r>
        <w:rPr>
          <w:rStyle w:val="HideTWBExt"/>
        </w:rPr>
        <w:t>&gt;</w:t>
      </w:r>
    </w:p>
    <w:p w:rsidR="001746D0" w:rsidRPr="00CC1D78" w:rsidRDefault="001746D0" w:rsidP="001746D0">
      <w:pPr>
        <w:pStyle w:val="LineBottom"/>
      </w:pPr>
    </w:p>
    <w:p w:rsidR="002E2F2E" w:rsidRPr="00CC1D78" w:rsidRDefault="002E2F2E">
      <w:pPr>
        <w:pStyle w:val="CoverReference"/>
      </w:pPr>
      <w:r>
        <w:rPr>
          <w:rStyle w:val="HideTWBExt"/>
          <w:b w:val="0"/>
        </w:rPr>
        <w:t>&lt;RefProc&gt;</w:t>
      </w:r>
      <w:r>
        <w:t>2023/2129</w:t>
      </w:r>
      <w:r>
        <w:rPr>
          <w:rStyle w:val="HideTWBExt"/>
          <w:b w:val="0"/>
        </w:rPr>
        <w:t>&lt;/RefProc&gt;&lt;RefTypeProc&gt;</w:t>
      </w:r>
      <w:r>
        <w:t>(DEC)</w:t>
      </w:r>
      <w:r>
        <w:rPr>
          <w:rStyle w:val="HideTWBExt"/>
          <w:b w:val="0"/>
        </w:rPr>
        <w:t>&lt;/RefTypeProc&gt;</w:t>
      </w:r>
    </w:p>
    <w:p w:rsidR="002E2F2E" w:rsidRPr="00CC1D78" w:rsidRDefault="002E2F2E" w:rsidP="00A4752D">
      <w:pPr>
        <w:pStyle w:val="CoverDate"/>
      </w:pPr>
      <w:r>
        <w:rPr>
          <w:rStyle w:val="HideTWBExt"/>
        </w:rPr>
        <w:t>&lt;Date&gt;</w:t>
      </w:r>
      <w:r>
        <w:rPr>
          <w:rStyle w:val="HideTWBInt"/>
        </w:rPr>
        <w:t>{24/01/2024}</w:t>
      </w:r>
      <w:r>
        <w:t>24.1.2024</w:t>
      </w:r>
      <w:r>
        <w:rPr>
          <w:rStyle w:val="HideTWBExt"/>
        </w:rPr>
        <w:t>&lt;/Date&gt;</w:t>
      </w:r>
    </w:p>
    <w:p w:rsidR="002E2F2E" w:rsidRPr="00CC1D78" w:rsidRDefault="002E2F2E" w:rsidP="00A4752D">
      <w:pPr>
        <w:pStyle w:val="CoverDocType24a"/>
      </w:pPr>
      <w:r>
        <w:rPr>
          <w:rStyle w:val="HideTWBExt"/>
          <w:b w:val="0"/>
        </w:rPr>
        <w:t>&lt;TitreType&gt;</w:t>
      </w:r>
      <w:r>
        <w:t>UDTALELSE</w:t>
      </w:r>
      <w:r>
        <w:rPr>
          <w:rStyle w:val="HideTWBExt"/>
          <w:b w:val="0"/>
        </w:rPr>
        <w:t>&lt;/TitreType&gt;</w:t>
      </w:r>
    </w:p>
    <w:p w:rsidR="002E2F2E" w:rsidRPr="00CC1D78" w:rsidRDefault="002E2F2E">
      <w:pPr>
        <w:pStyle w:val="CoverNormal24a"/>
      </w:pPr>
      <w:r>
        <w:rPr>
          <w:rStyle w:val="HideTWBExt"/>
        </w:rPr>
        <w:t>&lt;CommissionResp&gt;</w:t>
      </w:r>
      <w:r>
        <w:t>fra Udvalget om Borgernes Rettigheder og Retlige og Indre Anliggender</w:t>
      </w:r>
      <w:r>
        <w:rPr>
          <w:rStyle w:val="HideTWBExt"/>
        </w:rPr>
        <w:t>&lt;/CommissionResp&gt;</w:t>
      </w:r>
    </w:p>
    <w:p w:rsidR="002E2F2E" w:rsidRPr="00CC1D78" w:rsidRDefault="002E2F2E">
      <w:pPr>
        <w:pStyle w:val="CoverNormal24a"/>
      </w:pPr>
      <w:r>
        <w:rPr>
          <w:rStyle w:val="HideTWBExt"/>
        </w:rPr>
        <w:t>&lt;CommissionInt&gt;</w:t>
      </w:r>
      <w:r>
        <w:t>til Budgetkontroludvalget</w:t>
      </w:r>
      <w:r>
        <w:rPr>
          <w:rStyle w:val="HideTWBExt"/>
        </w:rPr>
        <w:t>&lt;/CommissionInt&gt;</w:t>
      </w:r>
    </w:p>
    <w:p w:rsidR="002E2F2E" w:rsidRPr="00CC1D78" w:rsidRDefault="002E2F2E">
      <w:pPr>
        <w:pStyle w:val="CoverNormal"/>
      </w:pPr>
      <w:r>
        <w:rPr>
          <w:rStyle w:val="HideTWBExt"/>
        </w:rPr>
        <w:t>&lt;Titre&gt;</w:t>
      </w:r>
      <w:r>
        <w:t>om decharge for gennemførelsen af Den Europæiske Unions almindelige budget for regnskabsåret 2021, Sektion III - Kommissionen</w:t>
      </w:r>
      <w:r>
        <w:rPr>
          <w:rStyle w:val="HideTWBExt"/>
        </w:rPr>
        <w:t>&lt;/Titre&gt;</w:t>
      </w:r>
    </w:p>
    <w:p w:rsidR="002E2F2E" w:rsidRPr="00CC1D78" w:rsidRDefault="002E2F2E">
      <w:pPr>
        <w:pStyle w:val="CoverNormal24a"/>
      </w:pPr>
      <w:r>
        <w:rPr>
          <w:rStyle w:val="HideTWBExt"/>
        </w:rPr>
        <w:t>&lt;DocRef&gt;</w:t>
      </w:r>
      <w:r>
        <w:t>(2023/2129(DEC))</w:t>
      </w:r>
      <w:r>
        <w:rPr>
          <w:rStyle w:val="HideTWBExt"/>
        </w:rPr>
        <w:t>&lt;/DocRef&gt;</w:t>
      </w:r>
    </w:p>
    <w:p w:rsidR="002E2F2E" w:rsidRPr="00CC1D78" w:rsidRDefault="00AB5481">
      <w:pPr>
        <w:pStyle w:val="CoverNormal24a"/>
      </w:pPr>
      <w:r>
        <w:t xml:space="preserve">Ordfører for udtalelse: </w:t>
      </w:r>
      <w:r>
        <w:rPr>
          <w:rStyle w:val="HideTWBExt"/>
        </w:rPr>
        <w:t>&lt;Depute&gt;</w:t>
      </w:r>
      <w:r>
        <w:t>Tomáš Zdechovský</w:t>
      </w:r>
      <w:r>
        <w:rPr>
          <w:rStyle w:val="HideTWBExt"/>
        </w:rPr>
        <w:t>&lt;/Depute&gt;</w:t>
      </w:r>
    </w:p>
    <w:p w:rsidR="00A72C35" w:rsidRPr="00CC1D78" w:rsidRDefault="00A72C35" w:rsidP="00A72C35">
      <w:pPr>
        <w:pStyle w:val="CoverNormal"/>
      </w:pPr>
    </w:p>
    <w:p w:rsidR="002E2F2E" w:rsidRPr="00CC1D78" w:rsidRDefault="002E2F2E" w:rsidP="00E856D2">
      <w:pPr>
        <w:widowControl/>
        <w:tabs>
          <w:tab w:val="center" w:pos="4677"/>
        </w:tabs>
      </w:pPr>
      <w:r>
        <w:br w:type="page"/>
      </w:r>
      <w:r>
        <w:lastRenderedPageBreak/>
        <w:t>PA_NonLeg</w:t>
      </w:r>
    </w:p>
    <w:p w:rsidR="002E2F2E" w:rsidRPr="00CC1D78" w:rsidRDefault="002E2F2E">
      <w:pPr>
        <w:pStyle w:val="PageHeadingNotTOC"/>
      </w:pPr>
      <w:r>
        <w:br w:type="page"/>
      </w:r>
      <w:r>
        <w:lastRenderedPageBreak/>
        <w:t>FORSLAG</w:t>
      </w:r>
    </w:p>
    <w:p w:rsidR="002E2F2E" w:rsidRPr="00CC1D78" w:rsidRDefault="00AB5481" w:rsidP="008313E7">
      <w:pPr>
        <w:pStyle w:val="Normal12a"/>
      </w:pPr>
      <w:r>
        <w:t>Udvalget om Borgernes Rettigheder og Retlige og Indre Anliggender opfordrer Budgetkontroludvalget, som er korresponderende udvalg, til at optage følgende forslag i det beslutningsforslag, det vedtager:</w:t>
      </w:r>
    </w:p>
    <w:p w:rsidR="00517129" w:rsidRPr="00A44086" w:rsidRDefault="002E1D3A" w:rsidP="00517129">
      <w:pPr>
        <w:spacing w:after="240"/>
        <w:ind w:left="567" w:hanging="567"/>
      </w:pPr>
      <w:bookmarkStart w:id="0" w:name="restart"/>
      <w:r>
        <w:t>1.</w:t>
      </w:r>
      <w:r>
        <w:tab/>
      </w:r>
      <w:bookmarkEnd w:id="0"/>
      <w:r>
        <w:t xml:space="preserve">bemærker, at Revisionsretten reviderede udgiftsområder, der omfattede forskellige politikker vedrørende migration og grænseforvaltning (udgiftsområde 4) og sikkerhed og forsvar (udgiftsområde 5); </w:t>
      </w:r>
    </w:p>
    <w:p w:rsidR="00517129" w:rsidRPr="00A44086" w:rsidRDefault="00517129" w:rsidP="00517129">
      <w:pPr>
        <w:spacing w:after="240"/>
        <w:ind w:left="567" w:hanging="567"/>
      </w:pPr>
      <w:r>
        <w:t>2.</w:t>
      </w:r>
      <w:r>
        <w:tab/>
        <w:t>bemærker, at Revisionsretten på de reviderede udgiftsområder vedrørende migration og grænseforvaltning og sikkerheds- og forsvarspolitik undersøgte en stikprøve på 23 transaktioner under FFR-udgiftsområde 4 og 5; noterer sig Revisionsrettens forklaring om, at revisionens omfang ikke var udformet til at være repræsentativt for disse udgiftsområder, men ikke desto mindre bidrog til dens revisionserklæring; gentager Parlamentets opfordring til, at revisionen gennemføres på en måde, der gør det muligt at beregne den anslåede fejlforekomst;</w:t>
      </w:r>
    </w:p>
    <w:p w:rsidR="00517129" w:rsidRPr="00A44086" w:rsidRDefault="00517129" w:rsidP="00517129">
      <w:pPr>
        <w:spacing w:after="240"/>
        <w:ind w:left="567" w:hanging="567"/>
      </w:pPr>
      <w:r>
        <w:t>3.</w:t>
      </w:r>
      <w:r>
        <w:tab/>
        <w:t xml:space="preserve">bemærker med bekymring, at 11 af de 23 transaktioner, som Revisionsretten undersøgte, indeholdt kvantificerbare fejl, som havde en finansiel indvirkning på de beløb, der blev afholdt over Unionens budget; understreger, at sådanne sager kan have en negativ omdømmemæssig virkning; </w:t>
      </w:r>
    </w:p>
    <w:p w:rsidR="00517129" w:rsidRPr="00A44086" w:rsidRDefault="00517129" w:rsidP="00517129">
      <w:pPr>
        <w:spacing w:after="240"/>
        <w:ind w:left="567" w:hanging="567"/>
      </w:pPr>
      <w:r>
        <w:t>4.</w:t>
      </w:r>
      <w:r>
        <w:tab/>
        <w:t>bemærker, at medlemsstaterne optrappede gennemførelsen af deres nationale programmer i 2022; er bekymret over, at betydelige beløb til både Asyl-, Migrations- og Integrationsfonden (AMIF) (26 %) og Fonden for Intern Sikkerhed (33 %) stadig ikke er udbetalt, men anerkender samtidig, at midlerne for 2014-2020 skal anvendes senest i juni 2024;</w:t>
      </w:r>
      <w:r w:rsidR="00411379">
        <w:t xml:space="preserve"> </w:t>
      </w:r>
      <w:r>
        <w:t>opfordrer indtrængende Kommissionen til at intensivere sine bestræbelser på at bistå medlemsstaterne med en effektiv gennemførelse af deres respektive nationale programmer;</w:t>
      </w:r>
    </w:p>
    <w:p w:rsidR="00517129" w:rsidRPr="00A44086" w:rsidRDefault="00517129" w:rsidP="00517129">
      <w:pPr>
        <w:spacing w:after="240"/>
        <w:ind w:left="567" w:hanging="567"/>
      </w:pPr>
      <w:r>
        <w:t>5.</w:t>
      </w:r>
      <w:r>
        <w:tab/>
        <w:t>bemærker, at Kommissionen ikke fuldt ud har udnyttet sine beføjelser som traktatens vogter til at sikre, at Rumænien og Bulgarien bliver optaget i Schengensamarbejdet, selv om begge lande siden 2011 har opfyldt alle betingelserne for at blive fuldgyldige medlemmer af Schengenområdet;</w:t>
      </w:r>
    </w:p>
    <w:p w:rsidR="00517129" w:rsidRPr="00A44086" w:rsidRDefault="00517129" w:rsidP="00517129">
      <w:pPr>
        <w:spacing w:after="240"/>
        <w:ind w:left="567" w:hanging="567"/>
      </w:pPr>
      <w:r>
        <w:t>6.</w:t>
      </w:r>
      <w:r>
        <w:tab/>
        <w:t>beklager Kommissionens praksis med ofte kun at give Parlamentet meget begrænsede oplysninger om gennemførelsen af EU-lovgivning; opfordrer Kommissionen til at være mere proaktiv med hensyn til at offentliggøre sådanne statistiske oplysninger med henblik på at dokumentere, at politikkerne er nødvendige og står i et rimeligt forhold til deres mål;</w:t>
      </w:r>
    </w:p>
    <w:p w:rsidR="00517129" w:rsidRPr="00A44086" w:rsidRDefault="00517129" w:rsidP="00517129">
      <w:pPr>
        <w:spacing w:after="240"/>
        <w:ind w:left="567" w:hanging="567"/>
      </w:pPr>
      <w:r>
        <w:t>7.</w:t>
      </w:r>
      <w:r>
        <w:tab/>
        <w:t xml:space="preserve">noterer sig GD HOME's hurtige tiltag efter den russiske aggression, navnlig den rettidige udarbejdelse af en afgørelse om at aktivere direktivet om midlertidig beskyttelse for første gang; </w:t>
      </w:r>
    </w:p>
    <w:p w:rsidR="00517129" w:rsidRPr="00A44086" w:rsidRDefault="00517129" w:rsidP="00517129">
      <w:pPr>
        <w:spacing w:after="240"/>
        <w:ind w:left="567" w:hanging="567"/>
      </w:pPr>
      <w:r>
        <w:t>8.</w:t>
      </w:r>
      <w:r>
        <w:tab/>
        <w:t xml:space="preserve">bemærker, at antallet af udokumenterede ankomster ved de ydre grænser fortsat stiger i forhold til det foregående år; bemærker på den ene side de foranstaltninger, som </w:t>
      </w:r>
      <w:r>
        <w:lastRenderedPageBreak/>
        <w:t>GD HOME har truffet for at danne partnerskaber til bekæmpelse af menneskehandelsnetværk med henblik på at støtte medlemsstaterne i at gennemføre omfordelinger og andre overførselsmekanismer og i at fremme hurtige og effektive asyl- og tilbagesendelsesprocedurer, såsom dem, der knytter sig til EU's visumpolitik og bilaterale samarbejde, og på den anden side foranstaltningerne til fremme af integrationspolitikker for tredjelandsstatsborgere med lovligt ophold; opfordrer Kommissionen til fortsat at arbejde hen imod en strategi for mere effektive tilbagesendelser under fuldstændig overholdelse af chartret om grundlæggende rettigheder og menneskerettighederne for dem, der ankommer til EU; opfordrer endvidere Kommissionen til at fortsætte med at udvide sit eksterne samarbejde om migration og asyl under behørig hensyntagen til artikel 218 i TEUF og fremme integrationspolitikker for tredjelandsstatsborgere med lovligt ophold med støtte fra Asyl-, Migrations- og Integrationsfonden;</w:t>
      </w:r>
    </w:p>
    <w:p w:rsidR="00517129" w:rsidRPr="00A44086" w:rsidRDefault="00517129" w:rsidP="00517129">
      <w:pPr>
        <w:spacing w:after="240"/>
        <w:ind w:left="567" w:hanging="567"/>
      </w:pPr>
      <w:r>
        <w:t>9.</w:t>
      </w:r>
      <w:r>
        <w:tab/>
        <w:t>opfordrer indtrængende Kommissionen til at øge gennemsigtigheden og ansvarligheden i forbindelse med programmeringen og gennemførelsen af midler fra fondene for indre anliggender i tredjelande og af NDICI-midlerne, eksempelvis i lande som Tunesien og Libyen; opfordrer Kommissionen til at skabe en offentligt tilgængelig oversigt over alle migrationsrelaterede udgifter i tredjelande, og opfordrer indtrængende til, at der gennemføres forudgående vurderinger af indvirkningen af migrationsrelaterede udgifter på menneskerettighederne i tredjelande, samt til, at disse vurderinger deles med Parlamentet, når reglerne foreskriver det;</w:t>
      </w:r>
    </w:p>
    <w:p w:rsidR="00517129" w:rsidRPr="00A44086" w:rsidRDefault="00517129" w:rsidP="00517129">
      <w:pPr>
        <w:pStyle w:val="NormalHanging12a"/>
      </w:pPr>
      <w:r>
        <w:t>10.</w:t>
      </w:r>
      <w:r>
        <w:rPr>
          <w:b/>
          <w:i/>
        </w:rPr>
        <w:tab/>
      </w:r>
      <w:r>
        <w:t>anerkender GD JUST's vedvarende støtte til Kommissionens politik for opretholdelse af retsstatsprincippet i Unionen, navnlig den årlige udgave af resultattavlen for retlige anliggender og den tredje årlige rapport om retsstatssituationen, som for første gang indeholdt henstillinger til medlemsstaterne; tilskynder Kommissionen til nøje at overvåge den effektive opfølgning på de henstillinger, der gives til de berørte medlemsstater, og til at skride ind, hvis der ikke vedtages passende foranstaltninger på nationalt plan til at adressere de eksisterende bekymringer;</w:t>
      </w:r>
    </w:p>
    <w:p w:rsidR="00517129" w:rsidRPr="00A44086" w:rsidRDefault="00517129" w:rsidP="00517129">
      <w:pPr>
        <w:pStyle w:val="NormalHanging12a"/>
      </w:pPr>
      <w:r>
        <w:t>11.</w:t>
      </w:r>
      <w:r>
        <w:tab/>
        <w:t>bemærker med bekymring Den Europæiske Ombudsmands særberetning om den tid, det tager Kommissionen at behandle begæringer om aktindsigt, hvori det blev anført, at Kommissionen i 85 % af sagerne ikke behandler genfremsatte begæringer inden for de lovbestemte frister; opfordrer Kommissionen til hurtigst muligt at gøre noget ved dette forhold og til at overholde forordning (EF) nr. 1049/2001 om aktindsigt, som er en central forudsætning for gennemsigtighed og offentlighedens tillid til Kommissionen; minder om, at Ombudsmanden i 2022 indtrængende opfordrede Kommissionen til at behandle anmodninger om aktindsigt vedrørende EU-genopretningsmidler mere ensartet og til at forklare sin begrundelse bedre, hvis den beslutter ikke at frigive de oplysninger, der anmodes om</w:t>
      </w:r>
      <w:r w:rsidRPr="00A44086">
        <w:rPr>
          <w:rStyle w:val="FootnoteReference"/>
        </w:rPr>
        <w:footnoteReference w:id="1"/>
      </w:r>
      <w:r>
        <w:t>, og at Ombudsmanden indledte en undersøgelse af Kommissionens afslag på at give aktindsigt i dokumenter vedrørende sit forslag til forordning om det europæiske sundhedsdataområde</w:t>
      </w:r>
      <w:r w:rsidRPr="00A44086">
        <w:rPr>
          <w:rStyle w:val="FootnoteReference"/>
        </w:rPr>
        <w:footnoteReference w:id="2"/>
      </w:r>
      <w:r>
        <w:t>;</w:t>
      </w:r>
    </w:p>
    <w:p w:rsidR="00517129" w:rsidRPr="00A44086" w:rsidRDefault="00517129" w:rsidP="00517129">
      <w:pPr>
        <w:pStyle w:val="NormalHanging12a"/>
        <w:ind w:left="560" w:hanging="560"/>
      </w:pPr>
      <w:r>
        <w:t>12.</w:t>
      </w:r>
      <w:r>
        <w:tab/>
        <w:t xml:space="preserve">beklager dybt Kommissionens manglende håndhævelsesforanstaltninger og lovgivningsmæssige opfølgning på Parlamentets henstilling, herunder henstilling af 15. </w:t>
      </w:r>
      <w:r>
        <w:lastRenderedPageBreak/>
        <w:t>juni 2023 til Rådet og Kommissionen efter undersøgelsen af påstande om overtrædelser og fejl og forsømmelser i forbindelse med gennemførelsen af EU-retten i relation til brugen af Pegasus-spyware og tilsvarende overvågningsspyware; opfordrer Kommissionen til at overholde princippet om loyalt samarbejde mellem EU-institutionerne og til at overholde forpligtelserne i rammeaftalen og den interinstitutionelle aftale om bedre lovgivning;</w:t>
      </w:r>
    </w:p>
    <w:p w:rsidR="00517129" w:rsidRPr="00A44086" w:rsidRDefault="00517129" w:rsidP="00517129">
      <w:pPr>
        <w:pStyle w:val="NormalHanging12a"/>
        <w:ind w:left="560" w:hanging="560"/>
      </w:pPr>
      <w:r>
        <w:t>13.</w:t>
      </w:r>
      <w:r>
        <w:tab/>
        <w:t>er stærkt bekymret over afsløringerne vedrørende interessekonflikter, der involverer højtstående tjenestemænd i Kommissionen, og brugen af X til at gøre reklame for forordningen om seksuelt misbrug af børn; opfordrer Kommissionen til at offentliggøre alle dokumenter, som Parlamentet anmoder om, og til at sikre fuld gennemsigtighed i denne sag.</w:t>
      </w:r>
    </w:p>
    <w:p w:rsidR="00517129" w:rsidRDefault="00517129">
      <w:pPr>
        <w:widowControl/>
      </w:pPr>
      <w:r>
        <w:br w:type="page"/>
      </w:r>
    </w:p>
    <w:p w:rsidR="00517129" w:rsidRDefault="00517129" w:rsidP="00517129">
      <w:pPr>
        <w:spacing w:after="240"/>
        <w:ind w:left="567" w:hanging="567"/>
        <w:sectPr w:rsidR="00517129" w:rsidSect="0051712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A4752D" w:rsidRDefault="00A4752D" w:rsidP="00A4752D">
      <w:pPr>
        <w:pStyle w:val="PageHeadingNotTOC"/>
      </w:pPr>
      <w:bookmarkStart w:id="1" w:name="ProcPageAD"/>
      <w:r>
        <w:lastRenderedPageBreak/>
        <w:t>OPLYSNINGER OM VEDTAGELSE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4752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4752D" w:rsidRDefault="00A4752D">
            <w:pPr>
              <w:autoSpaceDE w:val="0"/>
              <w:autoSpaceDN w:val="0"/>
              <w:adjustRightInd w:val="0"/>
              <w:rPr>
                <w:b/>
                <w:bCs/>
                <w:color w:val="000000"/>
                <w:sz w:val="20"/>
              </w:rPr>
            </w:pPr>
            <w:r>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4752D" w:rsidRDefault="00A4752D">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4752D" w:rsidRDefault="00A4752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4752D" w:rsidRDefault="00A4752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4752D" w:rsidRDefault="00A4752D">
            <w:pPr>
              <w:autoSpaceDE w:val="0"/>
              <w:autoSpaceDN w:val="0"/>
              <w:adjustRightInd w:val="0"/>
              <w:rPr>
                <w:rFonts w:ascii="sans-serif" w:hAnsi="sans-serif" w:cs="sans-serif"/>
                <w:color w:val="000000"/>
                <w:szCs w:val="24"/>
              </w:rPr>
            </w:pPr>
          </w:p>
        </w:tc>
      </w:tr>
      <w:tr w:rsidR="00A4752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4752D" w:rsidRDefault="00A4752D">
            <w:pPr>
              <w:autoSpaceDE w:val="0"/>
              <w:autoSpaceDN w:val="0"/>
              <w:adjustRightInd w:val="0"/>
              <w:rPr>
                <w:b/>
                <w:bCs/>
                <w:color w:val="000000"/>
                <w:sz w:val="20"/>
              </w:rPr>
            </w:pPr>
            <w:r>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4752D" w:rsidRDefault="00A4752D">
            <w:pPr>
              <w:autoSpaceDE w:val="0"/>
              <w:autoSpaceDN w:val="0"/>
              <w:adjustRightInd w:val="0"/>
              <w:rPr>
                <w:color w:val="000000"/>
                <w:sz w:val="20"/>
              </w:rPr>
            </w:pPr>
            <w:r>
              <w:rPr>
                <w:color w:val="000000"/>
                <w:sz w:val="20"/>
              </w:rPr>
              <w:t>+:</w:t>
            </w:r>
          </w:p>
          <w:p w:rsidR="00A4752D" w:rsidRDefault="00A4752D">
            <w:pPr>
              <w:autoSpaceDE w:val="0"/>
              <w:autoSpaceDN w:val="0"/>
              <w:adjustRightInd w:val="0"/>
              <w:rPr>
                <w:color w:val="000000"/>
                <w:sz w:val="20"/>
              </w:rPr>
            </w:pPr>
            <w:r>
              <w:rPr>
                <w:color w:val="000000"/>
                <w:sz w:val="20"/>
              </w:rPr>
              <w:t>–:</w:t>
            </w:r>
          </w:p>
          <w:p w:rsidR="00A4752D" w:rsidRDefault="00A4752D">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4752D" w:rsidRDefault="00A4752D">
            <w:pPr>
              <w:autoSpaceDE w:val="0"/>
              <w:autoSpaceDN w:val="0"/>
              <w:adjustRightInd w:val="0"/>
              <w:rPr>
                <w:color w:val="000000"/>
                <w:sz w:val="20"/>
              </w:rPr>
            </w:pPr>
            <w:r>
              <w:rPr>
                <w:color w:val="000000"/>
                <w:sz w:val="20"/>
              </w:rPr>
              <w:t>42</w:t>
            </w:r>
          </w:p>
          <w:p w:rsidR="00A4752D" w:rsidRDefault="00A4752D">
            <w:pPr>
              <w:autoSpaceDE w:val="0"/>
              <w:autoSpaceDN w:val="0"/>
              <w:adjustRightInd w:val="0"/>
              <w:rPr>
                <w:color w:val="000000"/>
                <w:sz w:val="20"/>
              </w:rPr>
            </w:pPr>
            <w:r>
              <w:rPr>
                <w:color w:val="000000"/>
                <w:sz w:val="20"/>
              </w:rPr>
              <w:t>13</w:t>
            </w:r>
          </w:p>
          <w:p w:rsidR="00A4752D" w:rsidRDefault="00A4752D">
            <w:pPr>
              <w:autoSpaceDE w:val="0"/>
              <w:autoSpaceDN w:val="0"/>
              <w:adjustRightInd w:val="0"/>
              <w:rPr>
                <w:color w:val="000000"/>
                <w:sz w:val="20"/>
              </w:rPr>
            </w:pPr>
            <w:r>
              <w:rPr>
                <w:color w:val="000000"/>
                <w:sz w:val="20"/>
              </w:rPr>
              <w:t>1</w:t>
            </w:r>
          </w:p>
        </w:tc>
      </w:tr>
      <w:tr w:rsidR="00A4752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4752D" w:rsidRDefault="00A4752D">
            <w:pPr>
              <w:autoSpaceDE w:val="0"/>
              <w:autoSpaceDN w:val="0"/>
              <w:adjustRightInd w:val="0"/>
              <w:rPr>
                <w:b/>
                <w:bCs/>
                <w:color w:val="000000"/>
                <w:sz w:val="20"/>
              </w:rPr>
            </w:pPr>
            <w:r>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4752D" w:rsidRDefault="00A4752D">
            <w:pPr>
              <w:autoSpaceDE w:val="0"/>
              <w:autoSpaceDN w:val="0"/>
              <w:adjustRightInd w:val="0"/>
              <w:rPr>
                <w:color w:val="000000"/>
                <w:sz w:val="20"/>
              </w:rPr>
            </w:pPr>
            <w:r>
              <w:rPr>
                <w:color w:val="000000"/>
                <w:sz w:val="20"/>
              </w:rPr>
              <w:t>Magdalena Adamowicz, Abir Al-Sahlani, Katarina Barley, Pietro Bartolo, Theresa Bielo</w:t>
            </w:r>
            <w:bookmarkStart w:id="2" w:name="_GoBack"/>
            <w:bookmarkEnd w:id="2"/>
            <w:r>
              <w:rPr>
                <w:color w:val="000000"/>
                <w:sz w:val="20"/>
              </w:rPr>
              <w:t>wski, Patrick Breyer, Saskia Bricmont, Jorge Buxadé Villalba, Damien Carême, Patricia Chagnon, Lena Düpont, Lucia Ďuriš Nicholsonová, Cornelia Ernst,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Elena Yoncheva, Javier Zarzalejos</w:t>
            </w:r>
          </w:p>
        </w:tc>
      </w:tr>
      <w:tr w:rsidR="00A4752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4752D" w:rsidRDefault="00A4752D">
            <w:pPr>
              <w:autoSpaceDE w:val="0"/>
              <w:autoSpaceDN w:val="0"/>
              <w:adjustRightInd w:val="0"/>
              <w:rPr>
                <w:b/>
                <w:bCs/>
                <w:color w:val="000000"/>
                <w:sz w:val="20"/>
              </w:rPr>
            </w:pPr>
            <w:r>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4752D" w:rsidRDefault="00A4752D">
            <w:pPr>
              <w:autoSpaceDE w:val="0"/>
              <w:autoSpaceDN w:val="0"/>
              <w:adjustRightInd w:val="0"/>
              <w:rPr>
                <w:color w:val="000000"/>
                <w:sz w:val="20"/>
              </w:rPr>
            </w:pPr>
            <w:r>
              <w:rPr>
                <w:color w:val="000000"/>
                <w:sz w:val="20"/>
              </w:rPr>
              <w:t>Cyrus Engerer, José Gusmão, Beata Kempa, Leopoldo López Gil, Janina Ochojska, Anne-Sophie Pelletier, Bergur Løkke Rasmussen, Róża Thun und Hohenstein, Maria Walsh, Tomáš Zdechovský</w:t>
            </w:r>
          </w:p>
        </w:tc>
      </w:tr>
      <w:tr w:rsidR="00A4752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4752D" w:rsidRDefault="00A4752D">
            <w:pPr>
              <w:autoSpaceDE w:val="0"/>
              <w:autoSpaceDN w:val="0"/>
              <w:adjustRightInd w:val="0"/>
              <w:rPr>
                <w:b/>
                <w:bCs/>
                <w:color w:val="000000"/>
                <w:sz w:val="20"/>
              </w:rPr>
            </w:pPr>
            <w:r>
              <w:rPr>
                <w:b/>
                <w:color w:val="000000"/>
                <w:sz w:val="20"/>
              </w:rPr>
              <w:t>Til stede ved den endelige afstemning – 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4752D" w:rsidRDefault="00A4752D">
            <w:pPr>
              <w:autoSpaceDE w:val="0"/>
              <w:autoSpaceDN w:val="0"/>
              <w:adjustRightInd w:val="0"/>
              <w:rPr>
                <w:color w:val="000000"/>
                <w:sz w:val="20"/>
              </w:rPr>
            </w:pPr>
            <w:r>
              <w:rPr>
                <w:color w:val="000000"/>
                <w:sz w:val="20"/>
              </w:rPr>
              <w:t>Andrus Ansip, Hildegard Bentele, Maria da Graça Carvalho, Marisa Matias, Caroline Nagtegaal</w:t>
            </w:r>
          </w:p>
        </w:tc>
      </w:tr>
    </w:tbl>
    <w:p w:rsidR="00A4752D" w:rsidRDefault="00A4752D"/>
    <w:bookmarkEnd w:id="1"/>
    <w:p w:rsidR="00517129" w:rsidRDefault="00517129">
      <w:pPr>
        <w:widowControl/>
      </w:pPr>
      <w:r>
        <w:br w:type="page"/>
      </w:r>
    </w:p>
    <w:p w:rsidR="00517129" w:rsidRDefault="00517129" w:rsidP="00517129">
      <w:pPr>
        <w:pStyle w:val="PageHeadingNotTOC"/>
        <w:rPr>
          <w:noProof/>
        </w:rPr>
      </w:pPr>
      <w:bookmarkStart w:id="3" w:name="FootprintPageAD"/>
      <w:r>
        <w:t>BILAG: ENHEDER ELLER PERSONER</w:t>
      </w:r>
      <w:r>
        <w:br/>
        <w:t>SOM ORDFØREREN FOR UDTALELSEN HAR MODTAGET INPUT FRA</w:t>
      </w:r>
    </w:p>
    <w:p w:rsidR="00517129" w:rsidRPr="0099178F" w:rsidRDefault="00517129" w:rsidP="00517129">
      <w:pPr>
        <w:pStyle w:val="Normal24a"/>
      </w:pPr>
      <w:r>
        <w:rPr>
          <w:rStyle w:val="HideTWBExt"/>
        </w:rPr>
        <w:t>&lt;FootprintIntro&gt;</w:t>
      </w:r>
      <w:r>
        <w:t>Ordføreren erklærer på eget ansvar ikke at have modtaget input fra nogen enhed eller person, der skal nævnes i dette bilag i henhold til artikel 8 i bilag I til forretningsordenen.</w:t>
      </w:r>
      <w:r>
        <w:rPr>
          <w:rStyle w:val="HideTWBExt"/>
        </w:rPr>
        <w:t>&lt;/FootprintIntro&gt;</w:t>
      </w:r>
    </w:p>
    <w:p w:rsidR="00517129" w:rsidRDefault="00517129" w:rsidP="00517129"/>
    <w:p w:rsidR="00517129" w:rsidRPr="00517129" w:rsidRDefault="00517129" w:rsidP="00517129"/>
    <w:bookmarkEnd w:id="3"/>
    <w:p w:rsidR="00517129" w:rsidRDefault="00517129" w:rsidP="00517129">
      <w:pPr>
        <w:sectPr w:rsidR="00517129" w:rsidSect="0051712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17129" w:rsidRPr="00517129" w:rsidRDefault="00517129" w:rsidP="00517129"/>
    <w:p w:rsidR="00517129" w:rsidRPr="0099178F" w:rsidRDefault="00517129" w:rsidP="00C36610">
      <w:pPr>
        <w:pStyle w:val="PageHeadingNotTOC"/>
      </w:pPr>
      <w:bookmarkStart w:id="4" w:name="RollCallPageAD"/>
      <w:r>
        <w:t>ENDELIG AFSTEMNING VED NAVNEOPRÅB</w:t>
      </w:r>
      <w:r>
        <w:br/>
        <w:t>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17129" w:rsidRPr="00A44086" w:rsidTr="001F44C8">
        <w:trPr>
          <w:cantSplit/>
        </w:trPr>
        <w:tc>
          <w:tcPr>
            <w:tcW w:w="1701" w:type="dxa"/>
            <w:shd w:val="pct10" w:color="000000" w:fill="FFFFFF"/>
            <w:vAlign w:val="center"/>
          </w:tcPr>
          <w:p w:rsidR="00517129" w:rsidRPr="00A44086" w:rsidRDefault="00517129" w:rsidP="001F44C8">
            <w:pPr>
              <w:pStyle w:val="RollCallVotes"/>
            </w:pPr>
            <w:r>
              <w:t>42</w:t>
            </w:r>
          </w:p>
        </w:tc>
        <w:tc>
          <w:tcPr>
            <w:tcW w:w="7371" w:type="dxa"/>
            <w:shd w:val="pct10" w:color="000000" w:fill="FFFFFF"/>
          </w:tcPr>
          <w:p w:rsidR="00517129" w:rsidRPr="00A44086" w:rsidRDefault="00517129" w:rsidP="001F44C8">
            <w:pPr>
              <w:pStyle w:val="RollCallSymbols14pt"/>
            </w:pPr>
            <w:r>
              <w:t>+</w:t>
            </w:r>
          </w:p>
        </w:tc>
      </w:tr>
      <w:tr w:rsidR="00517129" w:rsidRPr="00A44086" w:rsidTr="001F44C8">
        <w:trPr>
          <w:cantSplit/>
        </w:trPr>
        <w:tc>
          <w:tcPr>
            <w:tcW w:w="1701" w:type="dxa"/>
            <w:shd w:val="clear" w:color="auto" w:fill="FFFFFF"/>
          </w:tcPr>
          <w:p w:rsidR="00517129" w:rsidRPr="00A44086" w:rsidRDefault="00517129" w:rsidP="001F44C8">
            <w:pPr>
              <w:pStyle w:val="RollCallTable"/>
            </w:pPr>
            <w:r>
              <w:t>PPE</w:t>
            </w:r>
          </w:p>
        </w:tc>
        <w:tc>
          <w:tcPr>
            <w:tcW w:w="7371" w:type="dxa"/>
            <w:shd w:val="clear" w:color="auto" w:fill="FFFFFF"/>
          </w:tcPr>
          <w:p w:rsidR="00517129" w:rsidRPr="00A44086" w:rsidRDefault="00517129" w:rsidP="001F44C8">
            <w:pPr>
              <w:pStyle w:val="RollCallTable"/>
            </w:pPr>
            <w:r>
              <w:t>Magdalena Adamowicz, Hildegard Bentele, Maria da Graça Carvalho, Lena Düpont, Andrzej Halicki, Jeroen Lenaers, Leopoldo López Gil, Janina Ochojska, Elissavet Vozemberg-Vrionidi, Maria Walsh, Javier Zarzalejos, Tomáš Zdechovský</w:t>
            </w:r>
          </w:p>
        </w:tc>
      </w:tr>
      <w:tr w:rsidR="00517129" w:rsidRPr="00A44086" w:rsidTr="001F44C8">
        <w:trPr>
          <w:cantSplit/>
        </w:trPr>
        <w:tc>
          <w:tcPr>
            <w:tcW w:w="1701" w:type="dxa"/>
            <w:shd w:val="clear" w:color="auto" w:fill="FFFFFF"/>
          </w:tcPr>
          <w:p w:rsidR="00517129" w:rsidRPr="00A44086" w:rsidRDefault="00517129" w:rsidP="001F44C8">
            <w:pPr>
              <w:pStyle w:val="RollCallTable"/>
            </w:pPr>
            <w:r>
              <w:t>Renew</w:t>
            </w:r>
          </w:p>
        </w:tc>
        <w:tc>
          <w:tcPr>
            <w:tcW w:w="7371" w:type="dxa"/>
            <w:shd w:val="clear" w:color="auto" w:fill="FFFFFF"/>
          </w:tcPr>
          <w:p w:rsidR="00517129" w:rsidRPr="00A44086" w:rsidRDefault="00517129" w:rsidP="001F44C8">
            <w:pPr>
              <w:pStyle w:val="RollCallTable"/>
            </w:pPr>
            <w:r>
              <w:t>Abir Al-Sahlani, Andrus Ansip, Lucia Ďuriš Nicholsonová, Sophia in 't Veld, Moritz Körner, Caroline Nagtegaal, Maite Pagazaurtundúa, Bergur Løkke Rasmussen, Róża Thun und Hohenstein, Jana Toom</w:t>
            </w:r>
          </w:p>
        </w:tc>
      </w:tr>
      <w:tr w:rsidR="00517129" w:rsidRPr="00A44086" w:rsidTr="001F44C8">
        <w:trPr>
          <w:cantSplit/>
        </w:trPr>
        <w:tc>
          <w:tcPr>
            <w:tcW w:w="1701" w:type="dxa"/>
            <w:shd w:val="clear" w:color="auto" w:fill="FFFFFF"/>
          </w:tcPr>
          <w:p w:rsidR="00517129" w:rsidRPr="00A44086" w:rsidRDefault="00517129" w:rsidP="001F44C8">
            <w:pPr>
              <w:pStyle w:val="RollCallTable"/>
            </w:pPr>
            <w:r>
              <w:t>S&amp;D</w:t>
            </w:r>
          </w:p>
        </w:tc>
        <w:tc>
          <w:tcPr>
            <w:tcW w:w="7371" w:type="dxa"/>
            <w:shd w:val="clear" w:color="auto" w:fill="FFFFFF"/>
          </w:tcPr>
          <w:p w:rsidR="00517129" w:rsidRPr="00A44086" w:rsidRDefault="00517129" w:rsidP="001F44C8">
            <w:pPr>
              <w:pStyle w:val="RollCallTable"/>
            </w:pPr>
            <w:r>
              <w:t>Katarina Barley, Pietro Bartolo, Theresa Bielowski, Cyrus Engerer, Maria Grapini, Sylvie Guillaume, Evin Incir, Marina Kaljurand, Łukasz Kohut, Juan Fernando López Aguilar, Javier Moreno Sánchez, Isabel Santos, Birgit Sippel, Elena Yoncheva</w:t>
            </w:r>
          </w:p>
        </w:tc>
      </w:tr>
      <w:tr w:rsidR="00517129" w:rsidRPr="00A44086" w:rsidTr="001F44C8">
        <w:trPr>
          <w:cantSplit/>
        </w:trPr>
        <w:tc>
          <w:tcPr>
            <w:tcW w:w="1701" w:type="dxa"/>
            <w:shd w:val="clear" w:color="auto" w:fill="FFFFFF"/>
          </w:tcPr>
          <w:p w:rsidR="00517129" w:rsidRPr="00A44086" w:rsidRDefault="00517129" w:rsidP="001F44C8">
            <w:pPr>
              <w:pStyle w:val="RollCallTable"/>
            </w:pPr>
            <w:r>
              <w:t>Verts/ALE</w:t>
            </w:r>
          </w:p>
        </w:tc>
        <w:tc>
          <w:tcPr>
            <w:tcW w:w="7371" w:type="dxa"/>
            <w:shd w:val="clear" w:color="auto" w:fill="FFFFFF"/>
          </w:tcPr>
          <w:p w:rsidR="00517129" w:rsidRPr="00A44086" w:rsidRDefault="00517129" w:rsidP="001F44C8">
            <w:pPr>
              <w:pStyle w:val="RollCallTable"/>
            </w:pPr>
            <w:r>
              <w:t>Saskia Bricmont, Damien Carême, Alice Kuhnke, Erik Marquardt, Diana Riba i Giner, Tineke Strik</w:t>
            </w:r>
          </w:p>
        </w:tc>
      </w:tr>
    </w:tbl>
    <w:p w:rsidR="00517129" w:rsidRPr="00A44086" w:rsidRDefault="00517129" w:rsidP="0051712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17129" w:rsidRPr="00A44086" w:rsidTr="001F44C8">
        <w:trPr>
          <w:cantSplit/>
        </w:trPr>
        <w:tc>
          <w:tcPr>
            <w:tcW w:w="1701" w:type="dxa"/>
            <w:shd w:val="pct10" w:color="000000" w:fill="FFFFFF"/>
            <w:vAlign w:val="center"/>
          </w:tcPr>
          <w:p w:rsidR="00517129" w:rsidRPr="00A44086" w:rsidRDefault="00517129" w:rsidP="001F44C8">
            <w:pPr>
              <w:pStyle w:val="RollCallVotes"/>
            </w:pPr>
            <w:r>
              <w:t>13</w:t>
            </w:r>
          </w:p>
        </w:tc>
        <w:tc>
          <w:tcPr>
            <w:tcW w:w="7371" w:type="dxa"/>
            <w:shd w:val="pct10" w:color="000000" w:fill="FFFFFF"/>
          </w:tcPr>
          <w:p w:rsidR="00517129" w:rsidRPr="00A44086" w:rsidRDefault="00517129" w:rsidP="001F44C8">
            <w:pPr>
              <w:pStyle w:val="RollCallSymbols14pt"/>
            </w:pPr>
            <w:r>
              <w:t>-</w:t>
            </w:r>
          </w:p>
        </w:tc>
      </w:tr>
      <w:tr w:rsidR="00517129" w:rsidRPr="00A44086" w:rsidTr="001F44C8">
        <w:trPr>
          <w:cantSplit/>
        </w:trPr>
        <w:tc>
          <w:tcPr>
            <w:tcW w:w="1701" w:type="dxa"/>
            <w:shd w:val="clear" w:color="auto" w:fill="FFFFFF"/>
          </w:tcPr>
          <w:p w:rsidR="00517129" w:rsidRPr="00A44086" w:rsidRDefault="00517129" w:rsidP="001F44C8">
            <w:pPr>
              <w:pStyle w:val="RollCallTable"/>
            </w:pPr>
            <w:r>
              <w:t>ECR</w:t>
            </w:r>
          </w:p>
        </w:tc>
        <w:tc>
          <w:tcPr>
            <w:tcW w:w="7371" w:type="dxa"/>
            <w:shd w:val="clear" w:color="auto" w:fill="FFFFFF"/>
          </w:tcPr>
          <w:p w:rsidR="00517129" w:rsidRPr="00A44086" w:rsidRDefault="00517129" w:rsidP="001F44C8">
            <w:pPr>
              <w:pStyle w:val="RollCallTable"/>
            </w:pPr>
            <w:r>
              <w:t>Jorge Buxadé Villalba, Patryk Jaki, Assita Kanko, Beata Kempa, Vincenzo Sofo</w:t>
            </w:r>
          </w:p>
        </w:tc>
      </w:tr>
      <w:tr w:rsidR="00517129" w:rsidRPr="00A44086" w:rsidTr="001F44C8">
        <w:trPr>
          <w:cantSplit/>
        </w:trPr>
        <w:tc>
          <w:tcPr>
            <w:tcW w:w="1701" w:type="dxa"/>
            <w:shd w:val="clear" w:color="auto" w:fill="FFFFFF"/>
          </w:tcPr>
          <w:p w:rsidR="00517129" w:rsidRPr="00A44086" w:rsidRDefault="00517129" w:rsidP="001F44C8">
            <w:pPr>
              <w:pStyle w:val="RollCallTable"/>
            </w:pPr>
            <w:r>
              <w:t>ID</w:t>
            </w:r>
          </w:p>
        </w:tc>
        <w:tc>
          <w:tcPr>
            <w:tcW w:w="7371" w:type="dxa"/>
            <w:shd w:val="clear" w:color="auto" w:fill="FFFFFF"/>
          </w:tcPr>
          <w:p w:rsidR="00517129" w:rsidRPr="00A44086" w:rsidRDefault="00517129" w:rsidP="001F44C8">
            <w:pPr>
              <w:pStyle w:val="RollCallTable"/>
            </w:pPr>
            <w:r>
              <w:t>Patricia Chagnon, Nicolaus Fest, Tom Vandendriessche</w:t>
            </w:r>
          </w:p>
        </w:tc>
      </w:tr>
      <w:tr w:rsidR="00517129" w:rsidRPr="00A44086" w:rsidTr="001F44C8">
        <w:trPr>
          <w:cantSplit/>
        </w:trPr>
        <w:tc>
          <w:tcPr>
            <w:tcW w:w="1701" w:type="dxa"/>
            <w:shd w:val="clear" w:color="auto" w:fill="FFFFFF"/>
          </w:tcPr>
          <w:p w:rsidR="00517129" w:rsidRPr="00A44086" w:rsidRDefault="00517129" w:rsidP="001F44C8">
            <w:pPr>
              <w:pStyle w:val="RollCallTable"/>
            </w:pPr>
            <w:r>
              <w:t>NI</w:t>
            </w:r>
          </w:p>
        </w:tc>
        <w:tc>
          <w:tcPr>
            <w:tcW w:w="7371" w:type="dxa"/>
            <w:shd w:val="clear" w:color="auto" w:fill="FFFFFF"/>
          </w:tcPr>
          <w:p w:rsidR="00517129" w:rsidRPr="00A44086" w:rsidRDefault="00517129" w:rsidP="001F44C8">
            <w:pPr>
              <w:pStyle w:val="RollCallTable"/>
            </w:pPr>
            <w:r>
              <w:t>Milan Uhrík</w:t>
            </w:r>
          </w:p>
        </w:tc>
      </w:tr>
      <w:tr w:rsidR="00517129" w:rsidRPr="00A44086" w:rsidTr="001F44C8">
        <w:trPr>
          <w:cantSplit/>
        </w:trPr>
        <w:tc>
          <w:tcPr>
            <w:tcW w:w="1701" w:type="dxa"/>
            <w:shd w:val="clear" w:color="auto" w:fill="FFFFFF"/>
          </w:tcPr>
          <w:p w:rsidR="00517129" w:rsidRPr="00A44086" w:rsidRDefault="00517129" w:rsidP="001F44C8">
            <w:pPr>
              <w:pStyle w:val="RollCallTable"/>
            </w:pPr>
            <w:r>
              <w:t>The Left</w:t>
            </w:r>
          </w:p>
        </w:tc>
        <w:tc>
          <w:tcPr>
            <w:tcW w:w="7371" w:type="dxa"/>
            <w:shd w:val="clear" w:color="auto" w:fill="FFFFFF"/>
          </w:tcPr>
          <w:p w:rsidR="00517129" w:rsidRPr="00A44086" w:rsidRDefault="00517129" w:rsidP="001F44C8">
            <w:pPr>
              <w:pStyle w:val="RollCallTable"/>
            </w:pPr>
            <w:r>
              <w:t>Cornelia Ernst, José Gusmão, Marisa Matias, Anne-Sophie Pelletier</w:t>
            </w:r>
          </w:p>
        </w:tc>
      </w:tr>
    </w:tbl>
    <w:p w:rsidR="00517129" w:rsidRPr="00A44086" w:rsidRDefault="00517129" w:rsidP="0051712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17129" w:rsidRPr="00A44086" w:rsidTr="001F44C8">
        <w:trPr>
          <w:cantSplit/>
        </w:trPr>
        <w:tc>
          <w:tcPr>
            <w:tcW w:w="1701" w:type="dxa"/>
            <w:shd w:val="pct10" w:color="000000" w:fill="FFFFFF"/>
            <w:vAlign w:val="center"/>
          </w:tcPr>
          <w:p w:rsidR="00517129" w:rsidRPr="00A44086" w:rsidRDefault="00517129" w:rsidP="001F44C8">
            <w:pPr>
              <w:pStyle w:val="RollCallVotes"/>
            </w:pPr>
            <w:r>
              <w:t>1</w:t>
            </w:r>
          </w:p>
        </w:tc>
        <w:tc>
          <w:tcPr>
            <w:tcW w:w="7371" w:type="dxa"/>
            <w:shd w:val="pct10" w:color="000000" w:fill="FFFFFF"/>
          </w:tcPr>
          <w:p w:rsidR="00517129" w:rsidRPr="00A44086" w:rsidRDefault="00517129" w:rsidP="001F44C8">
            <w:pPr>
              <w:pStyle w:val="RollCallSymbols14pt"/>
            </w:pPr>
            <w:r>
              <w:t>0</w:t>
            </w:r>
          </w:p>
        </w:tc>
      </w:tr>
      <w:tr w:rsidR="00517129" w:rsidRPr="00A44086" w:rsidTr="001F44C8">
        <w:trPr>
          <w:cantSplit/>
        </w:trPr>
        <w:tc>
          <w:tcPr>
            <w:tcW w:w="1701" w:type="dxa"/>
            <w:shd w:val="clear" w:color="auto" w:fill="FFFFFF"/>
          </w:tcPr>
          <w:p w:rsidR="00517129" w:rsidRPr="00A44086" w:rsidRDefault="00517129" w:rsidP="001F44C8">
            <w:pPr>
              <w:pStyle w:val="RollCallTable"/>
            </w:pPr>
            <w:r>
              <w:t>Verts/ALE</w:t>
            </w:r>
          </w:p>
        </w:tc>
        <w:tc>
          <w:tcPr>
            <w:tcW w:w="7371" w:type="dxa"/>
            <w:shd w:val="clear" w:color="auto" w:fill="FFFFFF"/>
          </w:tcPr>
          <w:p w:rsidR="00517129" w:rsidRPr="00A44086" w:rsidRDefault="00517129" w:rsidP="001F44C8">
            <w:pPr>
              <w:pStyle w:val="RollCallTable"/>
            </w:pPr>
            <w:r>
              <w:t>Patrick Breyer</w:t>
            </w:r>
          </w:p>
        </w:tc>
      </w:tr>
    </w:tbl>
    <w:p w:rsidR="00517129" w:rsidRDefault="00517129" w:rsidP="00147FBF">
      <w:pPr>
        <w:pStyle w:val="Normal12a"/>
      </w:pPr>
    </w:p>
    <w:p w:rsidR="00517129" w:rsidRDefault="00517129" w:rsidP="00B735E3">
      <w:r>
        <w:t>Tegnforklaring:</w:t>
      </w:r>
    </w:p>
    <w:p w:rsidR="00517129" w:rsidRDefault="00517129" w:rsidP="003858C5">
      <w:pPr>
        <w:pStyle w:val="RollCallTabs"/>
      </w:pPr>
      <w:r>
        <w:t>+</w:t>
      </w:r>
      <w:r>
        <w:tab/>
        <w:t>:</w:t>
      </w:r>
      <w:r>
        <w:tab/>
        <w:t>for</w:t>
      </w:r>
    </w:p>
    <w:p w:rsidR="00517129" w:rsidRDefault="00517129" w:rsidP="003858C5">
      <w:pPr>
        <w:pStyle w:val="RollCallTabs"/>
      </w:pPr>
      <w:r>
        <w:t>-</w:t>
      </w:r>
      <w:r>
        <w:tab/>
        <w:t>:</w:t>
      </w:r>
      <w:r>
        <w:tab/>
        <w:t>imod</w:t>
      </w:r>
    </w:p>
    <w:p w:rsidR="00517129" w:rsidRDefault="00517129" w:rsidP="003858C5">
      <w:pPr>
        <w:pStyle w:val="RollCallTabs"/>
      </w:pPr>
      <w:r>
        <w:t>0</w:t>
      </w:r>
      <w:r>
        <w:tab/>
        <w:t>:</w:t>
      </w:r>
      <w:r>
        <w:tab/>
        <w:t>hverken/eller</w:t>
      </w:r>
    </w:p>
    <w:p w:rsidR="00517129" w:rsidRDefault="00517129" w:rsidP="00207509"/>
    <w:bookmarkEnd w:id="4"/>
    <w:p w:rsidR="002E6F98" w:rsidRPr="00517129" w:rsidRDefault="002E6F98" w:rsidP="00517129"/>
    <w:sectPr w:rsidR="002E6F98" w:rsidRPr="00517129" w:rsidSect="0051712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481" w:rsidRPr="00CC1D78" w:rsidRDefault="00AB5481">
      <w:r w:rsidRPr="00CC1D78">
        <w:separator/>
      </w:r>
    </w:p>
  </w:endnote>
  <w:endnote w:type="continuationSeparator" w:id="0">
    <w:p w:rsidR="00AB5481" w:rsidRPr="00CC1D78" w:rsidRDefault="00AB5481">
      <w:r w:rsidRPr="00CC1D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52D" w:rsidRDefault="00A4752D" w:rsidP="00A4752D">
    <w:pPr>
      <w:pStyle w:val="EPFooter"/>
    </w:pPr>
    <w:r>
      <w:t>PE</w:t>
    </w:r>
    <w:r w:rsidRPr="00A4752D">
      <w:rPr>
        <w:rStyle w:val="HideTWBExt"/>
      </w:rPr>
      <w:t>&lt;NoPE&gt;</w:t>
    </w:r>
    <w:r>
      <w:t>756.204</w:t>
    </w:r>
    <w:r w:rsidRPr="00A4752D">
      <w:rPr>
        <w:rStyle w:val="HideTWBExt"/>
      </w:rPr>
      <w:t>&lt;/NoPE&gt;&lt;Version&gt;</w:t>
    </w:r>
    <w:r>
      <w:t>v02-00</w:t>
    </w:r>
    <w:r w:rsidRPr="00A4752D">
      <w:rPr>
        <w:rStyle w:val="HideTWBExt"/>
      </w:rPr>
      <w:t>&lt;/Version&gt;</w:t>
    </w:r>
    <w:r>
      <w:tab/>
    </w:r>
    <w:r>
      <w:fldChar w:fldCharType="begin"/>
    </w:r>
    <w:r>
      <w:instrText xml:space="preserve"> PAGE  \* MERGEFORMAT </w:instrText>
    </w:r>
    <w:r>
      <w:fldChar w:fldCharType="separate"/>
    </w:r>
    <w:r w:rsidR="00411379">
      <w:rPr>
        <w:noProof/>
      </w:rPr>
      <w:t>6</w:t>
    </w:r>
    <w:r>
      <w:fldChar w:fldCharType="end"/>
    </w:r>
    <w:r>
      <w:t>/</w:t>
    </w:r>
    <w:r w:rsidR="00411379">
      <w:fldChar w:fldCharType="begin"/>
    </w:r>
    <w:r w:rsidR="00411379">
      <w:instrText xml:space="preserve"> NUMPAGES  \* MERGEFORMAT </w:instrText>
    </w:r>
    <w:r w:rsidR="00411379">
      <w:fldChar w:fldCharType="separate"/>
    </w:r>
    <w:r w:rsidR="00411379">
      <w:rPr>
        <w:noProof/>
      </w:rPr>
      <w:t>8</w:t>
    </w:r>
    <w:r w:rsidR="00411379">
      <w:rPr>
        <w:noProof/>
      </w:rPr>
      <w:fldChar w:fldCharType="end"/>
    </w:r>
    <w:r>
      <w:tab/>
    </w:r>
    <w:r w:rsidRPr="00A4752D">
      <w:rPr>
        <w:rStyle w:val="HideTWBExt"/>
      </w:rPr>
      <w:t>&lt;PathFdR&gt;</w:t>
    </w:r>
    <w:r>
      <w:t>AD\1294538DA.docx</w:t>
    </w:r>
    <w:r w:rsidRPr="00A4752D">
      <w:rPr>
        <w:rStyle w:val="HideTWBExt"/>
      </w:rPr>
      <w:t>&lt;/PathFdR&gt;</w:t>
    </w:r>
  </w:p>
  <w:p w:rsidR="002E2F2E" w:rsidRPr="00CC1D78" w:rsidRDefault="00A4752D" w:rsidP="00A4752D">
    <w:pPr>
      <w:pStyle w:val="EPFooter2"/>
    </w:pPr>
    <w:r>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52D" w:rsidRDefault="00A4752D" w:rsidP="00A4752D">
    <w:pPr>
      <w:pStyle w:val="EPFooter"/>
    </w:pPr>
    <w:r w:rsidRPr="00A4752D">
      <w:rPr>
        <w:rStyle w:val="HideTWBExt"/>
      </w:rPr>
      <w:t>&lt;PathFdR&gt;</w:t>
    </w:r>
    <w:r>
      <w:t>AD\1294538DA.docx</w:t>
    </w:r>
    <w:r w:rsidRPr="00A4752D">
      <w:rPr>
        <w:rStyle w:val="HideTWBExt"/>
      </w:rPr>
      <w:t>&lt;/PathFdR&gt;</w:t>
    </w:r>
    <w:r>
      <w:tab/>
    </w:r>
    <w:r>
      <w:fldChar w:fldCharType="begin"/>
    </w:r>
    <w:r>
      <w:instrText xml:space="preserve"> PAGE  \* MERGEFORMAT </w:instrText>
    </w:r>
    <w:r>
      <w:fldChar w:fldCharType="separate"/>
    </w:r>
    <w:r w:rsidR="00411379">
      <w:rPr>
        <w:noProof/>
      </w:rPr>
      <w:t>5</w:t>
    </w:r>
    <w:r>
      <w:fldChar w:fldCharType="end"/>
    </w:r>
    <w:r>
      <w:t>/</w:t>
    </w:r>
    <w:r w:rsidR="00411379">
      <w:fldChar w:fldCharType="begin"/>
    </w:r>
    <w:r w:rsidR="00411379">
      <w:instrText xml:space="preserve"> NUMPAGES  \* MERGEFORMAT </w:instrText>
    </w:r>
    <w:r w:rsidR="00411379">
      <w:fldChar w:fldCharType="separate"/>
    </w:r>
    <w:r w:rsidR="00411379">
      <w:rPr>
        <w:noProof/>
      </w:rPr>
      <w:t>8</w:t>
    </w:r>
    <w:r w:rsidR="00411379">
      <w:rPr>
        <w:noProof/>
      </w:rPr>
      <w:fldChar w:fldCharType="end"/>
    </w:r>
    <w:r>
      <w:tab/>
      <w:t>PE</w:t>
    </w:r>
    <w:r w:rsidRPr="00A4752D">
      <w:rPr>
        <w:rStyle w:val="HideTWBExt"/>
      </w:rPr>
      <w:t>&lt;NoPE&gt;</w:t>
    </w:r>
    <w:r>
      <w:t>756.204</w:t>
    </w:r>
    <w:r w:rsidRPr="00A4752D">
      <w:rPr>
        <w:rStyle w:val="HideTWBExt"/>
      </w:rPr>
      <w:t>&lt;/NoPE&gt;&lt;Version&gt;</w:t>
    </w:r>
    <w:r>
      <w:t>v02-00</w:t>
    </w:r>
    <w:r w:rsidRPr="00A4752D">
      <w:rPr>
        <w:rStyle w:val="HideTWBExt"/>
      </w:rPr>
      <w:t>&lt;/Version&gt;</w:t>
    </w:r>
  </w:p>
  <w:p w:rsidR="002E2F2E" w:rsidRPr="00CC1D78" w:rsidRDefault="00A4752D" w:rsidP="00A4752D">
    <w:pPr>
      <w:pStyle w:val="EPFooter2"/>
    </w:pPr>
    <w:r>
      <w:tab/>
    </w:r>
    <w:r>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52D" w:rsidRDefault="00A4752D" w:rsidP="00A4752D">
    <w:pPr>
      <w:pStyle w:val="EPFooter"/>
    </w:pPr>
    <w:r w:rsidRPr="00A4752D">
      <w:rPr>
        <w:rStyle w:val="HideTWBExt"/>
      </w:rPr>
      <w:t>&lt;PathFdR&gt;</w:t>
    </w:r>
    <w:r>
      <w:t>AD\1294538DA.docx</w:t>
    </w:r>
    <w:r w:rsidRPr="00A4752D">
      <w:rPr>
        <w:rStyle w:val="HideTWBExt"/>
      </w:rPr>
      <w:t>&lt;/PathFdR&gt;</w:t>
    </w:r>
    <w:r>
      <w:tab/>
    </w:r>
    <w:r>
      <w:tab/>
      <w:t>PE</w:t>
    </w:r>
    <w:r w:rsidRPr="00A4752D">
      <w:rPr>
        <w:rStyle w:val="HideTWBExt"/>
      </w:rPr>
      <w:t>&lt;NoPE&gt;</w:t>
    </w:r>
    <w:r>
      <w:t>756.204</w:t>
    </w:r>
    <w:r w:rsidRPr="00A4752D">
      <w:rPr>
        <w:rStyle w:val="HideTWBExt"/>
      </w:rPr>
      <w:t>&lt;/NoPE&gt;&lt;Version&gt;</w:t>
    </w:r>
    <w:r>
      <w:t>v02-00</w:t>
    </w:r>
    <w:r w:rsidRPr="00A4752D">
      <w:rPr>
        <w:rStyle w:val="HideTWBExt"/>
      </w:rPr>
      <w:t>&lt;/Version&gt;</w:t>
    </w:r>
  </w:p>
  <w:p w:rsidR="002E2F2E" w:rsidRPr="00CC1D78" w:rsidRDefault="00A4752D" w:rsidP="00A4752D">
    <w:pPr>
      <w:pStyle w:val="EPFooter2"/>
    </w:pPr>
    <w:r>
      <w:t>DA</w:t>
    </w:r>
    <w:r>
      <w:tab/>
    </w:r>
    <w:r w:rsidRPr="00A4752D">
      <w:rPr>
        <w:b w:val="0"/>
        <w:i/>
        <w:color w:val="C0C0C0"/>
        <w:sz w:val="22"/>
      </w:rPr>
      <w:t>Forenet i mangfoldighed</w:t>
    </w:r>
    <w:r>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481" w:rsidRPr="00CC1D78" w:rsidRDefault="00AB5481">
      <w:r w:rsidRPr="00CC1D78">
        <w:separator/>
      </w:r>
    </w:p>
  </w:footnote>
  <w:footnote w:type="continuationSeparator" w:id="0">
    <w:p w:rsidR="00AB5481" w:rsidRPr="00CC1D78" w:rsidRDefault="00AB5481">
      <w:r w:rsidRPr="00CC1D78">
        <w:continuationSeparator/>
      </w:r>
    </w:p>
  </w:footnote>
  <w:footnote w:id="1">
    <w:p w:rsidR="00517129" w:rsidRPr="0067407B" w:rsidRDefault="00517129" w:rsidP="00517129">
      <w:pPr>
        <w:pStyle w:val="FootnoteText"/>
      </w:pPr>
      <w:r>
        <w:rPr>
          <w:rStyle w:val="FootnoteReference"/>
        </w:rPr>
        <w:footnoteRef/>
      </w:r>
      <w:r>
        <w:t>https://www.ombudsman.europa.eu/da/news-document/da/163567</w:t>
      </w:r>
    </w:p>
  </w:footnote>
  <w:footnote w:id="2">
    <w:p w:rsidR="00517129" w:rsidRPr="0067407B" w:rsidRDefault="00517129" w:rsidP="00517129">
      <w:pPr>
        <w:pStyle w:val="FootnoteText"/>
      </w:pPr>
      <w:r>
        <w:rPr>
          <w:rStyle w:val="FootnoteReference"/>
        </w:rPr>
        <w:footnoteRef/>
      </w:r>
      <w:r>
        <w:t xml:space="preserve"> https://www.ombudsman.europa.eu/da/case/da/62762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129" w:rsidRDefault="00517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129" w:rsidRDefault="00517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129" w:rsidRDefault="005171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CJMNU" w:val="1"/>
    <w:docVar w:name="CODEMNU" w:val=" 7"/>
    <w:docVar w:name="COM2KEY" w:val="CONT"/>
    <w:docVar w:name="COMKEY" w:val="LIBE"/>
    <w:docVar w:name="CONTRIBUTIONMNU" w:val=" 2"/>
    <w:docVar w:name="FONCTIONMNU" w:val=" 1"/>
    <w:docVar w:name="LastEditedSection" w:val=" 3"/>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915380 HideTWBInt;}{_x000d__x000a_\s18\ql \fi-567\li567\ri0\sa240\nowidctlpar\wrapdefault\aspalpha\aspnum\faauto\adjustright\rin0\lin567\itap0 \rtlch\fcs1 \af0\afs20\alang1025 \ltrch\fcs0 \fs24\lang2057\langfe2057\cgrid\langnp2057\langfenp2057 _x000d__x000a_\sbasedon0 \snext18 \spriority0 \styrsid5915380 NormalHanging12a;}}{\*\rsidtbl \rsid24658\rsid223860\rsid664312\rsid735077\rsid1718133\rsid2892074\rsid3565327\rsid4666813\rsid5915380\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RORMAND Mia}{\operator RORMAND Mia}{\creatim\yr2024\mo1\dy29\hr11\min20}{\revtim\yr2024\mo1\dy29\hr11\min20}{\version1}{\edmins0}{\nofpages1}{\nofwords1}{\nofchars12}{\nofcharsws12}{\vern109}}{\*\xmlnstbl {\xmlns1 http://schemas.microsoft.com/off_x000d__x000a_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15380\newtblstyruls\nogrowautofit\usenormstyforlist\noindnmbrts\felnbrelev\nocxsptable\indrlsweleven\noafcnsttbl\afelev\utinl\hwelev\spltpgpar\notcvasp\notbrkcnstfrctbl\notvatxbx\krnprsnet\cachedcolbal _x000d__x000a_\nouicompat \fet0{\*\wgrffmtfilter 013f}\nofeaturethrottle1\ilfomacatclnup0{\*\template C:\\Users\\mrormand\\AppData\\Local\\Temp\\Blank1.dotx}{\*\ftnsep \ltrpar \pard\plain \ltrpar_x000d__x000a_\ql \li0\ri0\widctlpar\wrapdefault\aspalpha\aspnum\faauto\adjustright\rin0\lin0\itap0 \rtlch\fcs1 \af0\afs20\alang1025 \ltrch\fcs0 \fs24\lang2057\langfe2057\cgrid\langnp2057\langfenp2057 {\rtlch\fcs1 \af0 \ltrch\fcs0 \insrsid664312 \chftnsep _x000d__x000a_\par }}{\*\ftnsepc \ltrpar \pard\plain \ltrpar\ql \li0\ri0\widctlpar\wrapdefault\aspalpha\aspnum\faauto\adjustright\rin0\lin0\itap0 \rtlch\fcs1 \af0\afs20\alang1025 \ltrch\fcs0 \fs24\lang2057\langfe2057\cgrid\langnp2057\langfenp2057 {\rtlch\fcs1 \af0 _x000d__x000a_\ltrch\fcs0 \insrsid664312 \chftnsepc _x000d__x000a_\par }}{\*\aftnsep \ltrpar \pard\plain \ltrpar\ql \li0\ri0\widctlpar\wrapdefault\aspalpha\aspnum\faauto\adjustright\rin0\lin0\itap0 \rtlch\fcs1 \af0\afs20\alang1025 \ltrch\fcs0 \fs24\lang2057\langfe2057\cgrid\langnp2057\langfenp2057 {\rtlch\fcs1 \af0 _x000d__x000a_\ltrch\fcs0 \insrsid664312 \chftnsep _x000d__x000a_\par }}{\*\aftnsepc \ltrpar \pard\plain \ltrpar\ql \li0\ri0\widctlpar\wrapdefault\aspalpha\aspnum\faauto\adjustright\rin0\lin0\itap0 \rtlch\fcs1 \af0\afs20\alang1025 \ltrch\fcs0 \fs24\lang2057\langfe2057\cgrid\langnp2057\langfenp2057 {\rtlch\fcs1 \af0 _x000d__x000a_\ltrch\fcs0 \insrsid6643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s18\ql \fi-567\li567\ri0\sa240\nowidctlpar\wrapdefault\aspalpha\aspnum\faauto\adjustright\rin0\lin567\itap0\pararsid5915380 \rtlch\fcs1 \af0\afs20\alang1025 \ltrch\fcs0 \fs24\lang2057\langfe2057\cgrid\langnp2057\langfenp2057 {\rtlch\fcs1 \af0 _x000d__x000a_\ltrch\fcs0 \insrsid5915380\charrsid13044652 {\*\bkmkstart restart}#}{\rtlch\fcs1 \af1 \ltrch\fcs0 \cs17\v\f1\fs20\cf15\insrsid5915380\charrsid13044652 NRMSG}{\rtlch\fcs1 \af0 \ltrch\fcs0 \insrsid5915380\charrsid13044652 #.\tab ##}{\rtlch\fcs1 \af0 _x000d__x000a_\ltrch\fcs0 \insrsid591538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a_x000d__x000a_64d59c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2233106 NormalHanging12a;}}{\*\rsidtbl \rsid24658\rsid223860\rsid735077\rsid1718133\rsid2233106\rsid2892074\rsid3565327\rsid4666813\rsid6641733\rsid7823322_x000d__x000a_\rsid9636012\rsid10377208\rsid11215221\rsid11549030\rsid12154954\rsid12280185\rsid14382809\rsid14424199\rsid15204470\rsid15285974\rsid15950462\rsid16324206\rsid16662270}{\mmathPr\mmathFont34\mbrkBin0\mbrkBinSub0\msmallFrac0\mdispDef1\mlMargin0\mrMargin0_x000d__x000a_\mdefJc1\mwrapIndent1440\mintLim0\mnaryLim1}{\info{\author RORMAND Mia}{\operator RORMAND Mia}{\creatim\yr2024\mo1\dy29\hr11\min20}{\revtim\yr2024\mo1\dy29\hr11\min20}{\version1}{\edmins0}{\nofpages1}{\nofwords5}{\nofchars30}{\nofcharsws34}{\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3106\newtblstyruls\nogrowautofit\usenormstyforlist\noindnmbrts\felnbrelev\nocxsptable\indrlsweleven\noafcnsttbl\afelev\utinl\hwelev\spltpgpar\notcvasp\notbrkcnstfrctbl\notvatxbx\krnprsnet\cachedcolbal _x000d__x000a_\nouicompat \fet0{\*\wgrffmtfilter 013f}\nofeaturethrottle1\ilfomacatclnup0{\*\template C:\\Users\\mrormand\\AppData\\Local\\Temp\\Blank1.dotx}{\*\ftnsep \ltrpar \pard\plain \ltrpar_x000d__x000a_\ql \li0\ri0\widctlpar\wrapdefault\aspalpha\aspnum\faauto\adjustright\rin0\lin0\itap0 \rtlch\fcs1 \af0\afs20\alang1025 \ltrch\fcs0 \fs24\lang2057\langfe2057\cgrid\langnp2057\langfenp2057 {\rtlch\fcs1 \af0 \ltrch\fcs0 \insrsid12280185 \chftnsep _x000d__x000a_\par }}{\*\ftnsepc \ltrpar \pard\plain \ltrpar\ql \li0\ri0\widctlpar\wrapdefault\aspalpha\aspnum\faauto\adjustright\rin0\lin0\itap0 \rtlch\fcs1 \af0\afs20\alang1025 \ltrch\fcs0 \fs24\lang2057\langfe2057\cgrid\langnp2057\langfenp2057 {\rtlch\fcs1 \af0 _x000d__x000a_\ltrch\fcs0 \insrsid12280185 \chftnsepc _x000d__x000a_\par }}{\*\aftnsep \ltrpar \pard\plain \ltrpar\ql \li0\ri0\widctlpar\wrapdefault\aspalpha\aspnum\faauto\adjustright\rin0\lin0\itap0 \rtlch\fcs1 \af0\afs20\alang1025 \ltrch\fcs0 \fs24\lang2057\langfe2057\cgrid\langnp2057\langfenp2057 {\rtlch\fcs1 \af0 _x000d__x000a_\ltrch\fcs0 \insrsid12280185 \chftnsep _x000d__x000a_\par }}{\*\aftnsepc \ltrpar \pard\plain \ltrpar\ql \li0\ri0\widctlpar\wrapdefault\aspalpha\aspnum\faauto\adjustright\rin0\lin0\itap0 \rtlch\fcs1 \af0\afs20\alang1025 \ltrch\fcs0 \fs24\lang2057\langfe2057\cgrid\langnp2057\langfenp2057 {\rtlch\fcs1 \af0 _x000d__x000a_\ltrch\fcs0 \insrsid122801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s17\ql \fi-567\li567\ri0\sa240\nowidctlpar\wrapdefault\aspalpha\aspnum\faauto\adjustright\rin0\lin567\itap0\pararsid2233106 \rtlch\fcs1 \af0\afs20\alang1025 \ltrch\fcs0 \fs24\lang2057\langfe2057\cgrid\langnp2057\langfenp2057 {\rtlch\fcs1 \af0 _x000d__x000a_\ltrch\fcs0 \insrsid2233106\charrsid1525456 {\*\bkmkstart restart}[ZSUGGESTIONNR]\tab [ZSUGGESTIONTEXT]}{\rtlch\fcs1 \af0 \ltrch\fcs0 \insrsid223310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4_x000d__x000a_dcd69c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DA"/>
    <w:docVar w:name="TXTLANGUEMIN" w:val="da"/>
    <w:docVar w:name="TXTNRPE" w:val="756.204"/>
    <w:docVar w:name="TXTNRPROC" w:val="2023/2129"/>
    <w:docVar w:name="TXTPEorAP" w:val="PE"/>
    <w:docVar w:name="TXTROUTE" w:val="AD\1294538DA.docx"/>
    <w:docVar w:name="TXTTITLE" w:val="of the European Union for the financial year 2021, Section III – Commission"/>
    <w:docVar w:name="TXTVERSION" w:val="02-00"/>
  </w:docVars>
  <w:rsids>
    <w:rsidRoot w:val="00AB5481"/>
    <w:rsid w:val="000E7EBF"/>
    <w:rsid w:val="00124F60"/>
    <w:rsid w:val="00135121"/>
    <w:rsid w:val="00140BE6"/>
    <w:rsid w:val="00147F4E"/>
    <w:rsid w:val="0016635E"/>
    <w:rsid w:val="001746D0"/>
    <w:rsid w:val="001B7393"/>
    <w:rsid w:val="001D2ED9"/>
    <w:rsid w:val="001F21C1"/>
    <w:rsid w:val="002208A2"/>
    <w:rsid w:val="002D28A7"/>
    <w:rsid w:val="002E1D3A"/>
    <w:rsid w:val="002E2F2E"/>
    <w:rsid w:val="002E6F98"/>
    <w:rsid w:val="00325BCB"/>
    <w:rsid w:val="00331944"/>
    <w:rsid w:val="00332AD9"/>
    <w:rsid w:val="00347D2C"/>
    <w:rsid w:val="0037356F"/>
    <w:rsid w:val="00390EB2"/>
    <w:rsid w:val="00396A0E"/>
    <w:rsid w:val="003E2402"/>
    <w:rsid w:val="00411379"/>
    <w:rsid w:val="004C28FB"/>
    <w:rsid w:val="004C44C0"/>
    <w:rsid w:val="00517129"/>
    <w:rsid w:val="0052544E"/>
    <w:rsid w:val="005940C3"/>
    <w:rsid w:val="00594C48"/>
    <w:rsid w:val="005B2F11"/>
    <w:rsid w:val="005C0BDF"/>
    <w:rsid w:val="005D60C6"/>
    <w:rsid w:val="006102E7"/>
    <w:rsid w:val="00640C1B"/>
    <w:rsid w:val="00657AFB"/>
    <w:rsid w:val="00697856"/>
    <w:rsid w:val="006D5BF7"/>
    <w:rsid w:val="00772483"/>
    <w:rsid w:val="008313E7"/>
    <w:rsid w:val="00854CAC"/>
    <w:rsid w:val="008A32C5"/>
    <w:rsid w:val="008C6203"/>
    <w:rsid w:val="008D61E7"/>
    <w:rsid w:val="008F7002"/>
    <w:rsid w:val="0099493F"/>
    <w:rsid w:val="00A16BEA"/>
    <w:rsid w:val="00A312B3"/>
    <w:rsid w:val="00A4752D"/>
    <w:rsid w:val="00A72C35"/>
    <w:rsid w:val="00AB5481"/>
    <w:rsid w:val="00AE180F"/>
    <w:rsid w:val="00B362F7"/>
    <w:rsid w:val="00B5456B"/>
    <w:rsid w:val="00B74B53"/>
    <w:rsid w:val="00BC26E4"/>
    <w:rsid w:val="00BD1EAA"/>
    <w:rsid w:val="00C125B6"/>
    <w:rsid w:val="00C36A89"/>
    <w:rsid w:val="00C52739"/>
    <w:rsid w:val="00C827FF"/>
    <w:rsid w:val="00CC1D78"/>
    <w:rsid w:val="00CD34AC"/>
    <w:rsid w:val="00D45261"/>
    <w:rsid w:val="00DE19FF"/>
    <w:rsid w:val="00E617A9"/>
    <w:rsid w:val="00E81BA6"/>
    <w:rsid w:val="00E856D2"/>
    <w:rsid w:val="00E929A7"/>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chartTrackingRefBased/>
  <w15:docId w15:val="{2B2A0574-7C7C-470C-8863-948DF302E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2E1D3A"/>
    <w:pPr>
      <w:tabs>
        <w:tab w:val="center" w:pos="4513"/>
        <w:tab w:val="right" w:pos="9026"/>
      </w:tabs>
    </w:pPr>
  </w:style>
  <w:style w:type="character" w:customStyle="1" w:styleId="FooterChar">
    <w:name w:val="Footer Char"/>
    <w:basedOn w:val="DefaultParagraphFont"/>
    <w:link w:val="Footer"/>
    <w:semiHidden/>
    <w:rsid w:val="002E1D3A"/>
    <w:rPr>
      <w:sz w:val="24"/>
    </w:rPr>
  </w:style>
  <w:style w:type="paragraph" w:styleId="FootnoteText">
    <w:name w:val="footnote text"/>
    <w:basedOn w:val="Normal"/>
    <w:link w:val="FootnoteTextChar"/>
    <w:rsid w:val="00517129"/>
    <w:rPr>
      <w:sz w:val="20"/>
    </w:rPr>
  </w:style>
  <w:style w:type="character" w:customStyle="1" w:styleId="FootnoteTextChar">
    <w:name w:val="Footnote Text Char"/>
    <w:basedOn w:val="DefaultParagraphFont"/>
    <w:link w:val="FootnoteText"/>
    <w:rsid w:val="00517129"/>
    <w:rPr>
      <w:lang w:val="da-DK"/>
    </w:rPr>
  </w:style>
  <w:style w:type="character" w:styleId="FootnoteReference">
    <w:name w:val="footnote reference"/>
    <w:basedOn w:val="DefaultParagraphFont"/>
    <w:rsid w:val="00517129"/>
    <w:rPr>
      <w:vertAlign w:val="superscript"/>
    </w:rPr>
  </w:style>
  <w:style w:type="paragraph" w:customStyle="1" w:styleId="Normal24a">
    <w:name w:val="Normal24a"/>
    <w:basedOn w:val="Normal"/>
    <w:rsid w:val="00517129"/>
    <w:pPr>
      <w:spacing w:after="480"/>
    </w:pPr>
  </w:style>
  <w:style w:type="paragraph" w:customStyle="1" w:styleId="NormalBoldCenter">
    <w:name w:val="NormalBoldCenter"/>
    <w:basedOn w:val="Normal"/>
    <w:rsid w:val="00517129"/>
    <w:pPr>
      <w:jc w:val="center"/>
    </w:pPr>
    <w:rPr>
      <w:b/>
    </w:rPr>
  </w:style>
  <w:style w:type="paragraph" w:customStyle="1" w:styleId="RollCallSymbols14pt">
    <w:name w:val="RollCallSymbols14pt"/>
    <w:basedOn w:val="Normal"/>
    <w:rsid w:val="0051712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17129"/>
    <w:pPr>
      <w:tabs>
        <w:tab w:val="center" w:pos="284"/>
        <w:tab w:val="left" w:pos="426"/>
      </w:tabs>
    </w:pPr>
    <w:rPr>
      <w:snapToGrid w:val="0"/>
      <w:lang w:eastAsia="en-US"/>
    </w:rPr>
  </w:style>
  <w:style w:type="paragraph" w:customStyle="1" w:styleId="RollCallVotes">
    <w:name w:val="RollCallVotes"/>
    <w:basedOn w:val="Normal"/>
    <w:rsid w:val="00517129"/>
    <w:pPr>
      <w:spacing w:before="120" w:after="120"/>
      <w:jc w:val="center"/>
    </w:pPr>
    <w:rPr>
      <w:b/>
      <w:bCs/>
      <w:snapToGrid w:val="0"/>
      <w:sz w:val="16"/>
      <w:lang w:eastAsia="en-US"/>
    </w:rPr>
  </w:style>
  <w:style w:type="paragraph" w:customStyle="1" w:styleId="RollCallTable">
    <w:name w:val="RollCallTable"/>
    <w:basedOn w:val="Normal"/>
    <w:rsid w:val="00517129"/>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590570">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1349</Words>
  <Characters>8658</Characters>
  <Application>Microsoft Office Word</Application>
  <DocSecurity>0</DocSecurity>
  <Lines>199</Lines>
  <Paragraphs>74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2024-02-08T08:59:00Z</dcterms:created>
  <dcterms:modified xsi:type="dcterms:W3CDTF">2024-02-08T08:59:00Z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9.16.1 Build [20230920]</vt:lpwstr>
  </property>
  <property fmtid="{D5CDD505-2E9C-101B-9397-08002B2CF9AE}" pid="4" name="LastEdited with">
    <vt:lpwstr>9.17.1 Build [20240101]</vt:lpwstr>
  </property>
  <property fmtid="{D5CDD505-2E9C-101B-9397-08002B2CF9AE}" pid="5" name="&lt;FdR&gt;">
    <vt:lpwstr>1294538</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AD\1294538DA.docx</vt:lpwstr>
  </property>
  <property fmtid="{D5CDD505-2E9C-101B-9397-08002B2CF9AE}" pid="11" name="PE number">
    <vt:lpwstr>756.204</vt:lpwstr>
  </property>
  <property fmtid="{D5CDD505-2E9C-101B-9397-08002B2CF9AE}" pid="12" name="SendToEpades">
    <vt:lpwstr>OK - 2023/11/20 18:29</vt:lpwstr>
  </property>
  <property fmtid="{D5CDD505-2E9C-101B-9397-08002B2CF9AE}" pid="13" name="SDLStudio">
    <vt:lpwstr/>
  </property>
  <property fmtid="{D5CDD505-2E9C-101B-9397-08002B2CF9AE}" pid="14" name="Bookout">
    <vt:lpwstr>OK - 2024/02/08 09:59</vt:lpwstr>
  </property>
</Properties>
</file>