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15DB" w:rsidRPr="002678D2" w:rsidTr="00C85D0F">
        <w:trPr>
          <w:trHeight w:hRule="exact" w:val="1418"/>
        </w:trPr>
        <w:tc>
          <w:tcPr>
            <w:tcW w:w="6804" w:type="dxa"/>
            <w:shd w:val="clear" w:color="auto" w:fill="auto"/>
            <w:vAlign w:val="center"/>
          </w:tcPr>
          <w:p w:rsidR="004F48ED" w:rsidRPr="002678D2" w:rsidRDefault="001D34ED" w:rsidP="00C85D0F">
            <w:pPr>
              <w:pStyle w:val="EPName"/>
            </w:pPr>
            <w:r w:rsidRPr="002678D2">
              <w:t>Parlamento Europeu</w:t>
            </w:r>
          </w:p>
          <w:p w:rsidR="004F48ED" w:rsidRPr="002678D2" w:rsidRDefault="001D34ED" w:rsidP="003D4E73">
            <w:pPr>
              <w:pStyle w:val="EPTerm"/>
            </w:pPr>
            <w:r w:rsidRPr="002678D2">
              <w:t>2024-2029</w:t>
            </w:r>
          </w:p>
        </w:tc>
        <w:tc>
          <w:tcPr>
            <w:tcW w:w="2268" w:type="dxa"/>
            <w:shd w:val="clear" w:color="auto" w:fill="auto"/>
          </w:tcPr>
          <w:p w:rsidR="004F48ED" w:rsidRPr="002678D2" w:rsidRDefault="001D34ED" w:rsidP="00C85D0F">
            <w:pPr>
              <w:pStyle w:val="EPLogo"/>
            </w:pPr>
            <w:r w:rsidRPr="002678D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2678D2" w:rsidRDefault="00E9601C" w:rsidP="00E9601C">
      <w:pPr>
        <w:pStyle w:val="LineTop"/>
      </w:pPr>
    </w:p>
    <w:p w:rsidR="00E9601C" w:rsidRPr="002678D2" w:rsidRDefault="001D34ED" w:rsidP="00E9601C">
      <w:pPr>
        <w:pStyle w:val="EPBody"/>
      </w:pPr>
      <w:r w:rsidRPr="002678D2">
        <w:rPr>
          <w:rStyle w:val="HideTWBExt"/>
        </w:rPr>
        <w:t>&lt;</w:t>
      </w:r>
      <w:r w:rsidRPr="002678D2">
        <w:rPr>
          <w:rStyle w:val="HideTWBExt"/>
          <w:i w:val="0"/>
        </w:rPr>
        <w:t>Commission</w:t>
      </w:r>
      <w:r w:rsidRPr="002678D2">
        <w:rPr>
          <w:rStyle w:val="HideTWBExt"/>
        </w:rPr>
        <w:t>&gt;</w:t>
      </w:r>
      <w:r w:rsidRPr="002678D2">
        <w:rPr>
          <w:rStyle w:val="HideTWBInt"/>
          <w:color w:val="auto"/>
        </w:rPr>
        <w:t>{LIBE}</w:t>
      </w:r>
      <w:r w:rsidRPr="002678D2">
        <w:t>Comissão das Liberdades Cívicas, da Justiça e dos Assuntos Internos</w:t>
      </w:r>
      <w:r w:rsidRPr="002678D2">
        <w:rPr>
          <w:rStyle w:val="HideTWBExt"/>
        </w:rPr>
        <w:t>&lt;/</w:t>
      </w:r>
      <w:r w:rsidRPr="002678D2">
        <w:rPr>
          <w:rStyle w:val="HideTWBExt"/>
          <w:i w:val="0"/>
        </w:rPr>
        <w:t>Commission</w:t>
      </w:r>
      <w:r w:rsidRPr="002678D2">
        <w:rPr>
          <w:rStyle w:val="HideTWBExt"/>
        </w:rPr>
        <w:t>&gt;</w:t>
      </w:r>
    </w:p>
    <w:p w:rsidR="00E9601C" w:rsidRPr="002678D2" w:rsidRDefault="00E9601C" w:rsidP="00E9601C">
      <w:pPr>
        <w:pStyle w:val="LineBottom"/>
      </w:pPr>
    </w:p>
    <w:p w:rsidR="00CC63AB" w:rsidRPr="002678D2" w:rsidRDefault="001D34ED" w:rsidP="00CC63AB">
      <w:pPr>
        <w:pStyle w:val="CoverReference"/>
      </w:pPr>
      <w:r w:rsidRPr="002678D2">
        <w:rPr>
          <w:rStyle w:val="HideTWBExt"/>
          <w:b w:val="0"/>
        </w:rPr>
        <w:t>&lt;RefProc&gt;</w:t>
      </w:r>
      <w:r w:rsidRPr="002678D2">
        <w:t>2024/2029</w:t>
      </w:r>
      <w:r w:rsidRPr="002678D2">
        <w:rPr>
          <w:rStyle w:val="HideTWBExt"/>
          <w:b w:val="0"/>
        </w:rPr>
        <w:t>&lt;/RefProc&gt;&lt;RefTypeProc&gt;</w:t>
      </w:r>
      <w:r w:rsidRPr="002678D2">
        <w:t>(DEC)</w:t>
      </w:r>
      <w:r w:rsidRPr="002678D2">
        <w:rPr>
          <w:rStyle w:val="HideTWBExt"/>
          <w:b w:val="0"/>
        </w:rPr>
        <w:t>&lt;/RefTypeProc&gt;</w:t>
      </w:r>
    </w:p>
    <w:p w:rsidR="00CC63AB" w:rsidRPr="002678D2" w:rsidRDefault="001D34ED" w:rsidP="00CC63AB">
      <w:pPr>
        <w:pStyle w:val="CoverDate"/>
      </w:pPr>
      <w:r w:rsidRPr="002678D2">
        <w:rPr>
          <w:rStyle w:val="HideTWBExt"/>
        </w:rPr>
        <w:t>&lt;Date&gt;</w:t>
      </w:r>
      <w:r w:rsidRPr="002678D2">
        <w:rPr>
          <w:rStyle w:val="HideTWBInt"/>
          <w:color w:val="auto"/>
        </w:rPr>
        <w:t>{10/02/2025}</w:t>
      </w:r>
      <w:r w:rsidRPr="002678D2">
        <w:t>10.2.2025</w:t>
      </w:r>
      <w:r w:rsidRPr="002678D2">
        <w:rPr>
          <w:rStyle w:val="HideTWBExt"/>
        </w:rPr>
        <w:t>&lt;/Date&gt;</w:t>
      </w:r>
    </w:p>
    <w:p w:rsidR="00CC63AB" w:rsidRPr="002678D2" w:rsidRDefault="001D34ED" w:rsidP="00CC63AB">
      <w:pPr>
        <w:pStyle w:val="CoverDocType24a"/>
      </w:pPr>
      <w:r w:rsidRPr="002678D2">
        <w:rPr>
          <w:rStyle w:val="HideTWBExt"/>
          <w:b w:val="0"/>
        </w:rPr>
        <w:t>&lt;TitreType&gt;</w:t>
      </w:r>
      <w:r w:rsidRPr="002678D2">
        <w:t>PARECER</w:t>
      </w:r>
      <w:r w:rsidRPr="002678D2">
        <w:rPr>
          <w:rStyle w:val="HideTWBExt"/>
          <w:b w:val="0"/>
        </w:rPr>
        <w:t>&lt;/TitreType&gt;</w:t>
      </w:r>
    </w:p>
    <w:p w:rsidR="00CC63AB" w:rsidRPr="002678D2" w:rsidRDefault="001D34ED" w:rsidP="00CC63AB">
      <w:pPr>
        <w:pStyle w:val="CoverNormal24a"/>
      </w:pPr>
      <w:r w:rsidRPr="002678D2">
        <w:rPr>
          <w:rStyle w:val="HideTWBExt"/>
        </w:rPr>
        <w:t>&lt;CommissionResp&gt;</w:t>
      </w:r>
      <w:r w:rsidRPr="002678D2">
        <w:t>da Comissão das Liberdades Cívicas, da Justiça e dos Assuntos Internos</w:t>
      </w:r>
      <w:r w:rsidRPr="002678D2">
        <w:rPr>
          <w:rStyle w:val="HideTWBExt"/>
        </w:rPr>
        <w:t>&lt;/CommissionResp&gt;</w:t>
      </w:r>
    </w:p>
    <w:p w:rsidR="00CC63AB" w:rsidRPr="002678D2" w:rsidRDefault="001D34ED" w:rsidP="00CC63AB">
      <w:pPr>
        <w:pStyle w:val="CoverNormal24a"/>
      </w:pPr>
      <w:r w:rsidRPr="002678D2">
        <w:rPr>
          <w:rStyle w:val="HideTWBExt"/>
        </w:rPr>
        <w:t>&lt;CommissionInt&gt;</w:t>
      </w:r>
      <w:r w:rsidRPr="002678D2">
        <w:t>dirigido à Comissão do Controlo Orçamental</w:t>
      </w:r>
      <w:r w:rsidRPr="002678D2">
        <w:rPr>
          <w:rStyle w:val="HideTWBExt"/>
        </w:rPr>
        <w:t>&lt;/CommissionInt&gt;</w:t>
      </w:r>
    </w:p>
    <w:p w:rsidR="00CC63AB" w:rsidRPr="002678D2" w:rsidRDefault="001D34ED" w:rsidP="00CC63AB">
      <w:pPr>
        <w:pStyle w:val="CoverNormal"/>
      </w:pPr>
      <w:r w:rsidRPr="002678D2">
        <w:rPr>
          <w:rStyle w:val="HideTWBExt"/>
        </w:rPr>
        <w:t>&lt;Titre&gt;</w:t>
      </w:r>
      <w:r w:rsidRPr="002678D2">
        <w:t>sobre a quitação pela execução do orçamento da Procurador</w:t>
      </w:r>
      <w:r w:rsidRPr="002678D2">
        <w:t>ia Europeia para o exercício de 2023</w:t>
      </w:r>
      <w:r w:rsidRPr="002678D2">
        <w:rPr>
          <w:rStyle w:val="HideTWBExt"/>
        </w:rPr>
        <w:t>&lt;/Titre&gt;</w:t>
      </w:r>
    </w:p>
    <w:p w:rsidR="00CC63AB" w:rsidRPr="002678D2" w:rsidRDefault="001D34ED" w:rsidP="00CC63AB">
      <w:pPr>
        <w:pStyle w:val="CoverNormal24a"/>
      </w:pPr>
      <w:r w:rsidRPr="002678D2">
        <w:rPr>
          <w:rStyle w:val="HideTWBExt"/>
        </w:rPr>
        <w:t>&lt;DocRef&gt;</w:t>
      </w:r>
      <w:r w:rsidRPr="002678D2">
        <w:t>(2024/2029(DEC))</w:t>
      </w:r>
      <w:r w:rsidRPr="002678D2">
        <w:rPr>
          <w:rStyle w:val="HideTWBExt"/>
        </w:rPr>
        <w:t>&lt;/DocRef&gt;</w:t>
      </w:r>
    </w:p>
    <w:p w:rsidR="00CC63AB" w:rsidRPr="002678D2" w:rsidRDefault="001D34ED" w:rsidP="00CC63AB">
      <w:pPr>
        <w:pStyle w:val="CoverNormal24a"/>
      </w:pPr>
      <w:r w:rsidRPr="002678D2">
        <w:t xml:space="preserve">Relator de parecer: </w:t>
      </w:r>
      <w:r w:rsidRPr="002678D2">
        <w:rPr>
          <w:rStyle w:val="HideTWBExt"/>
        </w:rPr>
        <w:t>&lt;Depute&gt;</w:t>
      </w:r>
      <w:r w:rsidRPr="002678D2">
        <w:t>Tomáš Zdechovský</w:t>
      </w:r>
      <w:r w:rsidRPr="002678D2">
        <w:rPr>
          <w:rStyle w:val="HideTWBExt"/>
        </w:rPr>
        <w:t>&lt;/Depute&gt;</w:t>
      </w:r>
    </w:p>
    <w:p w:rsidR="00CC63AB" w:rsidRPr="002678D2" w:rsidRDefault="001D34ED" w:rsidP="00CC63AB">
      <w:pPr>
        <w:widowControl/>
        <w:tabs>
          <w:tab w:val="center" w:pos="4677"/>
        </w:tabs>
      </w:pPr>
      <w:bookmarkStart w:id="0" w:name="_GoBack"/>
      <w:bookmarkEnd w:id="0"/>
      <w:r w:rsidRPr="002678D2">
        <w:br w:type="page"/>
      </w:r>
      <w:r w:rsidRPr="002678D2">
        <w:lastRenderedPageBreak/>
        <w:t>PA_NonLegDec</w:t>
      </w:r>
    </w:p>
    <w:p w:rsidR="00CC63AB" w:rsidRPr="002678D2" w:rsidRDefault="001D34ED" w:rsidP="00CC63AB">
      <w:pPr>
        <w:pStyle w:val="PageHeadingNotTOC"/>
      </w:pPr>
      <w:r w:rsidRPr="002678D2">
        <w:br w:type="page"/>
      </w:r>
      <w:r w:rsidRPr="002678D2">
        <w:lastRenderedPageBreak/>
        <w:t>PARECER</w:t>
      </w:r>
    </w:p>
    <w:p w:rsidR="00CC63AB" w:rsidRPr="002678D2" w:rsidRDefault="001D34ED" w:rsidP="00CC63AB">
      <w:pPr>
        <w:pStyle w:val="Normal12a"/>
      </w:pPr>
      <w:r w:rsidRPr="002678D2">
        <w:t xml:space="preserve">A Comissão das Liberdades Cívicas, da Justiça e dos Assuntos Internos insta a Comissão do Controlo </w:t>
      </w:r>
      <w:r w:rsidRPr="002678D2">
        <w:t>Orçamental, competente quanto à matéria de fundo, a incorporar os seguintes elementos na sua proposta de resolução:</w:t>
      </w:r>
    </w:p>
    <w:p w:rsidR="00CC63AB" w:rsidRPr="002678D2" w:rsidRDefault="001D34ED" w:rsidP="00CC63AB">
      <w:pPr>
        <w:pStyle w:val="Normal12a"/>
        <w:rPr>
          <w:b/>
          <w:bCs/>
          <w:i/>
          <w:iCs/>
        </w:rPr>
      </w:pPr>
      <w:r w:rsidRPr="002678D2">
        <w:rPr>
          <w:rStyle w:val="HideTWBExt"/>
        </w:rPr>
        <w:t>&lt;RepeatBlock-Dec&gt;</w:t>
      </w:r>
    </w:p>
    <w:p w:rsidR="00CC63AB" w:rsidRPr="002678D2" w:rsidRDefault="001D34ED" w:rsidP="009E75A7">
      <w:pPr>
        <w:spacing w:after="240"/>
        <w:ind w:left="360" w:hanging="360"/>
      </w:pPr>
      <w:r w:rsidRPr="002678D2">
        <w:t>1.</w:t>
      </w:r>
      <w:r w:rsidRPr="002678D2">
        <w:tab/>
        <w:t>Observa que, em comparação com 2022, o número de processos da Procuradoria Europeia quase duplicou em 2023, atingindo 1</w:t>
      </w:r>
      <w:r w:rsidRPr="002678D2">
        <w:t> 927 investigações ativas; saúda as profícuas atividades levadas a cabo pela Procuradoria Europeia em 2023, que incluíram 139 acusações, 339 processos relacionados com o IVA e mais de 200 investigações sobre a execução do NextGenerationEU; observa, ademais</w:t>
      </w:r>
      <w:r w:rsidRPr="002678D2">
        <w:t xml:space="preserve">, que a Procuradoria Europeia começou a levar a julgamento em tribunais nacionais um maior número de autores de fraudes contra a UE; </w:t>
      </w:r>
    </w:p>
    <w:p w:rsidR="00CC63AB" w:rsidRPr="002678D2" w:rsidRDefault="001D34ED" w:rsidP="00CC63AB">
      <w:pPr>
        <w:spacing w:after="240"/>
        <w:ind w:left="360" w:hanging="360"/>
      </w:pPr>
      <w:r w:rsidRPr="002678D2">
        <w:t>2.</w:t>
      </w:r>
      <w:r w:rsidRPr="002678D2">
        <w:tab/>
        <w:t>Louva a estreita cooperação entre a Procuradoria Europeia e o Tribunal de Contas, em particular na deteção de eventuais</w:t>
      </w:r>
      <w:r w:rsidRPr="002678D2">
        <w:t xml:space="preserve"> suspeitas de infrações penais que sejam da sua competência e que impliquem os Estados-Membros participantes;</w:t>
      </w:r>
      <w:r w:rsidRPr="002678D2">
        <w:tab/>
        <w:t>3. Congratula-se com o aumento das dotações para o orçamento da Procuradoria Europeia em 2023, que ascendeu a um total de 64,6 milhões de EUR, o q</w:t>
      </w:r>
      <w:r w:rsidRPr="002678D2">
        <w:t>ue permitiu um aumento do pessoal de 11 % nesse ano; reconhece que se prevê que a aceleração do desembolso do financiamento do NextGenerationEU, o rápido aumento do volume de trabalho da Procuradoria Europeia — tendo-se registado um aumento de 70 % dos pro</w:t>
      </w:r>
      <w:r w:rsidRPr="002678D2">
        <w:t>cessos e de 58 % das investigações entre 2022 e 2023 — e o alargamento da adesão à Procuradoria Europeia exerçam uma pressão adicional sobre os seus recursos; sublinha a importância de um financiamento adicional e do reforço do seu pessoal, a fim de permit</w:t>
      </w:r>
      <w:r w:rsidRPr="002678D2">
        <w:t>ir à Procuradoria Europeia combater eficazmente a criminalidade organizada, proteger os interesses financeiros da UE e defender o Estado de direito, que são prioridades fundamentais da UE; lamenta que a proposta da Comissão relativa ao orçamento da Procura</w:t>
      </w:r>
      <w:r w:rsidRPr="002678D2">
        <w:t>doria Europeia para 2025 e a posição do Conselho não garantam recursos suficientes para que a Agência cumpra o seu mandato; salienta que a Procuradoria Europeia gera um retorno financeiro significativo para a UE, demonstrado pela apreensão de 1,5 mil milhõ</w:t>
      </w:r>
      <w:r w:rsidRPr="002678D2">
        <w:t>es de EUR em 2023, e solicita um aumento específico do financiamento no âmbito do próximo quadro financeiro plurianual (QFP) 2028-2034, a fim de assegurar que a mesma possa continuar a cumprir os seus objetivos e obrigações;</w:t>
      </w:r>
    </w:p>
    <w:p w:rsidR="00CC63AB" w:rsidRPr="002678D2" w:rsidRDefault="001D34ED" w:rsidP="00CC63AB">
      <w:pPr>
        <w:spacing w:after="240"/>
        <w:ind w:left="360" w:hanging="360"/>
      </w:pPr>
      <w:r w:rsidRPr="002678D2">
        <w:t>4.</w:t>
      </w:r>
      <w:r w:rsidRPr="002678D2">
        <w:tab/>
        <w:t xml:space="preserve">Reconhece que é fundamental </w:t>
      </w:r>
      <w:r w:rsidRPr="002678D2">
        <w:t>adotar uma abordagem holística para combater a criminalidade de colarinho branco, como a fraude e a corrupção, e os tipos de criminalidade mais convencionais, como o tráfico de droga e o tráfico de seres humanos, uma vez que estão frequentemente ligados; l</w:t>
      </w:r>
      <w:r w:rsidRPr="002678D2">
        <w:t>embra que, no seu próximo relatório de avaliação, a Comissão deve analisar cuidadosamente a que categorias de crimes importa alargar o mandato da Procuradoria Europeia, de modo que esta esteja mais bem equipada para cumprir a sua missão; recorda que, simul</w:t>
      </w:r>
      <w:r w:rsidRPr="002678D2">
        <w:t>taneamente, a atual competência da Procuradoria Europeia em matéria de investigação da criminalidade organizada e do branqueamento de capitais, quando associada a fraudes lesivas dos interesses financeiros da UE, deve ser apoiada por meio de recursos adequ</w:t>
      </w:r>
      <w:r w:rsidRPr="002678D2">
        <w:t xml:space="preserve">ados e de uma cooperação eficaz com a Europol, e analisar a forma como as operações e investigações da Procuradoria Europeia </w:t>
      </w:r>
      <w:r w:rsidRPr="002678D2">
        <w:lastRenderedPageBreak/>
        <w:t>podem tornar-se mais eficientes e eficazes, bem como apresentar uma proposta legislativa para acompanhar a avaliação; recorda, a es</w:t>
      </w:r>
      <w:r w:rsidRPr="002678D2">
        <w:t>te respeito, os planos do comissário McGrath no sentido de acelerar a avaliação;</w:t>
      </w:r>
    </w:p>
    <w:p w:rsidR="00CC63AB" w:rsidRPr="002678D2" w:rsidRDefault="001D34ED" w:rsidP="00CC63AB">
      <w:pPr>
        <w:spacing w:after="240"/>
        <w:ind w:left="360" w:hanging="360"/>
      </w:pPr>
      <w:r w:rsidRPr="002678D2">
        <w:t>5.</w:t>
      </w:r>
      <w:r w:rsidRPr="002678D2">
        <w:tab/>
        <w:t>Sublinha que a recuperação de bens é essencial para criar um efeito dissuasor credível da criminalidade organizada; congratula-se com a participação da Procuradoria Europei</w:t>
      </w:r>
      <w:r w:rsidRPr="002678D2">
        <w:t>a em redes internacionais para fazer avançar as suas operações de recuperação de ativos; salienta a necessidade de a Comissão convidar a Procuradoria Europeia a participar na recém-criada rede de cooperação relativa à recuperação e perda de bens; observa q</w:t>
      </w:r>
      <w:r w:rsidRPr="002678D2">
        <w:t>ue a investigação e a persecução penal rápidas e eficazes de crimes relacionados com a fraude podem gerar poupanças significativas para o orçamento da União e para os orçamentos dos Estados-Membros;</w:t>
      </w:r>
    </w:p>
    <w:p w:rsidR="00CC63AB" w:rsidRPr="002678D2" w:rsidRDefault="001D34ED" w:rsidP="00CC63AB">
      <w:pPr>
        <w:spacing w:after="240"/>
        <w:ind w:left="360" w:hanging="360"/>
      </w:pPr>
      <w:r w:rsidRPr="002678D2">
        <w:t>6.</w:t>
      </w:r>
      <w:r w:rsidRPr="002678D2">
        <w:tab/>
        <w:t>Salienta o importante papel da Procuradoria Europeia n</w:t>
      </w:r>
      <w:r w:rsidRPr="002678D2">
        <w:t>a abordagem da União em matéria de luta contra a corrupção e a utilização indevida dos fundos da União; manifesta a sua satisfação pelo facto de 24 Estados‑Membros participarem na Procuradoria Europeia e incentiva os restantes Estados‑Membros a aderirem ta</w:t>
      </w:r>
      <w:r w:rsidRPr="002678D2">
        <w:t>mbém, sob pena de serem privados da possibilidade de gerir indiretamente os fundos da UE; convida a Comissão a acompanhar de perto o nível de cooperação dos Estados-Membros com a Procuradoria Europeia em relatórios subsequentes e a prosseguir o seu diálogo</w:t>
      </w:r>
      <w:r w:rsidRPr="002678D2">
        <w:t xml:space="preserve"> ativo com os Estados‑Membros não participantes, a fim de assistir eficazmente a Procuradoria Europeia no exercício das suas funções; salienta que um diálogo deste tipo deve ser contínuo com os Estados-Membros que já participam na Procuradoria Europeia, co</w:t>
      </w:r>
      <w:r w:rsidRPr="002678D2">
        <w:t>m vista a resolver dificuldades na luta contra as violações do Estado de direito e a corrupção, e deve apoiar os Estados-Membros na aplicação prática das recomendações a este respeito nos relatórios anuais sobre o Estado de direito; reitera, porém, que o P</w:t>
      </w:r>
      <w:r w:rsidRPr="002678D2">
        <w:t>arlamento solicita que a adesão à Procuradoria Europeia seja uma condição prévia para receber fundos da UE e salienta a necessidade de alargar o mandato da Procuradoria Europeia; congratula-se com a participação da Suécia e da Polónia na Procuradoria Europ</w:t>
      </w:r>
      <w:r w:rsidRPr="002678D2">
        <w:t>eia, confirmada em janeiro e julho de 2024, respetivamente;</w:t>
      </w:r>
    </w:p>
    <w:p w:rsidR="00CC63AB" w:rsidRPr="002678D2" w:rsidRDefault="001D34ED" w:rsidP="00CC63AB">
      <w:pPr>
        <w:spacing w:after="240"/>
        <w:ind w:left="360" w:hanging="360"/>
      </w:pPr>
      <w:proofErr w:type="gramStart"/>
      <w:r w:rsidRPr="002678D2">
        <w:t>7.</w:t>
      </w:r>
      <w:r w:rsidRPr="002678D2">
        <w:tab/>
        <w:t>Congratula-se</w:t>
      </w:r>
      <w:proofErr w:type="gramEnd"/>
      <w:r w:rsidRPr="002678D2">
        <w:t xml:space="preserve"> com a nomeação de 8 novos procuradores europeus e de 35 novos procuradores europeus delegados para a Procuradoria Europeia em 2023; reitera que a Procuradoria Europeia só pode </w:t>
      </w:r>
      <w:r w:rsidRPr="002678D2">
        <w:t>desempenhar o seu papel se gozar de plena independência judicial, o que decorre de um processo de nomeação objetivo e baseado no mérito; encoraja os Estados-Membros a contribuir para a plena independência da Procuradoria Europeia a este respeito;</w:t>
      </w:r>
    </w:p>
    <w:p w:rsidR="00CC63AB" w:rsidRPr="002678D2" w:rsidRDefault="001D34ED" w:rsidP="00CC63AB">
      <w:pPr>
        <w:spacing w:after="240"/>
        <w:ind w:left="360" w:hanging="360"/>
      </w:pPr>
      <w:r w:rsidRPr="002678D2">
        <w:t>8.</w:t>
      </w:r>
      <w:r w:rsidRPr="002678D2">
        <w:tab/>
        <w:t>Incent</w:t>
      </w:r>
      <w:r w:rsidRPr="002678D2">
        <w:t>iva a cooperação contínua e reforçada entre a Procuradoria Europeia e o OLAF, em conformidade com os respetivos regulamentos, e a obrigação de o OLAF comunicar, sem demora injustificada, à Procuradoria Europeia suspeitas de contacto criminoso, a fim de lhe</w:t>
      </w:r>
      <w:r w:rsidRPr="002678D2">
        <w:t xml:space="preserve"> permitir combater a fraude, a corrupção e a criminalidade financeira lesiva dos interesses financeiros da União; apoia o aumento das iniciativas conjuntas, da partilha de informações e das ações coordenadas entre a Procuradoria Europeia e o OLAF, uma vez </w:t>
      </w:r>
      <w:r w:rsidRPr="002678D2">
        <w:t>que essa cooperação é vital para reforçar a proteção dos interesses financeiros da UE e a luta da União contra a criminalidade financeira e para assegurar a utilização eficaz e eficiente dos recursos da União.</w:t>
      </w:r>
    </w:p>
    <w:p w:rsidR="00CC63AB" w:rsidRPr="002678D2" w:rsidRDefault="001D34ED" w:rsidP="00CC63AB">
      <w:pPr>
        <w:pStyle w:val="NormalHanging12a"/>
        <w:rPr>
          <w:rStyle w:val="HideTWBExt"/>
        </w:rPr>
      </w:pPr>
      <w:r w:rsidRPr="002678D2">
        <w:rPr>
          <w:rStyle w:val="HideTWBExt"/>
        </w:rPr>
        <w:t>&lt;/RepeatBlock-Dec&gt;</w:t>
      </w:r>
    </w:p>
    <w:p w:rsidR="00CC63AB" w:rsidRPr="002678D2" w:rsidRDefault="00CC63AB" w:rsidP="00CC63AB">
      <w:pPr>
        <w:sectPr w:rsidR="00CC63AB" w:rsidRPr="002678D2" w:rsidSect="002678D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CC63AB" w:rsidRPr="002678D2" w:rsidRDefault="001D34ED" w:rsidP="00CC63AB">
      <w:pPr>
        <w:pStyle w:val="PageHeadingNotTOC"/>
      </w:pPr>
      <w:bookmarkStart w:id="1" w:name="FootprintPageAD"/>
      <w:r w:rsidRPr="002678D2">
        <w:lastRenderedPageBreak/>
        <w:t>ANEXO: ENTIDADES OU PESSOAS</w:t>
      </w:r>
      <w:r w:rsidRPr="002678D2">
        <w:t xml:space="preserve"> SINGULARES</w:t>
      </w:r>
      <w:r w:rsidRPr="002678D2">
        <w:br/>
        <w:t>DE QUEM O RELATOR RECEBEU CONTRIBUTOS</w:t>
      </w:r>
    </w:p>
    <w:p w:rsidR="00CC63AB" w:rsidRPr="002678D2" w:rsidRDefault="001D34ED" w:rsidP="00CC63AB">
      <w:pPr>
        <w:pStyle w:val="Normal24a"/>
      </w:pPr>
      <w:r w:rsidRPr="002678D2">
        <w:rPr>
          <w:rStyle w:val="HideTWBExt"/>
        </w:rPr>
        <w:t>&lt;FootprintIntro&gt;</w:t>
      </w:r>
      <w:r w:rsidRPr="002678D2">
        <w:t>O relator de parecer declara, sob a sua responsabilidade exclusiva, não ter recebido quaisquer contributos de entidades ou pessoas singulares que, em virtude do artigo 8.º do anexo I do Regi</w:t>
      </w:r>
      <w:r w:rsidRPr="002678D2">
        <w:t>mento, devessem ser indicadas no presente anexo.</w:t>
      </w:r>
      <w:r w:rsidRPr="002678D2">
        <w:rPr>
          <w:rStyle w:val="HideTWBExt"/>
        </w:rPr>
        <w:t>&lt;/FootprintIntro&gt;</w:t>
      </w:r>
    </w:p>
    <w:p w:rsidR="00CC63AB" w:rsidRPr="002678D2" w:rsidRDefault="00CC63AB" w:rsidP="00CC63AB"/>
    <w:bookmarkEnd w:id="1"/>
    <w:p w:rsidR="00CC63AB" w:rsidRPr="002678D2" w:rsidRDefault="00CC63AB" w:rsidP="00CC63AB">
      <w:pPr>
        <w:sectPr w:rsidR="00CC63AB" w:rsidRPr="002678D2" w:rsidSect="002F0F5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63AB" w:rsidRPr="002678D2" w:rsidRDefault="001D34ED" w:rsidP="00CC63AB">
      <w:pPr>
        <w:pStyle w:val="PageHeadingNotTOC"/>
      </w:pPr>
      <w:bookmarkStart w:id="2" w:name="ProcPageAD"/>
      <w:r w:rsidRPr="002678D2">
        <w:lastRenderedPageBreak/>
        <w:t>INFORMAÇÕES SOBRE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515DB" w:rsidRPr="002678D2"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b/>
                <w:bCs/>
                <w:color w:val="000000"/>
                <w:sz w:val="20"/>
              </w:rPr>
            </w:pPr>
            <w:r w:rsidRPr="002678D2">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63AB" w:rsidRPr="002678D2" w:rsidRDefault="00CC63AB"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63AB" w:rsidRPr="002678D2" w:rsidRDefault="00CC63AB"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63AB" w:rsidRPr="002678D2" w:rsidRDefault="00CC63AB" w:rsidP="00AA5D66">
            <w:pPr>
              <w:autoSpaceDE w:val="0"/>
              <w:autoSpaceDN w:val="0"/>
              <w:adjustRightInd w:val="0"/>
              <w:rPr>
                <w:rFonts w:ascii="sans-serif" w:hAnsi="sans-serif" w:cs="sans-serif"/>
                <w:color w:val="000000"/>
                <w:szCs w:val="24"/>
              </w:rPr>
            </w:pPr>
          </w:p>
        </w:tc>
      </w:tr>
      <w:tr w:rsidR="008515DB" w:rsidRPr="002678D2"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b/>
                <w:bCs/>
                <w:color w:val="000000"/>
                <w:sz w:val="20"/>
              </w:rPr>
            </w:pPr>
            <w:r w:rsidRPr="002678D2">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w:t>
            </w:r>
          </w:p>
          <w:p w:rsidR="00CC63AB" w:rsidRPr="002678D2" w:rsidRDefault="001D34ED" w:rsidP="00AA5D66">
            <w:pPr>
              <w:autoSpaceDE w:val="0"/>
              <w:autoSpaceDN w:val="0"/>
              <w:adjustRightInd w:val="0"/>
              <w:rPr>
                <w:color w:val="000000"/>
                <w:sz w:val="20"/>
              </w:rPr>
            </w:pPr>
            <w:r w:rsidRPr="002678D2">
              <w:rPr>
                <w:color w:val="000000"/>
                <w:sz w:val="20"/>
              </w:rPr>
              <w:t>–:</w:t>
            </w:r>
          </w:p>
          <w:p w:rsidR="00CC63AB" w:rsidRPr="002678D2" w:rsidRDefault="001D34ED" w:rsidP="00AA5D66">
            <w:pPr>
              <w:autoSpaceDE w:val="0"/>
              <w:autoSpaceDN w:val="0"/>
              <w:adjustRightInd w:val="0"/>
              <w:rPr>
                <w:color w:val="000000"/>
                <w:sz w:val="20"/>
              </w:rPr>
            </w:pPr>
            <w:r w:rsidRPr="002678D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46</w:t>
            </w:r>
          </w:p>
          <w:p w:rsidR="00CC63AB" w:rsidRPr="002678D2" w:rsidRDefault="001D34ED" w:rsidP="00AA5D66">
            <w:pPr>
              <w:autoSpaceDE w:val="0"/>
              <w:autoSpaceDN w:val="0"/>
              <w:adjustRightInd w:val="0"/>
              <w:rPr>
                <w:color w:val="000000"/>
                <w:sz w:val="20"/>
              </w:rPr>
            </w:pPr>
            <w:r w:rsidRPr="002678D2">
              <w:rPr>
                <w:color w:val="000000"/>
                <w:sz w:val="20"/>
              </w:rPr>
              <w:t>13</w:t>
            </w:r>
          </w:p>
          <w:p w:rsidR="00CC63AB" w:rsidRPr="002678D2" w:rsidRDefault="001D34ED" w:rsidP="00AA5D66">
            <w:pPr>
              <w:autoSpaceDE w:val="0"/>
              <w:autoSpaceDN w:val="0"/>
              <w:adjustRightInd w:val="0"/>
              <w:rPr>
                <w:color w:val="000000"/>
                <w:sz w:val="20"/>
              </w:rPr>
            </w:pPr>
            <w:r w:rsidRPr="002678D2">
              <w:rPr>
                <w:color w:val="000000"/>
                <w:sz w:val="20"/>
              </w:rPr>
              <w:t>1</w:t>
            </w:r>
          </w:p>
        </w:tc>
      </w:tr>
      <w:tr w:rsidR="008515DB" w:rsidRPr="002678D2"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b/>
                <w:bCs/>
                <w:color w:val="000000"/>
                <w:sz w:val="20"/>
              </w:rPr>
            </w:pPr>
            <w:r w:rsidRPr="002678D2">
              <w:rPr>
                <w:b/>
                <w:color w:val="000000"/>
                <w:sz w:val="20"/>
              </w:rPr>
              <w:t xml:space="preserve">Deputados </w:t>
            </w:r>
            <w:r w:rsidRPr="002678D2">
              <w:rPr>
                <w:b/>
                <w:color w:val="000000"/>
                <w:sz w:val="20"/>
              </w:rPr>
              <w:t>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Magdalena Adamowicz, Giuseppe Antoci, Jaume Asens Llodrà, Nikola Bartůšek, Krzysztof Brejza, Saskia Bricmont, Jaroslav Bžoch, Veronika Cifrová Ostrihoňová, Lena Düpont, Marieke Ehlers, Raquel García Hermida-Van Der Wal</w:t>
            </w:r>
            <w:r w:rsidRPr="002678D2">
              <w:rPr>
                <w:color w:val="000000"/>
                <w:sz w:val="20"/>
              </w:rPr>
              <w:t>le, Branko Grims, Evin Incir, Irena Joveva, Erik Kaliňák, Marina Kaljurand, Fabienne Keller, András László, Juan Fernando López Aguilar, Erik Marquardt, Michael McNamara, Birgit Sippel, Krzysztof Śmiszek, Petra Steger, Cecilia Strada, Georgiana Teodorescu,</w:t>
            </w:r>
            <w:r w:rsidRPr="002678D2">
              <w:rPr>
                <w:color w:val="000000"/>
                <w:sz w:val="20"/>
              </w:rPr>
              <w:t xml:space="preserve"> Milan Uhrík, Tom Vandendriessche, Charlie Weimers, Sophie Wilmès, Alessandro Zan, Javier Zarzalejos, Tomáš Zdechovský</w:t>
            </w:r>
          </w:p>
        </w:tc>
      </w:tr>
      <w:tr w:rsidR="008515DB" w:rsidRPr="002678D2"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b/>
                <w:bCs/>
                <w:color w:val="000000"/>
                <w:sz w:val="20"/>
              </w:rPr>
            </w:pPr>
            <w:r w:rsidRPr="002678D2">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Fredis Beleris, David Casa, Sigrid Friis, Markéta Gregorová, Hannah Neumann, Gaetano Ped</w:t>
            </w:r>
            <w:r w:rsidRPr="002678D2">
              <w:rPr>
                <w:color w:val="000000"/>
                <w:sz w:val="20"/>
              </w:rPr>
              <w:t>ulla’, Sandro Ruotolo, Oliver Schenk, Alexander Sell, Bartłomiej Sienkiewicz, Malika Sorel, António Tânger Corrêa, Marco Tarquinio, Pekka Toveri, Loránt Vincze, Petar Volgin, Axel Voss, Michał Wawrykiewicz, Lucia Yar</w:t>
            </w:r>
          </w:p>
        </w:tc>
      </w:tr>
      <w:tr w:rsidR="008515DB" w:rsidRPr="002678D2"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b/>
                <w:bCs/>
                <w:color w:val="000000"/>
                <w:sz w:val="20"/>
              </w:rPr>
            </w:pPr>
            <w:r w:rsidRPr="002678D2">
              <w:rPr>
                <w:b/>
                <w:color w:val="000000"/>
                <w:sz w:val="20"/>
              </w:rPr>
              <w:t xml:space="preserve">Deputados visados no art. 216.º, n.º </w:t>
            </w:r>
            <w:r w:rsidRPr="002678D2">
              <w:rPr>
                <w:b/>
                <w:color w:val="000000"/>
                <w:sz w:val="20"/>
              </w:rPr>
              <w:t>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63AB" w:rsidRPr="002678D2" w:rsidRDefault="001D34ED" w:rsidP="00AA5D66">
            <w:pPr>
              <w:autoSpaceDE w:val="0"/>
              <w:autoSpaceDN w:val="0"/>
              <w:adjustRightInd w:val="0"/>
              <w:rPr>
                <w:color w:val="000000"/>
                <w:sz w:val="20"/>
              </w:rPr>
            </w:pPr>
            <w:r w:rsidRPr="002678D2">
              <w:rPr>
                <w:color w:val="000000"/>
                <w:sz w:val="20"/>
              </w:rPr>
              <w:t>Bart Groothuis, Rima Hassan, Anja Hazekamp, Pär Holmgren, Sérgio Humberto, Evelyn Regner, Carla Tavares, Ingeborg Ter Laak</w:t>
            </w:r>
          </w:p>
        </w:tc>
      </w:tr>
    </w:tbl>
    <w:p w:rsidR="00CC63AB" w:rsidRPr="002678D2" w:rsidRDefault="00CC63AB" w:rsidP="00CC63AB"/>
    <w:bookmarkEnd w:id="2"/>
    <w:p w:rsidR="00CC63AB" w:rsidRPr="002678D2" w:rsidRDefault="00CC63AB" w:rsidP="00CC63AB">
      <w:pPr>
        <w:sectPr w:rsidR="00CC63AB" w:rsidRPr="002678D2" w:rsidSect="002F0F59">
          <w:pgSz w:w="11894" w:h="15840"/>
          <w:pgMar w:top="1700" w:right="1417" w:bottom="1417" w:left="1417" w:header="720" w:footer="720" w:gutter="0"/>
          <w:cols w:space="720"/>
          <w:noEndnote/>
          <w:docGrid w:linePitch="326"/>
        </w:sectPr>
      </w:pPr>
    </w:p>
    <w:p w:rsidR="00CC63AB" w:rsidRPr="002678D2" w:rsidRDefault="001D34ED" w:rsidP="00CC63AB">
      <w:pPr>
        <w:pStyle w:val="PageHeadingNotTOC"/>
      </w:pPr>
      <w:bookmarkStart w:id="3" w:name="RollCallPageAD"/>
      <w:r w:rsidRPr="002678D2">
        <w:lastRenderedPageBreak/>
        <w:t>VOTAÇÃO NOMINAL FINAL NA COMISSÃO ENCARREGADA DE EMITIR PA</w:t>
      </w:r>
      <w:r w:rsidRPr="002678D2">
        <w:t>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515DB" w:rsidRPr="002678D2" w:rsidTr="00AA5D66">
        <w:trPr>
          <w:cantSplit/>
        </w:trPr>
        <w:tc>
          <w:tcPr>
            <w:tcW w:w="1701" w:type="dxa"/>
            <w:shd w:val="pct10" w:color="000000" w:fill="FFFFFF"/>
            <w:vAlign w:val="center"/>
          </w:tcPr>
          <w:p w:rsidR="00CC63AB" w:rsidRPr="002678D2" w:rsidRDefault="001D34ED" w:rsidP="00AA5D66">
            <w:pPr>
              <w:pStyle w:val="RollCallVotes"/>
            </w:pPr>
            <w:r w:rsidRPr="002678D2">
              <w:t>46</w:t>
            </w:r>
          </w:p>
        </w:tc>
        <w:tc>
          <w:tcPr>
            <w:tcW w:w="7371" w:type="dxa"/>
            <w:shd w:val="pct10" w:color="000000" w:fill="FFFFFF"/>
          </w:tcPr>
          <w:p w:rsidR="00CC63AB" w:rsidRPr="002678D2" w:rsidRDefault="001D34ED" w:rsidP="00AA5D66">
            <w:pPr>
              <w:pStyle w:val="RollCallSymbols14pt"/>
            </w:pPr>
            <w:r w:rsidRPr="002678D2">
              <w:t>+</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PPE</w:t>
            </w:r>
          </w:p>
        </w:tc>
        <w:tc>
          <w:tcPr>
            <w:tcW w:w="7371" w:type="dxa"/>
            <w:shd w:val="clear" w:color="auto" w:fill="FFFFFF"/>
          </w:tcPr>
          <w:p w:rsidR="00CC63AB" w:rsidRPr="002678D2" w:rsidRDefault="001D34ED" w:rsidP="00AA5D66">
            <w:pPr>
              <w:pStyle w:val="RollCallTable"/>
            </w:pPr>
            <w:r w:rsidRPr="002678D2">
              <w:t xml:space="preserve">Magdalena Adamowicz, Fredis Beleris, Krzysztof Brejza, David Casa, Lena Düpont, Branko Grims, Sérgio Humberto, Oliver Schenk, Bartłomiej Sienkiewicz, Ingeborg Ter Laak, Pekka Toveri, Loránt Vincze, Axel Voss, Michał Wawrykiewicz, Javier </w:t>
            </w:r>
            <w:r w:rsidRPr="002678D2">
              <w:t>Zarzalejos, Tomáš Zdechovský</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Renew</w:t>
            </w:r>
          </w:p>
        </w:tc>
        <w:tc>
          <w:tcPr>
            <w:tcW w:w="7371" w:type="dxa"/>
            <w:shd w:val="clear" w:color="auto" w:fill="FFFFFF"/>
          </w:tcPr>
          <w:p w:rsidR="00CC63AB" w:rsidRPr="002678D2" w:rsidRDefault="001D34ED" w:rsidP="00AA5D66">
            <w:pPr>
              <w:pStyle w:val="RollCallTable"/>
            </w:pPr>
            <w:r w:rsidRPr="002678D2">
              <w:t>Veronika Cifrová Ostrihoňová, Sigrid Friis, Raquel García Hermida-Van Der Walle, Bart Groothuis, Irena Joveva, Fabienne Keller, Michael McNamara, Sophie Wilmès, Lucia Yar</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S&amp;D</w:t>
            </w:r>
          </w:p>
        </w:tc>
        <w:tc>
          <w:tcPr>
            <w:tcW w:w="7371" w:type="dxa"/>
            <w:shd w:val="clear" w:color="auto" w:fill="FFFFFF"/>
          </w:tcPr>
          <w:p w:rsidR="00CC63AB" w:rsidRPr="002678D2" w:rsidRDefault="001D34ED" w:rsidP="00AA5D66">
            <w:pPr>
              <w:pStyle w:val="RollCallTable"/>
            </w:pPr>
            <w:r w:rsidRPr="002678D2">
              <w:t xml:space="preserve">Evin Incir, Marina Kaljurand, Juan Fernando </w:t>
            </w:r>
            <w:r w:rsidRPr="002678D2">
              <w:t>López Aguilar, Evelyn Regner, Sandro Ruotolo, Birgit Sippel, Krzysztof Śmiszek, Cecilia Strada, Marco Tarquinio, Carla Tavares, Alessandro Zan</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The Left</w:t>
            </w:r>
          </w:p>
        </w:tc>
        <w:tc>
          <w:tcPr>
            <w:tcW w:w="7371" w:type="dxa"/>
            <w:shd w:val="clear" w:color="auto" w:fill="FFFFFF"/>
          </w:tcPr>
          <w:p w:rsidR="00CC63AB" w:rsidRPr="002678D2" w:rsidRDefault="001D34ED" w:rsidP="00AA5D66">
            <w:pPr>
              <w:pStyle w:val="RollCallTable"/>
            </w:pPr>
            <w:r w:rsidRPr="002678D2">
              <w:t>Giuseppe Antoci, Rima Hassan, Anja Hazekamp, Gaetano Pedulla'</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Verts/ALE</w:t>
            </w:r>
          </w:p>
        </w:tc>
        <w:tc>
          <w:tcPr>
            <w:tcW w:w="7371" w:type="dxa"/>
            <w:shd w:val="clear" w:color="auto" w:fill="FFFFFF"/>
          </w:tcPr>
          <w:p w:rsidR="00CC63AB" w:rsidRPr="002678D2" w:rsidRDefault="001D34ED" w:rsidP="00AA5D66">
            <w:pPr>
              <w:pStyle w:val="RollCallTable"/>
            </w:pPr>
            <w:r w:rsidRPr="002678D2">
              <w:t>Jaume Asens Llodrà, Saskia Bri</w:t>
            </w:r>
            <w:r w:rsidRPr="002678D2">
              <w:t>cmont, Markéta Gregorová, Pär Holmgren, Erik Marquardt, Hannah Neumann</w:t>
            </w:r>
          </w:p>
        </w:tc>
      </w:tr>
    </w:tbl>
    <w:p w:rsidR="00CC63AB" w:rsidRPr="002678D2" w:rsidRDefault="00CC63AB" w:rsidP="00CC63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515DB" w:rsidRPr="002678D2" w:rsidTr="00AA5D66">
        <w:trPr>
          <w:cantSplit/>
        </w:trPr>
        <w:tc>
          <w:tcPr>
            <w:tcW w:w="1701" w:type="dxa"/>
            <w:shd w:val="pct10" w:color="000000" w:fill="FFFFFF"/>
            <w:vAlign w:val="center"/>
          </w:tcPr>
          <w:p w:rsidR="00CC63AB" w:rsidRPr="002678D2" w:rsidRDefault="001D34ED" w:rsidP="00AA5D66">
            <w:pPr>
              <w:pStyle w:val="RollCallVotes"/>
            </w:pPr>
            <w:r w:rsidRPr="002678D2">
              <w:t>13</w:t>
            </w:r>
          </w:p>
        </w:tc>
        <w:tc>
          <w:tcPr>
            <w:tcW w:w="7371" w:type="dxa"/>
            <w:shd w:val="pct10" w:color="000000" w:fill="FFFFFF"/>
          </w:tcPr>
          <w:p w:rsidR="00CC63AB" w:rsidRPr="002678D2" w:rsidRDefault="001D34ED" w:rsidP="00AA5D66">
            <w:pPr>
              <w:pStyle w:val="RollCallSymbols14pt"/>
            </w:pPr>
            <w:r w:rsidRPr="002678D2">
              <w:t>-</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ECR</w:t>
            </w:r>
          </w:p>
        </w:tc>
        <w:tc>
          <w:tcPr>
            <w:tcW w:w="7371" w:type="dxa"/>
            <w:shd w:val="clear" w:color="auto" w:fill="FFFFFF"/>
          </w:tcPr>
          <w:p w:rsidR="00CC63AB" w:rsidRPr="002678D2" w:rsidRDefault="001D34ED" w:rsidP="00AA5D66">
            <w:pPr>
              <w:pStyle w:val="RollCallTable"/>
            </w:pPr>
            <w:r w:rsidRPr="002678D2">
              <w:t>Charlie Weimers</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ESN</w:t>
            </w:r>
          </w:p>
        </w:tc>
        <w:tc>
          <w:tcPr>
            <w:tcW w:w="7371" w:type="dxa"/>
            <w:shd w:val="clear" w:color="auto" w:fill="FFFFFF"/>
          </w:tcPr>
          <w:p w:rsidR="00CC63AB" w:rsidRPr="002678D2" w:rsidRDefault="001D34ED" w:rsidP="00AA5D66">
            <w:pPr>
              <w:pStyle w:val="RollCallTable"/>
            </w:pPr>
            <w:r w:rsidRPr="002678D2">
              <w:t>Alexander Sell, Milan Uhrík, Petar Volgin</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NI</w:t>
            </w:r>
          </w:p>
        </w:tc>
        <w:tc>
          <w:tcPr>
            <w:tcW w:w="7371" w:type="dxa"/>
            <w:shd w:val="clear" w:color="auto" w:fill="FFFFFF"/>
          </w:tcPr>
          <w:p w:rsidR="00CC63AB" w:rsidRPr="002678D2" w:rsidRDefault="001D34ED" w:rsidP="00AA5D66">
            <w:pPr>
              <w:pStyle w:val="RollCallTable"/>
            </w:pPr>
            <w:r w:rsidRPr="002678D2">
              <w:t>Erik Kaliňák</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PfE</w:t>
            </w:r>
          </w:p>
        </w:tc>
        <w:tc>
          <w:tcPr>
            <w:tcW w:w="7371" w:type="dxa"/>
            <w:shd w:val="clear" w:color="auto" w:fill="FFFFFF"/>
          </w:tcPr>
          <w:p w:rsidR="00CC63AB" w:rsidRPr="002678D2" w:rsidRDefault="001D34ED" w:rsidP="00AA5D66">
            <w:pPr>
              <w:pStyle w:val="RollCallTable"/>
            </w:pPr>
            <w:r w:rsidRPr="002678D2">
              <w:t xml:space="preserve">Nikola Bartůšek, Jaroslav Bžoch, Marieke Ehlers, András László, Malika Sorel, Petra </w:t>
            </w:r>
            <w:r w:rsidRPr="002678D2">
              <w:t>Steger, António Tânger Corrêa, Tom Vandendriessche</w:t>
            </w:r>
          </w:p>
        </w:tc>
      </w:tr>
    </w:tbl>
    <w:p w:rsidR="00CC63AB" w:rsidRPr="002678D2" w:rsidRDefault="00CC63AB" w:rsidP="00CC63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515DB" w:rsidRPr="002678D2" w:rsidTr="00AA5D66">
        <w:trPr>
          <w:cantSplit/>
        </w:trPr>
        <w:tc>
          <w:tcPr>
            <w:tcW w:w="1701" w:type="dxa"/>
            <w:shd w:val="pct10" w:color="000000" w:fill="FFFFFF"/>
            <w:vAlign w:val="center"/>
          </w:tcPr>
          <w:p w:rsidR="00CC63AB" w:rsidRPr="002678D2" w:rsidRDefault="001D34ED" w:rsidP="00AA5D66">
            <w:pPr>
              <w:pStyle w:val="RollCallVotes"/>
            </w:pPr>
            <w:r w:rsidRPr="002678D2">
              <w:t>1</w:t>
            </w:r>
          </w:p>
        </w:tc>
        <w:tc>
          <w:tcPr>
            <w:tcW w:w="7371" w:type="dxa"/>
            <w:shd w:val="pct10" w:color="000000" w:fill="FFFFFF"/>
          </w:tcPr>
          <w:p w:rsidR="00CC63AB" w:rsidRPr="002678D2" w:rsidRDefault="001D34ED" w:rsidP="00AA5D66">
            <w:pPr>
              <w:pStyle w:val="RollCallSymbols14pt"/>
            </w:pPr>
            <w:r w:rsidRPr="002678D2">
              <w:t>0</w:t>
            </w:r>
          </w:p>
        </w:tc>
      </w:tr>
      <w:tr w:rsidR="008515DB" w:rsidRPr="002678D2" w:rsidTr="00AA5D66">
        <w:trPr>
          <w:cantSplit/>
        </w:trPr>
        <w:tc>
          <w:tcPr>
            <w:tcW w:w="1701" w:type="dxa"/>
            <w:shd w:val="clear" w:color="auto" w:fill="FFFFFF"/>
          </w:tcPr>
          <w:p w:rsidR="00CC63AB" w:rsidRPr="002678D2" w:rsidRDefault="001D34ED" w:rsidP="00AA5D66">
            <w:pPr>
              <w:pStyle w:val="RollCallTable"/>
            </w:pPr>
            <w:r w:rsidRPr="002678D2">
              <w:t>ECR</w:t>
            </w:r>
          </w:p>
        </w:tc>
        <w:tc>
          <w:tcPr>
            <w:tcW w:w="7371" w:type="dxa"/>
            <w:shd w:val="clear" w:color="auto" w:fill="FFFFFF"/>
          </w:tcPr>
          <w:p w:rsidR="00CC63AB" w:rsidRPr="002678D2" w:rsidRDefault="001D34ED" w:rsidP="00AA5D66">
            <w:pPr>
              <w:pStyle w:val="RollCallTable"/>
            </w:pPr>
            <w:r w:rsidRPr="002678D2">
              <w:t>Georgiana Teodorescu</w:t>
            </w:r>
          </w:p>
        </w:tc>
      </w:tr>
    </w:tbl>
    <w:p w:rsidR="00CC63AB" w:rsidRPr="002678D2" w:rsidRDefault="00CC63AB" w:rsidP="00CC63AB">
      <w:pPr>
        <w:pStyle w:val="Normal12a"/>
      </w:pPr>
    </w:p>
    <w:p w:rsidR="00CC63AB" w:rsidRPr="002678D2" w:rsidRDefault="001D34ED" w:rsidP="00CC63AB">
      <w:r w:rsidRPr="002678D2">
        <w:t>Legenda dos símbolos utilizados:</w:t>
      </w:r>
    </w:p>
    <w:p w:rsidR="00CC63AB" w:rsidRPr="002678D2" w:rsidRDefault="001D34ED" w:rsidP="00CC63AB">
      <w:pPr>
        <w:pStyle w:val="RollCallTabs"/>
      </w:pPr>
      <w:r w:rsidRPr="002678D2">
        <w:t>+</w:t>
      </w:r>
      <w:r w:rsidRPr="002678D2">
        <w:tab/>
        <w:t>:</w:t>
      </w:r>
      <w:r w:rsidRPr="002678D2">
        <w:tab/>
        <w:t>votos a favor</w:t>
      </w:r>
    </w:p>
    <w:p w:rsidR="00CC63AB" w:rsidRPr="002678D2" w:rsidRDefault="001D34ED" w:rsidP="00CC63AB">
      <w:pPr>
        <w:pStyle w:val="RollCallTabs"/>
      </w:pPr>
      <w:r w:rsidRPr="002678D2">
        <w:t>-</w:t>
      </w:r>
      <w:r w:rsidRPr="002678D2">
        <w:tab/>
        <w:t>:</w:t>
      </w:r>
      <w:r w:rsidRPr="002678D2">
        <w:tab/>
        <w:t>votos contra</w:t>
      </w:r>
    </w:p>
    <w:p w:rsidR="00CC63AB" w:rsidRPr="002678D2" w:rsidRDefault="001D34ED" w:rsidP="00CC63AB">
      <w:pPr>
        <w:pStyle w:val="RollCallTabs"/>
      </w:pPr>
      <w:r w:rsidRPr="002678D2">
        <w:t>0</w:t>
      </w:r>
      <w:r w:rsidRPr="002678D2">
        <w:tab/>
        <w:t>:</w:t>
      </w:r>
      <w:r w:rsidRPr="002678D2">
        <w:tab/>
        <w:t>abstenções</w:t>
      </w:r>
    </w:p>
    <w:p w:rsidR="00CC63AB" w:rsidRPr="002678D2" w:rsidRDefault="00CC63AB" w:rsidP="00CC63AB"/>
    <w:bookmarkEnd w:id="3"/>
    <w:p w:rsidR="00CC63AB" w:rsidRPr="002678D2" w:rsidRDefault="00CC63AB" w:rsidP="00CC63AB"/>
    <w:p w:rsidR="00E05697" w:rsidRPr="002678D2" w:rsidRDefault="00E05697" w:rsidP="00CC63AB">
      <w:pPr>
        <w:pStyle w:val="CoverReference"/>
      </w:pPr>
    </w:p>
    <w:sectPr w:rsidR="00E05697" w:rsidRPr="002678D2" w:rsidSect="009E75A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678D2" w:rsidRDefault="001D34ED">
      <w:r w:rsidRPr="002678D2">
        <w:separator/>
      </w:r>
    </w:p>
  </w:endnote>
  <w:endnote w:type="continuationSeparator" w:id="0">
    <w:p w:rsidR="00000000" w:rsidRPr="002678D2" w:rsidRDefault="001D34ED">
      <w:r w:rsidRPr="002678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8D2" w:rsidRPr="002678D2" w:rsidRDefault="002678D2" w:rsidP="002678D2">
    <w:pPr>
      <w:pStyle w:val="EPFooter"/>
    </w:pPr>
    <w:r w:rsidRPr="002678D2">
      <w:t>PE</w:t>
    </w:r>
    <w:r w:rsidRPr="002678D2">
      <w:rPr>
        <w:rStyle w:val="HideTWBExt"/>
      </w:rPr>
      <w:t>&lt;NoPE&gt;</w:t>
    </w:r>
    <w:r w:rsidRPr="002678D2">
      <w:t>765.282</w:t>
    </w:r>
    <w:r w:rsidRPr="002678D2">
      <w:rPr>
        <w:rStyle w:val="HideTWBExt"/>
      </w:rPr>
      <w:t>&lt;/NoPE&gt;&lt;Version&gt;</w:t>
    </w:r>
    <w:r w:rsidRPr="002678D2">
      <w:t>v02-00</w:t>
    </w:r>
    <w:r w:rsidRPr="002678D2">
      <w:rPr>
        <w:rStyle w:val="HideTWBExt"/>
      </w:rPr>
      <w:t>&lt;/Version&gt;</w:t>
    </w:r>
    <w:r w:rsidRPr="002678D2">
      <w:tab/>
    </w:r>
    <w:r w:rsidRPr="002678D2">
      <w:fldChar w:fldCharType="begin"/>
    </w:r>
    <w:r w:rsidRPr="002678D2">
      <w:instrText xml:space="preserve"> PAGE  \* MERGEFORMAT </w:instrText>
    </w:r>
    <w:r w:rsidRPr="002678D2">
      <w:fldChar w:fldCharType="separate"/>
    </w:r>
    <w:r w:rsidR="001D34ED">
      <w:rPr>
        <w:noProof/>
      </w:rPr>
      <w:t>2</w:t>
    </w:r>
    <w:r w:rsidRPr="002678D2">
      <w:fldChar w:fldCharType="end"/>
    </w:r>
    <w:r w:rsidRPr="002678D2">
      <w:t>/</w:t>
    </w:r>
    <w:fldSimple w:instr=" NUMPAGES  \* MERGEFORMAT ">
      <w:r w:rsidR="001D34ED">
        <w:rPr>
          <w:noProof/>
        </w:rPr>
        <w:t>7</w:t>
      </w:r>
    </w:fldSimple>
    <w:r w:rsidRPr="002678D2">
      <w:tab/>
    </w:r>
    <w:r w:rsidRPr="002678D2">
      <w:rPr>
        <w:rStyle w:val="HideTWBExt"/>
      </w:rPr>
      <w:t>&lt;PathFdR&gt;</w:t>
    </w:r>
    <w:r w:rsidRPr="002678D2">
      <w:t>AD\1313623PT.docx</w:t>
    </w:r>
    <w:r w:rsidRPr="002678D2">
      <w:rPr>
        <w:rStyle w:val="HideTWBExt"/>
      </w:rPr>
      <w:t>&lt;/PathFdR&gt;</w:t>
    </w:r>
  </w:p>
  <w:p w:rsidR="00CC63AB" w:rsidRPr="002678D2" w:rsidRDefault="002678D2" w:rsidP="002678D2">
    <w:pPr>
      <w:pStyle w:val="EPFooter2"/>
    </w:pPr>
    <w:r w:rsidRPr="002678D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8D2" w:rsidRPr="002678D2" w:rsidRDefault="002678D2" w:rsidP="002678D2">
    <w:pPr>
      <w:pStyle w:val="EPFooter"/>
    </w:pPr>
    <w:r w:rsidRPr="002678D2">
      <w:rPr>
        <w:rStyle w:val="HideTWBExt"/>
      </w:rPr>
      <w:t>&lt;PathFdR&gt;</w:t>
    </w:r>
    <w:r w:rsidRPr="002678D2">
      <w:t>AD\1313623PT.docx</w:t>
    </w:r>
    <w:r w:rsidRPr="002678D2">
      <w:rPr>
        <w:rStyle w:val="HideTWBExt"/>
      </w:rPr>
      <w:t>&lt;/PathFdR&gt;</w:t>
    </w:r>
    <w:r w:rsidRPr="002678D2">
      <w:tab/>
    </w:r>
    <w:r w:rsidRPr="002678D2">
      <w:fldChar w:fldCharType="begin"/>
    </w:r>
    <w:r w:rsidRPr="002678D2">
      <w:instrText xml:space="preserve"> PAGE  \* MERGEFORMAT </w:instrText>
    </w:r>
    <w:r w:rsidRPr="002678D2">
      <w:fldChar w:fldCharType="separate"/>
    </w:r>
    <w:r w:rsidR="001D34ED">
      <w:rPr>
        <w:noProof/>
      </w:rPr>
      <w:t>3</w:t>
    </w:r>
    <w:r w:rsidRPr="002678D2">
      <w:fldChar w:fldCharType="end"/>
    </w:r>
    <w:r w:rsidRPr="002678D2">
      <w:t>/</w:t>
    </w:r>
    <w:fldSimple w:instr=" NUMPAGES  \* MERGEFORMAT ">
      <w:r w:rsidR="001D34ED">
        <w:rPr>
          <w:noProof/>
        </w:rPr>
        <w:t>7</w:t>
      </w:r>
    </w:fldSimple>
    <w:r w:rsidRPr="002678D2">
      <w:tab/>
      <w:t>PE</w:t>
    </w:r>
    <w:r w:rsidRPr="002678D2">
      <w:rPr>
        <w:rStyle w:val="HideTWBExt"/>
      </w:rPr>
      <w:t>&lt;NoPE&gt;</w:t>
    </w:r>
    <w:r w:rsidRPr="002678D2">
      <w:t>765.282</w:t>
    </w:r>
    <w:r w:rsidRPr="002678D2">
      <w:rPr>
        <w:rStyle w:val="HideTWBExt"/>
      </w:rPr>
      <w:t>&lt;/NoPE&gt;&lt;Version&gt;</w:t>
    </w:r>
    <w:r w:rsidRPr="002678D2">
      <w:t>v02-00</w:t>
    </w:r>
    <w:r w:rsidRPr="002678D2">
      <w:rPr>
        <w:rStyle w:val="HideTWBExt"/>
      </w:rPr>
      <w:t>&lt;/Version&gt;</w:t>
    </w:r>
  </w:p>
  <w:p w:rsidR="00CC63AB" w:rsidRPr="002678D2" w:rsidRDefault="002678D2" w:rsidP="002678D2">
    <w:pPr>
      <w:pStyle w:val="EPFooter2"/>
    </w:pPr>
    <w:r w:rsidRPr="002678D2">
      <w:tab/>
    </w:r>
    <w:r w:rsidRPr="002678D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8D2" w:rsidRPr="002678D2" w:rsidRDefault="002678D2" w:rsidP="002678D2">
    <w:pPr>
      <w:pStyle w:val="EPFooter"/>
    </w:pPr>
    <w:r w:rsidRPr="002678D2">
      <w:rPr>
        <w:rStyle w:val="HideTWBExt"/>
      </w:rPr>
      <w:t>&lt;PathFdR&gt;</w:t>
    </w:r>
    <w:r w:rsidRPr="002678D2">
      <w:t>AD\1313623PT.docx</w:t>
    </w:r>
    <w:r w:rsidRPr="002678D2">
      <w:rPr>
        <w:rStyle w:val="HideTWBExt"/>
      </w:rPr>
      <w:t>&lt;/PathFdR&gt;</w:t>
    </w:r>
    <w:r w:rsidRPr="002678D2">
      <w:tab/>
    </w:r>
    <w:r w:rsidRPr="002678D2">
      <w:tab/>
      <w:t>PE</w:t>
    </w:r>
    <w:r w:rsidRPr="002678D2">
      <w:rPr>
        <w:rStyle w:val="HideTWBExt"/>
      </w:rPr>
      <w:t>&lt;NoPE&gt;</w:t>
    </w:r>
    <w:r w:rsidRPr="002678D2">
      <w:t>765.282</w:t>
    </w:r>
    <w:r w:rsidRPr="002678D2">
      <w:rPr>
        <w:rStyle w:val="HideTWBExt"/>
      </w:rPr>
      <w:t>&lt;/NoPE&gt;&lt;Version&gt;</w:t>
    </w:r>
    <w:r w:rsidRPr="002678D2">
      <w:t>v02-00</w:t>
    </w:r>
    <w:r w:rsidRPr="002678D2">
      <w:rPr>
        <w:rStyle w:val="HideTWBExt"/>
      </w:rPr>
      <w:t>&lt;/Version&gt;</w:t>
    </w:r>
  </w:p>
  <w:p w:rsidR="00CC63AB" w:rsidRPr="002678D2" w:rsidRDefault="002678D2" w:rsidP="002678D2">
    <w:pPr>
      <w:pStyle w:val="EPFooter2"/>
    </w:pPr>
    <w:r w:rsidRPr="002678D2">
      <w:t>PT</w:t>
    </w:r>
    <w:r w:rsidRPr="002678D2">
      <w:tab/>
    </w:r>
    <w:r w:rsidRPr="002678D2">
      <w:rPr>
        <w:b w:val="0"/>
        <w:i/>
        <w:color w:val="C0C0C0"/>
        <w:sz w:val="22"/>
      </w:rPr>
      <w:t>Unida na diversidade</w:t>
    </w:r>
    <w:r w:rsidRPr="002678D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2678D2" w:rsidRDefault="001D34ED" w:rsidP="009B3A58">
    <w:pPr>
      <w:pStyle w:val="EPFooter"/>
    </w:pPr>
    <w:r w:rsidRPr="002678D2">
      <w:rPr>
        <w:rStyle w:val="HideTWBExt"/>
      </w:rPr>
      <w:t>&lt;PathFdR&gt;</w:t>
    </w:r>
    <w:r w:rsidRPr="002678D2">
      <w:t>AD\1313623EN.docx</w:t>
    </w:r>
    <w:r w:rsidRPr="002678D2">
      <w:rPr>
        <w:rStyle w:val="HideTWBExt"/>
      </w:rPr>
      <w:t>&lt;/PathFdR&gt;</w:t>
    </w:r>
    <w:r w:rsidRPr="002678D2">
      <w:tab/>
    </w:r>
    <w:r w:rsidRPr="002678D2">
      <w:tab/>
      <w:t>PE</w:t>
    </w:r>
    <w:r w:rsidRPr="002678D2">
      <w:rPr>
        <w:rStyle w:val="HideTWBExt"/>
      </w:rPr>
      <w:t>&lt;NoPE&gt;</w:t>
    </w:r>
    <w:r w:rsidRPr="002678D2">
      <w:t>765.282</w:t>
    </w:r>
    <w:r w:rsidRPr="002678D2">
      <w:rPr>
        <w:rStyle w:val="HideTWBExt"/>
      </w:rPr>
      <w:t>&lt;/NoPE&gt;&lt;Version&gt;</w:t>
    </w:r>
    <w:r w:rsidRPr="002678D2">
      <w:t>v02-00</w:t>
    </w:r>
    <w:r w:rsidRPr="002678D2">
      <w:rPr>
        <w:rStyle w:val="HideTWBExt"/>
      </w:rPr>
      <w:t>&lt;/Version&gt;</w:t>
    </w:r>
  </w:p>
  <w:p w:rsidR="00C75378" w:rsidRPr="002678D2" w:rsidRDefault="001D34ED" w:rsidP="009B3A58">
    <w:pPr>
      <w:pStyle w:val="EPFooter2"/>
    </w:pPr>
    <w:r w:rsidRPr="002678D2">
      <w:t>EN</w:t>
    </w:r>
    <w:r w:rsidRPr="002678D2">
      <w:tab/>
    </w:r>
    <w:r w:rsidRPr="002678D2">
      <w:rPr>
        <w:b w:val="0"/>
        <w:i/>
        <w:color w:val="C0C0C0"/>
        <w:sz w:val="22"/>
      </w:rPr>
      <w:t>United in diversity</w:t>
    </w:r>
    <w:r w:rsidRPr="002678D2">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678D2" w:rsidRDefault="001D34ED">
      <w:r w:rsidRPr="002678D2">
        <w:separator/>
      </w:r>
    </w:p>
  </w:footnote>
  <w:footnote w:type="continuationSeparator" w:id="0">
    <w:p w:rsidR="00000000" w:rsidRPr="002678D2" w:rsidRDefault="001D34ED">
      <w:r w:rsidRPr="002678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ED" w:rsidRDefault="001D3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ED" w:rsidRDefault="001D3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ED" w:rsidRDefault="001D34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58" w:rsidRPr="009B3A58" w:rsidRDefault="009B3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DEC5E54"/>
    <w:multiLevelType w:val="hybridMultilevel"/>
    <w:tmpl w:val="2E18DDBA"/>
    <w:lvl w:ilvl="0" w:tplc="030C5F44">
      <w:start w:val="1"/>
      <w:numFmt w:val="decimal"/>
      <w:lvlText w:val="%1."/>
      <w:lvlJc w:val="left"/>
      <w:pPr>
        <w:ind w:left="360" w:hanging="360"/>
      </w:pPr>
    </w:lvl>
    <w:lvl w:ilvl="1" w:tplc="14B4B6F8" w:tentative="1">
      <w:start w:val="1"/>
      <w:numFmt w:val="lowerLetter"/>
      <w:lvlText w:val="%2."/>
      <w:lvlJc w:val="left"/>
      <w:pPr>
        <w:ind w:left="1440" w:hanging="360"/>
      </w:pPr>
    </w:lvl>
    <w:lvl w:ilvl="2" w:tplc="E3CED632" w:tentative="1">
      <w:start w:val="1"/>
      <w:numFmt w:val="lowerRoman"/>
      <w:lvlText w:val="%3."/>
      <w:lvlJc w:val="right"/>
      <w:pPr>
        <w:ind w:left="2160" w:hanging="180"/>
      </w:pPr>
    </w:lvl>
    <w:lvl w:ilvl="3" w:tplc="C57811C2" w:tentative="1">
      <w:start w:val="1"/>
      <w:numFmt w:val="decimal"/>
      <w:lvlText w:val="%4."/>
      <w:lvlJc w:val="left"/>
      <w:pPr>
        <w:ind w:left="2880" w:hanging="360"/>
      </w:pPr>
    </w:lvl>
    <w:lvl w:ilvl="4" w:tplc="C11852BA" w:tentative="1">
      <w:start w:val="1"/>
      <w:numFmt w:val="lowerLetter"/>
      <w:lvlText w:val="%5."/>
      <w:lvlJc w:val="left"/>
      <w:pPr>
        <w:ind w:left="3600" w:hanging="360"/>
      </w:pPr>
    </w:lvl>
    <w:lvl w:ilvl="5" w:tplc="28B87058" w:tentative="1">
      <w:start w:val="1"/>
      <w:numFmt w:val="lowerRoman"/>
      <w:lvlText w:val="%6."/>
      <w:lvlJc w:val="right"/>
      <w:pPr>
        <w:ind w:left="4320" w:hanging="180"/>
      </w:pPr>
    </w:lvl>
    <w:lvl w:ilvl="6" w:tplc="4DB6A22C" w:tentative="1">
      <w:start w:val="1"/>
      <w:numFmt w:val="decimal"/>
      <w:lvlText w:val="%7."/>
      <w:lvlJc w:val="left"/>
      <w:pPr>
        <w:ind w:left="5040" w:hanging="360"/>
      </w:pPr>
    </w:lvl>
    <w:lvl w:ilvl="7" w:tplc="DCDA574A" w:tentative="1">
      <w:start w:val="1"/>
      <w:numFmt w:val="lowerLetter"/>
      <w:lvlText w:val="%8."/>
      <w:lvlJc w:val="left"/>
      <w:pPr>
        <w:ind w:left="5760" w:hanging="360"/>
      </w:pPr>
    </w:lvl>
    <w:lvl w:ilvl="8" w:tplc="0F34BED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2"/>
    <w:docVar w:name="TXTAUTHOR" w:val="Tomáš Zdechovský"/>
    <w:docVar w:name="TXTBUDYEAR" w:val="2023"/>
    <w:docVar w:name="TXTLANGUE" w:val="EN"/>
    <w:docVar w:name="TXTLANGUEMIN" w:val="en"/>
    <w:docVar w:name="TXTNRPE" w:val="765.282"/>
    <w:docVar w:name="TXTNRPROC" w:val="2024/2029"/>
    <w:docVar w:name="TXTPEorAP" w:val="PE"/>
    <w:docVar w:name="TXTROUTE" w:val="AD\1313623EN.docx"/>
    <w:docVar w:name="TXTTITLE" w:val="European Commission: Consolidated annual accounts of the European Union - Financial year 2023 - European Public Prosecutors Office (the ‘EPPO’)"/>
    <w:docVar w:name="TXTVERSION" w:val="02-00"/>
  </w:docVars>
  <w:rsids>
    <w:rsidRoot w:val="00061346"/>
    <w:rsid w:val="000048A8"/>
    <w:rsid w:val="00007A18"/>
    <w:rsid w:val="00061346"/>
    <w:rsid w:val="00062634"/>
    <w:rsid w:val="00096985"/>
    <w:rsid w:val="000A05CA"/>
    <w:rsid w:val="000B6C4B"/>
    <w:rsid w:val="000C3426"/>
    <w:rsid w:val="000D001F"/>
    <w:rsid w:val="000D099F"/>
    <w:rsid w:val="000E6813"/>
    <w:rsid w:val="000F07FE"/>
    <w:rsid w:val="00122A28"/>
    <w:rsid w:val="001275F4"/>
    <w:rsid w:val="001623C4"/>
    <w:rsid w:val="001A455F"/>
    <w:rsid w:val="001C69F7"/>
    <w:rsid w:val="001D34ED"/>
    <w:rsid w:val="001E2456"/>
    <w:rsid w:val="001F2766"/>
    <w:rsid w:val="001F6ED8"/>
    <w:rsid w:val="00212D35"/>
    <w:rsid w:val="002207E2"/>
    <w:rsid w:val="00245C7F"/>
    <w:rsid w:val="002678D2"/>
    <w:rsid w:val="00271180"/>
    <w:rsid w:val="002A4AC9"/>
    <w:rsid w:val="002A6F37"/>
    <w:rsid w:val="002B2892"/>
    <w:rsid w:val="002C0EE6"/>
    <w:rsid w:val="002C34AE"/>
    <w:rsid w:val="002E2F2E"/>
    <w:rsid w:val="002F0F59"/>
    <w:rsid w:val="00307C14"/>
    <w:rsid w:val="00333F33"/>
    <w:rsid w:val="00345218"/>
    <w:rsid w:val="003707A7"/>
    <w:rsid w:val="003734D4"/>
    <w:rsid w:val="00385BAB"/>
    <w:rsid w:val="0039003E"/>
    <w:rsid w:val="00396FA9"/>
    <w:rsid w:val="003B72FC"/>
    <w:rsid w:val="003D4E73"/>
    <w:rsid w:val="003D684B"/>
    <w:rsid w:val="003E06CF"/>
    <w:rsid w:val="003E2757"/>
    <w:rsid w:val="003E35FB"/>
    <w:rsid w:val="003F3B83"/>
    <w:rsid w:val="00431E30"/>
    <w:rsid w:val="00443B5F"/>
    <w:rsid w:val="00487232"/>
    <w:rsid w:val="00495CA4"/>
    <w:rsid w:val="004A2FA7"/>
    <w:rsid w:val="004A34E6"/>
    <w:rsid w:val="004A5A52"/>
    <w:rsid w:val="004C28FB"/>
    <w:rsid w:val="004C6948"/>
    <w:rsid w:val="004E54DC"/>
    <w:rsid w:val="004F2D04"/>
    <w:rsid w:val="004F48ED"/>
    <w:rsid w:val="00514664"/>
    <w:rsid w:val="00531CB3"/>
    <w:rsid w:val="0055017A"/>
    <w:rsid w:val="00574093"/>
    <w:rsid w:val="00577018"/>
    <w:rsid w:val="005779E7"/>
    <w:rsid w:val="005D0786"/>
    <w:rsid w:val="005E3670"/>
    <w:rsid w:val="00600DC9"/>
    <w:rsid w:val="00600FDF"/>
    <w:rsid w:val="00626BE7"/>
    <w:rsid w:val="00643F39"/>
    <w:rsid w:val="006620E8"/>
    <w:rsid w:val="0066728C"/>
    <w:rsid w:val="006819E0"/>
    <w:rsid w:val="00690C2D"/>
    <w:rsid w:val="006A6A42"/>
    <w:rsid w:val="006D4EA1"/>
    <w:rsid w:val="0071319E"/>
    <w:rsid w:val="00722749"/>
    <w:rsid w:val="007522B2"/>
    <w:rsid w:val="0077469A"/>
    <w:rsid w:val="00782A08"/>
    <w:rsid w:val="00792777"/>
    <w:rsid w:val="007D75E8"/>
    <w:rsid w:val="00806587"/>
    <w:rsid w:val="008129E1"/>
    <w:rsid w:val="008515DB"/>
    <w:rsid w:val="008818A9"/>
    <w:rsid w:val="008B158F"/>
    <w:rsid w:val="008C6240"/>
    <w:rsid w:val="008D3782"/>
    <w:rsid w:val="008E7494"/>
    <w:rsid w:val="008F2545"/>
    <w:rsid w:val="008F36CD"/>
    <w:rsid w:val="008F7002"/>
    <w:rsid w:val="0095301E"/>
    <w:rsid w:val="0095497D"/>
    <w:rsid w:val="009669A8"/>
    <w:rsid w:val="00972FD8"/>
    <w:rsid w:val="00977F76"/>
    <w:rsid w:val="0098140C"/>
    <w:rsid w:val="009A33F4"/>
    <w:rsid w:val="009A403C"/>
    <w:rsid w:val="009B3A58"/>
    <w:rsid w:val="009B5265"/>
    <w:rsid w:val="009E75A7"/>
    <w:rsid w:val="00A2041C"/>
    <w:rsid w:val="00A21A8A"/>
    <w:rsid w:val="00A61089"/>
    <w:rsid w:val="00A66992"/>
    <w:rsid w:val="00A722B1"/>
    <w:rsid w:val="00A8267E"/>
    <w:rsid w:val="00A93570"/>
    <w:rsid w:val="00A9617A"/>
    <w:rsid w:val="00AA1A2C"/>
    <w:rsid w:val="00AA223C"/>
    <w:rsid w:val="00AA5D66"/>
    <w:rsid w:val="00AF77DA"/>
    <w:rsid w:val="00B107A4"/>
    <w:rsid w:val="00B10E88"/>
    <w:rsid w:val="00B1441B"/>
    <w:rsid w:val="00B362F7"/>
    <w:rsid w:val="00B608E6"/>
    <w:rsid w:val="00B73387"/>
    <w:rsid w:val="00BB1CCD"/>
    <w:rsid w:val="00BB2AC1"/>
    <w:rsid w:val="00BB7D74"/>
    <w:rsid w:val="00BF7553"/>
    <w:rsid w:val="00C04938"/>
    <w:rsid w:val="00C175C0"/>
    <w:rsid w:val="00C216D4"/>
    <w:rsid w:val="00C40106"/>
    <w:rsid w:val="00C47E30"/>
    <w:rsid w:val="00C54F53"/>
    <w:rsid w:val="00C75378"/>
    <w:rsid w:val="00C85D0F"/>
    <w:rsid w:val="00CA0D01"/>
    <w:rsid w:val="00CC63AB"/>
    <w:rsid w:val="00CF7076"/>
    <w:rsid w:val="00D03E33"/>
    <w:rsid w:val="00D16A66"/>
    <w:rsid w:val="00D41244"/>
    <w:rsid w:val="00D438D0"/>
    <w:rsid w:val="00D44697"/>
    <w:rsid w:val="00D47632"/>
    <w:rsid w:val="00D625A2"/>
    <w:rsid w:val="00D71751"/>
    <w:rsid w:val="00D748BF"/>
    <w:rsid w:val="00D759AA"/>
    <w:rsid w:val="00D84A54"/>
    <w:rsid w:val="00DA7632"/>
    <w:rsid w:val="00DD291E"/>
    <w:rsid w:val="00E01434"/>
    <w:rsid w:val="00E05697"/>
    <w:rsid w:val="00E12435"/>
    <w:rsid w:val="00E20D99"/>
    <w:rsid w:val="00E3462E"/>
    <w:rsid w:val="00E729C7"/>
    <w:rsid w:val="00E83B40"/>
    <w:rsid w:val="00E9601C"/>
    <w:rsid w:val="00EA78B3"/>
    <w:rsid w:val="00EB19AA"/>
    <w:rsid w:val="00EC2C85"/>
    <w:rsid w:val="00F036E0"/>
    <w:rsid w:val="00F129D0"/>
    <w:rsid w:val="00F46E44"/>
    <w:rsid w:val="00F563E5"/>
    <w:rsid w:val="00F611FC"/>
    <w:rsid w:val="00F61D86"/>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C7252"/>
  <w15:chartTrackingRefBased/>
  <w15:docId w15:val="{8A14A075-02AE-4D9F-8DB9-5EA76643F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3D4E73"/>
    <w:pPr>
      <w:widowControl/>
      <w:ind w:left="720"/>
      <w:contextualSpacing/>
      <w:jc w:val="both"/>
    </w:pPr>
    <w:rPr>
      <w:rFonts w:eastAsiaTheme="minorHAnsi"/>
      <w:szCs w:val="24"/>
      <w:lang w:eastAsia="en-US"/>
    </w:rPr>
  </w:style>
  <w:style w:type="paragraph" w:styleId="Footer">
    <w:name w:val="footer"/>
    <w:basedOn w:val="Normal"/>
    <w:link w:val="FooterChar"/>
    <w:semiHidden/>
    <w:rsid w:val="006A6A42"/>
    <w:pPr>
      <w:tabs>
        <w:tab w:val="center" w:pos="4513"/>
        <w:tab w:val="right" w:pos="9026"/>
      </w:tabs>
    </w:pPr>
  </w:style>
  <w:style w:type="character" w:customStyle="1" w:styleId="FooterChar">
    <w:name w:val="Footer Char"/>
    <w:basedOn w:val="DefaultParagraphFont"/>
    <w:link w:val="Footer"/>
    <w:semiHidden/>
    <w:rsid w:val="006A6A42"/>
    <w:rPr>
      <w:sz w:val="24"/>
    </w:rPr>
  </w:style>
  <w:style w:type="character" w:styleId="CommentReference">
    <w:name w:val="annotation reference"/>
    <w:basedOn w:val="DefaultParagraphFont"/>
    <w:rsid w:val="002207E2"/>
    <w:rPr>
      <w:sz w:val="16"/>
      <w:szCs w:val="16"/>
    </w:rPr>
  </w:style>
  <w:style w:type="paragraph" w:styleId="CommentText">
    <w:name w:val="annotation text"/>
    <w:basedOn w:val="Normal"/>
    <w:link w:val="CommentTextChar"/>
    <w:rsid w:val="002207E2"/>
    <w:rPr>
      <w:sz w:val="20"/>
    </w:rPr>
  </w:style>
  <w:style w:type="character" w:customStyle="1" w:styleId="CommentTextChar">
    <w:name w:val="Comment Text Char"/>
    <w:basedOn w:val="DefaultParagraphFont"/>
    <w:link w:val="CommentText"/>
    <w:rsid w:val="002207E2"/>
  </w:style>
  <w:style w:type="paragraph" w:styleId="CommentSubject">
    <w:name w:val="annotation subject"/>
    <w:basedOn w:val="CommentText"/>
    <w:next w:val="CommentText"/>
    <w:link w:val="CommentSubjectChar"/>
    <w:semiHidden/>
    <w:unhideWhenUsed/>
    <w:rsid w:val="002207E2"/>
    <w:rPr>
      <w:b/>
      <w:bCs/>
    </w:rPr>
  </w:style>
  <w:style w:type="character" w:customStyle="1" w:styleId="CommentSubjectChar">
    <w:name w:val="Comment Subject Char"/>
    <w:basedOn w:val="CommentTextChar"/>
    <w:link w:val="CommentSubject"/>
    <w:semiHidden/>
    <w:rsid w:val="002207E2"/>
    <w:rPr>
      <w:b/>
      <w:bCs/>
    </w:rPr>
  </w:style>
  <w:style w:type="paragraph" w:styleId="BalloonText">
    <w:name w:val="Balloon Text"/>
    <w:basedOn w:val="Normal"/>
    <w:link w:val="BalloonTextChar"/>
    <w:semiHidden/>
    <w:unhideWhenUsed/>
    <w:rsid w:val="002207E2"/>
    <w:rPr>
      <w:rFonts w:ascii="Segoe UI" w:hAnsi="Segoe UI" w:cs="Segoe UI"/>
      <w:sz w:val="18"/>
      <w:szCs w:val="18"/>
    </w:rPr>
  </w:style>
  <w:style w:type="character" w:customStyle="1" w:styleId="BalloonTextChar">
    <w:name w:val="Balloon Text Char"/>
    <w:basedOn w:val="DefaultParagraphFont"/>
    <w:link w:val="BalloonText"/>
    <w:semiHidden/>
    <w:rsid w:val="002207E2"/>
    <w:rPr>
      <w:rFonts w:ascii="Segoe UI" w:hAnsi="Segoe UI" w:cs="Segoe UI"/>
      <w:sz w:val="18"/>
      <w:szCs w:val="18"/>
    </w:rPr>
  </w:style>
  <w:style w:type="paragraph" w:styleId="Revision">
    <w:name w:val="Revision"/>
    <w:hidden/>
    <w:uiPriority w:val="99"/>
    <w:semiHidden/>
    <w:rsid w:val="001C69F7"/>
    <w:rPr>
      <w:sz w:val="24"/>
    </w:rPr>
  </w:style>
  <w:style w:type="paragraph" w:customStyle="1" w:styleId="RollCallSymbols14pt">
    <w:name w:val="RollCallSymbols14pt"/>
    <w:basedOn w:val="Normal"/>
    <w:rsid w:val="00F61D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61D86"/>
    <w:pPr>
      <w:tabs>
        <w:tab w:val="center" w:pos="284"/>
        <w:tab w:val="left" w:pos="426"/>
      </w:tabs>
    </w:pPr>
    <w:rPr>
      <w:snapToGrid w:val="0"/>
      <w:lang w:eastAsia="en-US"/>
    </w:rPr>
  </w:style>
  <w:style w:type="paragraph" w:customStyle="1" w:styleId="RollCallVotes">
    <w:name w:val="RollCallVotes"/>
    <w:basedOn w:val="Normal"/>
    <w:rsid w:val="00F61D86"/>
    <w:pPr>
      <w:spacing w:before="120" w:after="120"/>
      <w:jc w:val="center"/>
    </w:pPr>
    <w:rPr>
      <w:b/>
      <w:bCs/>
      <w:snapToGrid w:val="0"/>
      <w:sz w:val="16"/>
      <w:lang w:eastAsia="en-US"/>
    </w:rPr>
  </w:style>
  <w:style w:type="paragraph" w:customStyle="1" w:styleId="RollCallTable">
    <w:name w:val="RollCallTable"/>
    <w:basedOn w:val="Normal"/>
    <w:rsid w:val="00F61D86"/>
    <w:pPr>
      <w:spacing w:before="120" w:after="120"/>
    </w:pPr>
    <w:rPr>
      <w:snapToGrid w:val="0"/>
      <w:sz w:val="16"/>
      <w:lang w:eastAsia="en-US"/>
    </w:rPr>
  </w:style>
  <w:style w:type="paragraph" w:customStyle="1" w:styleId="Normal24a">
    <w:name w:val="Normal24a"/>
    <w:basedOn w:val="Normal"/>
    <w:rsid w:val="002F0F59"/>
    <w:pPr>
      <w:spacing w:after="480"/>
    </w:pPr>
    <w:rPr>
      <w:szCs w:val="24"/>
    </w:rPr>
  </w:style>
  <w:style w:type="paragraph" w:customStyle="1" w:styleId="NormalBoldCenter">
    <w:name w:val="NormalBoldCenter"/>
    <w:basedOn w:val="Normal"/>
    <w:rsid w:val="002F0F59"/>
    <w:pPr>
      <w:jc w:val="center"/>
    </w:pPr>
    <w:rPr>
      <w:b/>
      <w:szCs w:val="24"/>
    </w:rPr>
  </w:style>
  <w:style w:type="paragraph" w:customStyle="1" w:styleId="Footprint12b">
    <w:name w:val="Footprint12b"/>
    <w:basedOn w:val="Normal"/>
    <w:rsid w:val="002F0F59"/>
    <w:pPr>
      <w:spacing w:before="240"/>
    </w:pPr>
    <w:rPr>
      <w:szCs w:val="24"/>
    </w:rPr>
  </w:style>
  <w:style w:type="paragraph" w:customStyle="1" w:styleId="NormalSingle">
    <w:name w:val="NormalSingle"/>
    <w:basedOn w:val="Normal"/>
    <w:qFormat/>
    <w:rsid w:val="002F0F5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8497</Characters>
  <Application>Microsoft Office Word</Application>
  <DocSecurity>0</DocSecurity>
  <Lines>193</Lines>
  <Paragraphs>70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2025-02-05T14:15:00Z</cp:lastPrinted>
  <dcterms:created xsi:type="dcterms:W3CDTF">2025-03-03T09:48:00Z</dcterms:created>
  <dcterms:modified xsi:type="dcterms:W3CDTF">2025-03-03T09:48:00Z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1313623</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AD\1313623PT.docx</vt:lpwstr>
  </property>
  <property fmtid="{D5CDD505-2E9C-101B-9397-08002B2CF9AE}" pid="10" name="LastEdited with">
    <vt:lpwstr>10.0.0 Build [20241202]</vt:lpwstr>
  </property>
  <property fmtid="{D5CDD505-2E9C-101B-9397-08002B2CF9AE}" pid="11" name="PE number">
    <vt:lpwstr>765.282</vt:lpwstr>
  </property>
  <property fmtid="{D5CDD505-2E9C-101B-9397-08002B2CF9AE}" pid="12" name="SDLStudio">
    <vt:lpwstr/>
  </property>
  <property fmtid="{D5CDD505-2E9C-101B-9397-08002B2CF9AE}" pid="13" name="SendToEpades">
    <vt:lpwstr>OK - 2025/02/10 11:06</vt:lpwstr>
  </property>
  <property fmtid="{D5CDD505-2E9C-101B-9397-08002B2CF9AE}" pid="14" name="Bookout">
    <vt:lpwstr>OK(HDG) - 2025/03/03 10:46</vt:lpwstr>
  </property>
</Properties>
</file>