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1E4E" w:rsidRPr="00500400" w:rsidTr="00C85D0F">
        <w:trPr>
          <w:trHeight w:hRule="exact" w:val="1418"/>
        </w:trPr>
        <w:tc>
          <w:tcPr>
            <w:tcW w:w="6804" w:type="dxa"/>
            <w:shd w:val="clear" w:color="auto" w:fill="auto"/>
            <w:vAlign w:val="center"/>
          </w:tcPr>
          <w:p w:rsidR="004F48ED" w:rsidRPr="00500400" w:rsidRDefault="009762F9" w:rsidP="00C85D0F">
            <w:pPr>
              <w:pStyle w:val="EPName"/>
            </w:pPr>
            <w:bookmarkStart w:id="0" w:name="_GoBack"/>
            <w:bookmarkEnd w:id="0"/>
            <w:r w:rsidRPr="00500400">
              <w:t>Parlamentul European</w:t>
            </w:r>
          </w:p>
          <w:p w:rsidR="004F48ED" w:rsidRPr="00500400" w:rsidRDefault="009762F9" w:rsidP="003D4E73">
            <w:pPr>
              <w:pStyle w:val="EPTerm"/>
            </w:pPr>
            <w:r w:rsidRPr="00500400">
              <w:t>2024-2029</w:t>
            </w:r>
          </w:p>
        </w:tc>
        <w:tc>
          <w:tcPr>
            <w:tcW w:w="2268" w:type="dxa"/>
            <w:shd w:val="clear" w:color="auto" w:fill="auto"/>
          </w:tcPr>
          <w:p w:rsidR="004F48ED" w:rsidRPr="00500400" w:rsidRDefault="009762F9" w:rsidP="00C85D0F">
            <w:pPr>
              <w:pStyle w:val="EPLogo"/>
            </w:pPr>
            <w:r w:rsidRPr="0050040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500400" w:rsidRDefault="00E9601C" w:rsidP="00E9601C">
      <w:pPr>
        <w:pStyle w:val="LineTop"/>
      </w:pPr>
    </w:p>
    <w:p w:rsidR="00E9601C" w:rsidRPr="00500400" w:rsidRDefault="009762F9" w:rsidP="00E9601C">
      <w:pPr>
        <w:pStyle w:val="EPBody"/>
      </w:pPr>
      <w:r w:rsidRPr="00500400">
        <w:rPr>
          <w:rStyle w:val="HideTWBExt"/>
          <w:noProof w:val="0"/>
        </w:rPr>
        <w:t>&lt;</w:t>
      </w:r>
      <w:r w:rsidRPr="00500400">
        <w:rPr>
          <w:rStyle w:val="HideTWBExt"/>
          <w:i w:val="0"/>
          <w:noProof w:val="0"/>
        </w:rPr>
        <w:t>Commission</w:t>
      </w:r>
      <w:r w:rsidRPr="00500400">
        <w:rPr>
          <w:rStyle w:val="HideTWBExt"/>
          <w:noProof w:val="0"/>
        </w:rPr>
        <w:t>&gt;</w:t>
      </w:r>
      <w:r w:rsidRPr="00500400">
        <w:rPr>
          <w:rStyle w:val="HideTWBInt"/>
          <w:color w:val="auto"/>
        </w:rPr>
        <w:t>{LIBE}</w:t>
      </w:r>
      <w:r w:rsidRPr="00500400">
        <w:t>Comisia pentru libertăți civile, justiție și afaceri interne</w:t>
      </w:r>
      <w:r w:rsidRPr="00500400">
        <w:rPr>
          <w:rStyle w:val="HideTWBExt"/>
          <w:noProof w:val="0"/>
        </w:rPr>
        <w:t>&lt;/</w:t>
      </w:r>
      <w:r w:rsidRPr="00500400">
        <w:rPr>
          <w:rStyle w:val="HideTWBExt"/>
          <w:i w:val="0"/>
          <w:noProof w:val="0"/>
        </w:rPr>
        <w:t>Commission</w:t>
      </w:r>
      <w:r w:rsidRPr="00500400">
        <w:rPr>
          <w:rStyle w:val="HideTWBExt"/>
          <w:noProof w:val="0"/>
        </w:rPr>
        <w:t>&gt;</w:t>
      </w:r>
    </w:p>
    <w:p w:rsidR="00E9601C" w:rsidRPr="00500400" w:rsidRDefault="00E9601C" w:rsidP="00E9601C">
      <w:pPr>
        <w:pStyle w:val="LineBottom"/>
      </w:pPr>
    </w:p>
    <w:p w:rsidR="00CC63AB" w:rsidRPr="00500400" w:rsidRDefault="009762F9" w:rsidP="00CC63AB">
      <w:pPr>
        <w:pStyle w:val="CoverReference"/>
      </w:pPr>
      <w:r w:rsidRPr="00500400">
        <w:rPr>
          <w:rStyle w:val="HideTWBExt"/>
          <w:b w:val="0"/>
          <w:noProof w:val="0"/>
        </w:rPr>
        <w:t>&lt;RefProc&gt;</w:t>
      </w:r>
      <w:r w:rsidRPr="00500400">
        <w:t>2024/2029</w:t>
      </w:r>
      <w:r w:rsidRPr="00500400">
        <w:rPr>
          <w:rStyle w:val="HideTWBExt"/>
          <w:b w:val="0"/>
          <w:noProof w:val="0"/>
        </w:rPr>
        <w:t>&lt;/RefProc&gt;&lt;RefTypeProc&gt;</w:t>
      </w:r>
      <w:r w:rsidRPr="00500400">
        <w:t>(DEC)</w:t>
      </w:r>
      <w:r w:rsidRPr="00500400">
        <w:rPr>
          <w:rStyle w:val="HideTWBExt"/>
          <w:b w:val="0"/>
          <w:noProof w:val="0"/>
        </w:rPr>
        <w:t>&lt;/RefTypeProc&gt;</w:t>
      </w:r>
    </w:p>
    <w:p w:rsidR="00CC63AB" w:rsidRPr="00500400" w:rsidRDefault="009762F9" w:rsidP="00CC63AB">
      <w:pPr>
        <w:pStyle w:val="CoverDate"/>
      </w:pPr>
      <w:r w:rsidRPr="00500400">
        <w:rPr>
          <w:rStyle w:val="HideTWBExt"/>
          <w:noProof w:val="0"/>
        </w:rPr>
        <w:t>&lt;Date&gt;</w:t>
      </w:r>
      <w:r w:rsidRPr="00500400">
        <w:rPr>
          <w:rStyle w:val="HideTWBInt"/>
          <w:color w:val="auto"/>
        </w:rPr>
        <w:t>{10/02/2025}</w:t>
      </w:r>
      <w:r w:rsidRPr="00500400">
        <w:t>10.2.2025</w:t>
      </w:r>
      <w:r w:rsidRPr="00500400">
        <w:rPr>
          <w:rStyle w:val="HideTWBExt"/>
          <w:noProof w:val="0"/>
        </w:rPr>
        <w:t>&lt;/Date&gt;</w:t>
      </w:r>
    </w:p>
    <w:p w:rsidR="00CC63AB" w:rsidRPr="00500400" w:rsidRDefault="009762F9" w:rsidP="00CC63AB">
      <w:pPr>
        <w:pStyle w:val="CoverDocType24a"/>
      </w:pPr>
      <w:r w:rsidRPr="00500400">
        <w:rPr>
          <w:rStyle w:val="HideTWBExt"/>
          <w:b w:val="0"/>
          <w:noProof w:val="0"/>
        </w:rPr>
        <w:t>&lt;TitreType&gt;</w:t>
      </w:r>
      <w:r w:rsidRPr="00500400">
        <w:t>AVIZ</w:t>
      </w:r>
      <w:r w:rsidRPr="00500400">
        <w:rPr>
          <w:rStyle w:val="HideTWBExt"/>
          <w:b w:val="0"/>
          <w:noProof w:val="0"/>
        </w:rPr>
        <w:t>&lt;/TitreType&gt;</w:t>
      </w:r>
    </w:p>
    <w:p w:rsidR="00CC63AB" w:rsidRPr="00500400" w:rsidRDefault="009762F9" w:rsidP="00CC63AB">
      <w:pPr>
        <w:pStyle w:val="CoverNormal24a"/>
      </w:pPr>
      <w:r w:rsidRPr="00500400">
        <w:rPr>
          <w:rStyle w:val="HideTWBExt"/>
          <w:noProof w:val="0"/>
        </w:rPr>
        <w:t>&lt;CommissionResp&gt;</w:t>
      </w:r>
      <w:r w:rsidRPr="00500400">
        <w:t>al Comisiei pentru libertăți civile, justiție și afaceri interne</w:t>
      </w:r>
      <w:r w:rsidRPr="00500400">
        <w:rPr>
          <w:rStyle w:val="HideTWBExt"/>
          <w:noProof w:val="0"/>
        </w:rPr>
        <w:t>&lt;/CommissionResp&gt;</w:t>
      </w:r>
    </w:p>
    <w:p w:rsidR="00CC63AB" w:rsidRPr="00500400" w:rsidRDefault="009762F9" w:rsidP="00CC63AB">
      <w:pPr>
        <w:pStyle w:val="CoverNormal24a"/>
      </w:pPr>
      <w:r w:rsidRPr="00500400">
        <w:rPr>
          <w:rStyle w:val="HideTWBExt"/>
          <w:noProof w:val="0"/>
        </w:rPr>
        <w:t>&lt;CommissionInt&gt;</w:t>
      </w:r>
      <w:r w:rsidRPr="00500400">
        <w:t>destinat Comisiei pentru control bugetar</w:t>
      </w:r>
      <w:r w:rsidRPr="00500400">
        <w:rPr>
          <w:rStyle w:val="HideTWBExt"/>
          <w:noProof w:val="0"/>
        </w:rPr>
        <w:t>&lt;/CommissionInt&gt;</w:t>
      </w:r>
    </w:p>
    <w:p w:rsidR="00CC63AB" w:rsidRPr="00500400" w:rsidRDefault="009762F9" w:rsidP="00CC63AB">
      <w:pPr>
        <w:pStyle w:val="CoverNormal"/>
      </w:pPr>
      <w:r w:rsidRPr="00500400">
        <w:rPr>
          <w:rStyle w:val="HideTWBExt"/>
          <w:noProof w:val="0"/>
        </w:rPr>
        <w:t>&lt;Titre&gt;</w:t>
      </w:r>
      <w:r w:rsidRPr="00500400">
        <w:t xml:space="preserve"> referitor la descărcarea de gestiune pentru execuția bugetului Parchetului Eur</w:t>
      </w:r>
      <w:r w:rsidRPr="00500400">
        <w:t>opean aferent exercițiului financiar 2023</w:t>
      </w:r>
      <w:r w:rsidRPr="00500400">
        <w:rPr>
          <w:rStyle w:val="HideTWBExt"/>
          <w:noProof w:val="0"/>
        </w:rPr>
        <w:t>&lt;/Titre&gt;</w:t>
      </w:r>
    </w:p>
    <w:p w:rsidR="00CC63AB" w:rsidRPr="00500400" w:rsidRDefault="009762F9" w:rsidP="00CC63AB">
      <w:pPr>
        <w:pStyle w:val="CoverNormal24a"/>
      </w:pPr>
      <w:r w:rsidRPr="00500400">
        <w:rPr>
          <w:rStyle w:val="HideTWBExt"/>
          <w:noProof w:val="0"/>
        </w:rPr>
        <w:t>&lt;DocRef&gt;</w:t>
      </w:r>
      <w:r w:rsidRPr="00500400">
        <w:t>(2024/2029(DEC))</w:t>
      </w:r>
      <w:r w:rsidRPr="00500400">
        <w:rPr>
          <w:rStyle w:val="HideTWBExt"/>
          <w:noProof w:val="0"/>
        </w:rPr>
        <w:t>&lt;/DocRef&gt;</w:t>
      </w:r>
    </w:p>
    <w:p w:rsidR="00CC63AB" w:rsidRPr="00500400" w:rsidRDefault="009762F9" w:rsidP="00CC63AB">
      <w:pPr>
        <w:pStyle w:val="CoverNormal24a"/>
      </w:pPr>
      <w:r w:rsidRPr="00500400">
        <w:t xml:space="preserve">Raportor pentru aviz: </w:t>
      </w:r>
      <w:r w:rsidRPr="00500400">
        <w:rPr>
          <w:rStyle w:val="HideTWBExt"/>
          <w:noProof w:val="0"/>
        </w:rPr>
        <w:t>&lt;Depute&gt;</w:t>
      </w:r>
      <w:r w:rsidRPr="00500400">
        <w:t>Tomáš Zdechovský</w:t>
      </w:r>
      <w:r w:rsidRPr="00500400">
        <w:rPr>
          <w:rStyle w:val="HideTWBExt"/>
          <w:noProof w:val="0"/>
        </w:rPr>
        <w:t>&lt;/Depute&gt;</w:t>
      </w:r>
    </w:p>
    <w:p w:rsidR="00CC63AB" w:rsidRPr="00500400" w:rsidRDefault="009762F9" w:rsidP="00CC63AB">
      <w:pPr>
        <w:widowControl/>
        <w:tabs>
          <w:tab w:val="center" w:pos="4677"/>
        </w:tabs>
      </w:pPr>
      <w:r w:rsidRPr="00500400">
        <w:br w:type="page"/>
      </w:r>
      <w:r w:rsidRPr="00500400">
        <w:lastRenderedPageBreak/>
        <w:t>PA_NonLegDec</w:t>
      </w:r>
    </w:p>
    <w:p w:rsidR="00CC63AB" w:rsidRPr="00500400" w:rsidRDefault="009762F9" w:rsidP="00CC63AB">
      <w:pPr>
        <w:pStyle w:val="PageHeadingNotTOC"/>
      </w:pPr>
      <w:r w:rsidRPr="00500400">
        <w:br w:type="page"/>
      </w:r>
      <w:r w:rsidRPr="00500400">
        <w:lastRenderedPageBreak/>
        <w:t>AVIZ</w:t>
      </w:r>
    </w:p>
    <w:p w:rsidR="00CC63AB" w:rsidRPr="00500400" w:rsidRDefault="009762F9" w:rsidP="00CC63AB">
      <w:pPr>
        <w:pStyle w:val="Normal12a"/>
      </w:pPr>
      <w:r w:rsidRPr="00500400">
        <w:t xml:space="preserve">Comisia pentru libertăți civile, justiție și afaceri interne recomandă Comisiei pentru control </w:t>
      </w:r>
      <w:r w:rsidRPr="00500400">
        <w:t>bugetar, care este comisie competentă, includerea în propunerea de rezoluție ce urmează a fi adoptată a următoarelor:</w:t>
      </w:r>
    </w:p>
    <w:p w:rsidR="00CC63AB" w:rsidRPr="00500400" w:rsidRDefault="009762F9" w:rsidP="00CC63AB">
      <w:pPr>
        <w:pStyle w:val="Normal12a"/>
        <w:rPr>
          <w:b/>
          <w:bCs/>
          <w:i/>
          <w:iCs/>
        </w:rPr>
      </w:pPr>
      <w:r w:rsidRPr="00500400">
        <w:rPr>
          <w:rStyle w:val="HideTWBExt"/>
          <w:noProof w:val="0"/>
        </w:rPr>
        <w:t>&lt;RepeatBlock-Dec&gt;</w:t>
      </w:r>
    </w:p>
    <w:p w:rsidR="00CC63AB" w:rsidRPr="00500400" w:rsidRDefault="009762F9" w:rsidP="009E75A7">
      <w:pPr>
        <w:spacing w:after="240"/>
        <w:ind w:left="360" w:hanging="360"/>
      </w:pPr>
      <w:r w:rsidRPr="00500400">
        <w:t>1.</w:t>
      </w:r>
      <w:r w:rsidRPr="00500400">
        <w:tab/>
        <w:t>constată că, în comparație cu 2022, numărul de cazuri ale Parchetului European (EPPO) aproape s-a dublat în 2023, aju</w:t>
      </w:r>
      <w:r w:rsidRPr="00500400">
        <w:t>ngând la 1 927 de anchete active; salută activitățile fructuoase ale EPPO din 2023, care au inclus 139 de puneri sub acuzare, 339 de cazuri legate de TVA și peste 200 de anchete privind execuția fondurilor NextGenerationEU; constată, de asemenea, că EPPO a</w:t>
      </w:r>
      <w:r w:rsidRPr="00500400">
        <w:t xml:space="preserve"> început să aducă în fața instanțelor naționale mai mulți autori de fraude împotriva fondurilor UE; </w:t>
      </w:r>
    </w:p>
    <w:p w:rsidR="00CC63AB" w:rsidRPr="00500400" w:rsidRDefault="009762F9" w:rsidP="00CC63AB">
      <w:pPr>
        <w:spacing w:after="240"/>
        <w:ind w:left="360" w:hanging="360"/>
      </w:pPr>
      <w:r w:rsidRPr="00500400">
        <w:t>2.</w:t>
      </w:r>
      <w:r w:rsidRPr="00500400">
        <w:tab/>
        <w:t>salută cooperarea strânsă dintre EPPO și Curtea de Conturi, în special în ceea ce privește detectarea oricăror suspiciuni de infracțiuni care țin de com</w:t>
      </w:r>
      <w:r w:rsidRPr="00500400">
        <w:t>petența sa și care implică statele membre participante;3.</w:t>
      </w:r>
      <w:r w:rsidRPr="00500400">
        <w:tab/>
        <w:t>salută majorarea creditelor pentru bugetul EPPO în 2023, în valoare totală de 64,6 milioane EUR, ceea ce a permis o creștere cu 11 % a personalului în respectivul an; recunoaște că accelerarea plăți</w:t>
      </w:r>
      <w:r w:rsidRPr="00500400">
        <w:t>lor din fondurile NextGenerationEU, creșterea rapidă a volumului de muncă al EPPO – numărul cazurilor mărindu-se cu 70 %, iar cel al anchetelor cu 58 % din 2022 în 2023 – și mărirea numărului de membri ai EPPO vor exercita o presiune și mai mare asupra res</w:t>
      </w:r>
      <w:r w:rsidRPr="00500400">
        <w:t>urselor sale; subliniază că este important să fie asigurată o finanțare suplimentară și să fie consolidată schema de personal pentru a permite EPPO să combată în mod eficace criminalitatea organizată, să protejeze interesele financiare ale UE și să susțină</w:t>
      </w:r>
      <w:r w:rsidRPr="00500400">
        <w:t xml:space="preserve"> statul de drept, care sunt priorități-cheie ale UE; regretă că propunerea Comisiei privind bugetul EPPO pentru 2025 și poziția Consiliului nu asigură resurse suficiente pentru ca agenția să își îndeplinească mandatul; evidențiază că EPPO generează profitu</w:t>
      </w:r>
      <w:r w:rsidRPr="00500400">
        <w:t>ri financiare semnificative pentru UE, demonstrate prin confiscarea a 1,5 miliarde EUR în 2023, și solicită o majorare specifică a finanțării în următorul cadru financiar multianual (CFM) 2028-2034 pentru a garanta că acesta își poate îndeplini în continua</w:t>
      </w:r>
      <w:r w:rsidRPr="00500400">
        <w:t>re obiectivele și obligațiile;</w:t>
      </w:r>
    </w:p>
    <w:p w:rsidR="00CC63AB" w:rsidRPr="00500400" w:rsidRDefault="009762F9" w:rsidP="00CC63AB">
      <w:pPr>
        <w:spacing w:after="240"/>
        <w:ind w:left="360" w:hanging="360"/>
      </w:pPr>
      <w:r w:rsidRPr="00500400">
        <w:t>4.</w:t>
      </w:r>
      <w:r w:rsidRPr="00500400">
        <w:tab/>
        <w:t>recunoaște că este important să se adopte o abordare cuprinzătoare pentru combaterea infracționalității „gulerelor albe”, cum ar fi frauda și corupția, și a tipurilor mai convenționale de infracționalitate, cum ar fi trafi</w:t>
      </w:r>
      <w:r w:rsidRPr="00500400">
        <w:t>cul de droguri și traficul de ființe umane, deoarece acestea sunt adesea legate între ele; reamintește că, în viitorul său raport de evaluare, Comisia ar trebui să analizeze cu atenție la ce categorii de infracțiuni trebuie extins mandatul EPPO pentru ca a</w:t>
      </w:r>
      <w:r w:rsidRPr="00500400">
        <w:t xml:space="preserve">cesta să fie în măsură să-și îndeplinească rolul între timp, competența existentă a EPPO de a investiga criminalitatea organizată și spălarea banilor, atunci când sunt legate de fraude care afectează interesele financiare ale UE, ar trebui sprijinită prin </w:t>
      </w:r>
      <w:r w:rsidRPr="00500400">
        <w:t>resurse adecvate și o cooperare eficientă cu Europol și ar trebui să se analizeze modul în care operațiunile și anchetele EPPO pot deveni mai eficiente și mai eficace și să se prezinte o propunere legislativă care să însoțească această evaluare; reaminteșt</w:t>
      </w:r>
      <w:r w:rsidRPr="00500400">
        <w:t>e, în această privință, planurile comisarului McGrath de a accelera evaluarea;</w:t>
      </w:r>
    </w:p>
    <w:p w:rsidR="00CC63AB" w:rsidRPr="00500400" w:rsidRDefault="009762F9" w:rsidP="00CC63AB">
      <w:pPr>
        <w:spacing w:after="240"/>
        <w:ind w:left="360" w:hanging="360"/>
      </w:pPr>
      <w:r w:rsidRPr="00500400">
        <w:t>5.</w:t>
      </w:r>
      <w:r w:rsidRPr="00500400">
        <w:tab/>
        <w:t>remarcă rolul esențial al recuperării activelor provenite din infracțiuni în scopul de a crea un factor de descurajare credibil pentru criminalitatea organizată; salută parti</w:t>
      </w:r>
      <w:r w:rsidRPr="00500400">
        <w:t xml:space="preserve">ciparea </w:t>
      </w:r>
      <w:r w:rsidRPr="00500400">
        <w:lastRenderedPageBreak/>
        <w:t>EPPO la rețelele internaționale pentru a-și promova și mai mult operațiunile de recuperare a activelor provenite din infracțiuni; evidențiază că Comisia trebuie să invite EPPO să participe la rețeaua recent creată de cooperare pentru recuperarea și</w:t>
      </w:r>
      <w:r w:rsidRPr="00500400">
        <w:t xml:space="preserve"> confiscarea activelor; constată că anchetarea și urmărirea penală eficace și la timp a infracțiunilor legate de fraudă pot aduce economii semnificative la bugetul Uniunii și la bugetele statelor membre;</w:t>
      </w:r>
    </w:p>
    <w:p w:rsidR="00CC63AB" w:rsidRPr="00500400" w:rsidRDefault="009762F9" w:rsidP="00CC63AB">
      <w:pPr>
        <w:spacing w:after="240"/>
        <w:ind w:left="360" w:hanging="360"/>
      </w:pPr>
      <w:r w:rsidRPr="00500400">
        <w:t>6.</w:t>
      </w:r>
      <w:r w:rsidRPr="00500400">
        <w:tab/>
        <w:t>subliniază rolul important al EPPO în acțiunea Un</w:t>
      </w:r>
      <w:r w:rsidRPr="00500400">
        <w:t>iunii de combatere a corupției și a utilizării abuzive a fondurilor Uniunii; își exprimă satisfacția că 24 de state membre participă la EPPO și îndeamnă celelalte state membre să procedeze la fel, sau, în caz contrar, să li se refuze posibilitatea de a ges</w:t>
      </w:r>
      <w:r w:rsidRPr="00500400">
        <w:t>tiona în mod indirect fondurile UE; invită Comisia să monitorizeze îndeaproape în rapoarte ulterioare nivelul de cooperare dintre statele membre și EPPO și să continue să se angajeze într-un dialog activ cu statele membre care nu au aderat la EPPO pentru a</w:t>
      </w:r>
      <w:r w:rsidRPr="00500400">
        <w:t xml:space="preserve"> facilita în mod efectiv îndeplinirea sarcinilor EPPO; subliniază că ar trebui purtat un dialog continuu cu statele membre care au aderat deja la EPPO pentru a aborda dificultățile în combaterea încălcărilor statului de drept și a corupției; acest dialog a</w:t>
      </w:r>
      <w:r w:rsidRPr="00500400">
        <w:t xml:space="preserve">r trebui să le sprijine în implementarea practică a recomandărilor în acest sens din rapoartele anuale privind statul de drept; reiterează, cu toate acestea, solicitările PE conform cărora calitatea de membru al EPPO ar trebui să fie o condiție prealabilă </w:t>
      </w:r>
      <w:r w:rsidRPr="00500400">
        <w:t>pentru primirea de fonduri din partea UE și necesitatea extinderii mandatului EPPO; salută participarea Suediei și a Poloniei la EPPO, care a fost confirmată în ianuarie și, respectiv, în iulie 2024;</w:t>
      </w:r>
    </w:p>
    <w:p w:rsidR="00CC63AB" w:rsidRPr="00500400" w:rsidRDefault="009762F9" w:rsidP="00CC63AB">
      <w:pPr>
        <w:spacing w:after="240"/>
        <w:ind w:left="360" w:hanging="360"/>
      </w:pPr>
      <w:r w:rsidRPr="00500400">
        <w:t>7.</w:t>
      </w:r>
      <w:r w:rsidRPr="00500400">
        <w:tab/>
        <w:t>salută numirea a 8 noi procurori europeni și a 35 noi</w:t>
      </w:r>
      <w:r w:rsidRPr="00500400">
        <w:t xml:space="preserve"> procurori europeni delegați în EPPO în 2023; reiterează faptul că EPPO își poate îndeplini rolul numai dacă se bucură de independență judiciară deplină, care decurge dintr-o procedură de numire obiectivă și bazată pe merite; încurajează statele membre să </w:t>
      </w:r>
      <w:r w:rsidRPr="00500400">
        <w:t>contribuie la independența deplină a EPPO în această privință;</w:t>
      </w:r>
    </w:p>
    <w:p w:rsidR="00CC63AB" w:rsidRPr="00500400" w:rsidRDefault="009762F9" w:rsidP="00CC63AB">
      <w:pPr>
        <w:spacing w:after="240"/>
        <w:ind w:left="360" w:hanging="360"/>
      </w:pPr>
      <w:r w:rsidRPr="00500400">
        <w:t>8.</w:t>
      </w:r>
      <w:r w:rsidRPr="00500400">
        <w:tab/>
        <w:t>încurajează cooperarea continuă și consolidată dintre EPPO și OLAF, în concordanță cu regulamentele lor respective și obligația OLAF de a raporta către EPPO, fără întârzieri nejustificate, s</w:t>
      </w:r>
      <w:r w:rsidRPr="00500400">
        <w:t>uspiciuni de contacte cu mediul infracțional, pentru a-i permite să combată frauda, corupția și criminalitatea financiară care afectează interesele financiare ale Uniunii; sprijină dezvoltarea în continuare a inițiativelor comune, a schimbului de informați</w:t>
      </w:r>
      <w:r w:rsidRPr="00500400">
        <w:t>i și a acțiunilor coordonate între EPPO și OLAF, deoarece o astfel de cooperare este vitală pentru consolidarea protecției intereselor financiare ale UE și a combaterii criminalității financiare și pentru asigurarea utilizării eficace și eficiente a resurs</w:t>
      </w:r>
      <w:r w:rsidRPr="00500400">
        <w:t>elor Uniunii.</w:t>
      </w:r>
    </w:p>
    <w:p w:rsidR="00CC63AB" w:rsidRPr="00500400" w:rsidRDefault="009762F9" w:rsidP="00CC63AB">
      <w:pPr>
        <w:pStyle w:val="NormalHanging12a"/>
        <w:rPr>
          <w:rStyle w:val="HideTWBExt"/>
          <w:noProof w:val="0"/>
        </w:rPr>
      </w:pPr>
      <w:r w:rsidRPr="00500400">
        <w:rPr>
          <w:rStyle w:val="HideTWBExt"/>
          <w:noProof w:val="0"/>
        </w:rPr>
        <w:t>&lt;/RepeatBlock-Dec&gt;</w:t>
      </w:r>
    </w:p>
    <w:p w:rsidR="00550812" w:rsidRPr="00500400" w:rsidRDefault="00550812" w:rsidP="00CC63AB">
      <w:pPr>
        <w:sectPr w:rsidR="00550812" w:rsidRPr="00500400" w:rsidSect="005508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50812" w:rsidRPr="00500400" w:rsidRDefault="009762F9" w:rsidP="002B2C72">
      <w:pPr>
        <w:pStyle w:val="PageHeadingNotTOC"/>
      </w:pPr>
      <w:bookmarkStart w:id="1" w:name="FootprintPageAD"/>
      <w:r w:rsidRPr="00500400">
        <w:lastRenderedPageBreak/>
        <w:t>ANEXĂ: ENTITĂȚILE SAU PERSOANELE</w:t>
      </w:r>
      <w:r w:rsidRPr="00500400">
        <w:br/>
        <w:t>DE LA CARE RAPORTORUL PENTRU AVIZ A PRIMIT CONTRIBUȚII</w:t>
      </w:r>
    </w:p>
    <w:p w:rsidR="00550812" w:rsidRPr="00500400" w:rsidRDefault="009762F9" w:rsidP="00037518">
      <w:pPr>
        <w:pStyle w:val="Normal24a"/>
      </w:pPr>
      <w:r w:rsidRPr="00500400">
        <w:rPr>
          <w:rStyle w:val="HideTWBExt"/>
          <w:noProof w:val="0"/>
        </w:rPr>
        <w:t>&lt;FootprintIntro&gt;</w:t>
      </w:r>
      <w:r w:rsidRPr="00500400">
        <w:t xml:space="preserve">Raportorul pentru aviz declară pe propria răspundere că nu a primit nicio contribuție de la nicio entitate sau </w:t>
      </w:r>
      <w:r w:rsidRPr="00500400">
        <w:t>persoană care trebuie menționată în prezenta anexă în conformitate cu articolul 8 din anexa I la Regulamentul de procedură.</w:t>
      </w:r>
      <w:r w:rsidRPr="00500400">
        <w:rPr>
          <w:rStyle w:val="HideTWBExt"/>
          <w:noProof w:val="0"/>
        </w:rPr>
        <w:t>&lt;/FootprintIntro&gt;</w:t>
      </w:r>
    </w:p>
    <w:p w:rsidR="00550812" w:rsidRPr="00500400" w:rsidRDefault="00550812" w:rsidP="00550812"/>
    <w:bookmarkEnd w:id="1"/>
    <w:p w:rsidR="00550812" w:rsidRPr="00500400" w:rsidRDefault="00550812" w:rsidP="00550812">
      <w:pPr>
        <w:sectPr w:rsidR="00550812" w:rsidRPr="00500400" w:rsidSect="005508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0812" w:rsidRPr="00500400" w:rsidRDefault="009762F9" w:rsidP="00550812">
      <w:pPr>
        <w:pStyle w:val="PageHeadingNotTOC"/>
      </w:pPr>
      <w:bookmarkStart w:id="2" w:name="ProcPageAD"/>
      <w:r w:rsidRPr="00500400">
        <w:lastRenderedPageBreak/>
        <w:t>INFORMAȚII PRIVIND ADOPTAREA</w:t>
      </w:r>
      <w:r w:rsidRPr="00500400">
        <w:br/>
      </w:r>
      <w:r w:rsidRPr="00DD51D9">
        <w:t>DE CĂTRE</w:t>
      </w:r>
      <w:r>
        <w:t xml:space="preserve"> </w:t>
      </w:r>
      <w:r w:rsidRPr="00500400">
        <w:t>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91E4E" w:rsidRPr="005004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b/>
                <w:bCs/>
                <w:color w:val="000000"/>
                <w:sz w:val="20"/>
              </w:rPr>
            </w:pPr>
            <w:r w:rsidRPr="00500400">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0812" w:rsidRPr="00500400" w:rsidRDefault="0055081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0812" w:rsidRPr="00500400" w:rsidRDefault="0055081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0812" w:rsidRPr="00500400" w:rsidRDefault="00550812">
            <w:pPr>
              <w:autoSpaceDE w:val="0"/>
              <w:autoSpaceDN w:val="0"/>
              <w:adjustRightInd w:val="0"/>
              <w:rPr>
                <w:rFonts w:ascii="sans-serif" w:hAnsi="sans-serif" w:cs="sans-serif"/>
                <w:color w:val="000000"/>
                <w:szCs w:val="24"/>
              </w:rPr>
            </w:pPr>
          </w:p>
        </w:tc>
      </w:tr>
      <w:tr w:rsidR="00791E4E" w:rsidRPr="005004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b/>
                <w:bCs/>
                <w:color w:val="000000"/>
                <w:sz w:val="20"/>
              </w:rPr>
            </w:pPr>
            <w:r w:rsidRPr="00500400">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w:t>
            </w:r>
          </w:p>
          <w:p w:rsidR="00550812" w:rsidRPr="00500400" w:rsidRDefault="009762F9">
            <w:pPr>
              <w:autoSpaceDE w:val="0"/>
              <w:autoSpaceDN w:val="0"/>
              <w:adjustRightInd w:val="0"/>
              <w:rPr>
                <w:color w:val="000000"/>
                <w:sz w:val="20"/>
              </w:rPr>
            </w:pPr>
            <w:r w:rsidRPr="00500400">
              <w:rPr>
                <w:color w:val="000000"/>
                <w:sz w:val="20"/>
              </w:rPr>
              <w:t>–:</w:t>
            </w:r>
          </w:p>
          <w:p w:rsidR="00550812" w:rsidRPr="00500400" w:rsidRDefault="009762F9">
            <w:pPr>
              <w:autoSpaceDE w:val="0"/>
              <w:autoSpaceDN w:val="0"/>
              <w:adjustRightInd w:val="0"/>
              <w:rPr>
                <w:color w:val="000000"/>
                <w:sz w:val="20"/>
              </w:rPr>
            </w:pPr>
            <w:r w:rsidRPr="0050040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46</w:t>
            </w:r>
          </w:p>
          <w:p w:rsidR="00550812" w:rsidRPr="00500400" w:rsidRDefault="009762F9">
            <w:pPr>
              <w:autoSpaceDE w:val="0"/>
              <w:autoSpaceDN w:val="0"/>
              <w:adjustRightInd w:val="0"/>
              <w:rPr>
                <w:color w:val="000000"/>
                <w:sz w:val="20"/>
              </w:rPr>
            </w:pPr>
            <w:r w:rsidRPr="00500400">
              <w:rPr>
                <w:color w:val="000000"/>
                <w:sz w:val="20"/>
              </w:rPr>
              <w:t>13</w:t>
            </w:r>
          </w:p>
          <w:p w:rsidR="00550812" w:rsidRPr="00500400" w:rsidRDefault="009762F9">
            <w:pPr>
              <w:autoSpaceDE w:val="0"/>
              <w:autoSpaceDN w:val="0"/>
              <w:adjustRightInd w:val="0"/>
              <w:rPr>
                <w:color w:val="000000"/>
                <w:sz w:val="20"/>
              </w:rPr>
            </w:pPr>
            <w:r w:rsidRPr="00500400">
              <w:rPr>
                <w:color w:val="000000"/>
                <w:sz w:val="20"/>
              </w:rPr>
              <w:t>1</w:t>
            </w:r>
          </w:p>
        </w:tc>
      </w:tr>
      <w:tr w:rsidR="00791E4E" w:rsidRPr="005004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b/>
                <w:bCs/>
                <w:color w:val="000000"/>
                <w:sz w:val="20"/>
              </w:rPr>
            </w:pPr>
            <w:r w:rsidRPr="00500400">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Magdalena Adamowicz, Giuseppe Antoci, Jaume Asens Llodrà, Nikola Bartůšek, Krzysztof Brejza, Saskia Bricmont, Jaroslav Bžoch, Veronika Cifrová Ostrihoňová, Lena Düpont,</w:t>
            </w:r>
            <w:r w:rsidRPr="00500400">
              <w:rPr>
                <w:color w:val="000000"/>
                <w:sz w:val="20"/>
              </w:rPr>
              <w:t xml:space="preserve"> Marieke Ehlers, Raquel García Hermida-Van Der Walle, Branko Grims, Evin Incir, Irena Joveva, Erik Kaliňák, Marina Kaljurand, Fabienne Keller, András László, Juan Fernando López Aguilar, Erik Marquardt, Michael McNamara, Birgit Sippel, Krzysztof Śmiszek, P</w:t>
            </w:r>
            <w:r w:rsidRPr="00500400">
              <w:rPr>
                <w:color w:val="000000"/>
                <w:sz w:val="20"/>
              </w:rPr>
              <w:t>etra Steger, Cecilia Strada, Georgiana Teodorescu, Milan Uhrík, Tom Vandendriessche, Charlie Weimers, Sophie Wilmès, Alessandro Zan, Javier Zarzalejos, Tomáš Zdechovský</w:t>
            </w:r>
          </w:p>
        </w:tc>
      </w:tr>
      <w:tr w:rsidR="00791E4E" w:rsidRPr="005004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b/>
                <w:bCs/>
                <w:color w:val="000000"/>
                <w:sz w:val="20"/>
              </w:rPr>
            </w:pPr>
            <w:r w:rsidRPr="00500400">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Fredis Beleris, David Casa, Sigrid Friis, Mar</w:t>
            </w:r>
            <w:r w:rsidRPr="00500400">
              <w:rPr>
                <w:color w:val="000000"/>
                <w:sz w:val="20"/>
              </w:rPr>
              <w:t xml:space="preserve">kéta Gregorová, Hannah Neumann, Gaetano Pedulla’, Sandro Ruotolo, Oliver Schenk, Alexander Sell, Bartłomiej Sienkiewicz, Malika Sorel, António Tânger Corrêa, Marco Tarquinio, Pekka Toveri, Loránt Vincze, Petar Volgin, Axel Voss, Michał Wawrykiewicz, Lucia </w:t>
            </w:r>
            <w:r w:rsidRPr="00500400">
              <w:rPr>
                <w:color w:val="000000"/>
                <w:sz w:val="20"/>
              </w:rPr>
              <w:t>Yar</w:t>
            </w:r>
          </w:p>
        </w:tc>
      </w:tr>
      <w:tr w:rsidR="00791E4E" w:rsidRPr="005004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b/>
                <w:bCs/>
                <w:color w:val="000000"/>
                <w:sz w:val="20"/>
              </w:rPr>
            </w:pPr>
            <w:r w:rsidRPr="00500400">
              <w:rPr>
                <w:b/>
                <w:color w:val="000000"/>
                <w:sz w:val="20"/>
              </w:rPr>
              <w:t>Deputații vizați de articolul 216 alineatul (7) din Regulamentul de procedură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50812" w:rsidRPr="00500400" w:rsidRDefault="009762F9">
            <w:pPr>
              <w:autoSpaceDE w:val="0"/>
              <w:autoSpaceDN w:val="0"/>
              <w:adjustRightInd w:val="0"/>
              <w:rPr>
                <w:color w:val="000000"/>
                <w:sz w:val="20"/>
              </w:rPr>
            </w:pPr>
            <w:r w:rsidRPr="00500400">
              <w:rPr>
                <w:color w:val="000000"/>
                <w:sz w:val="20"/>
              </w:rPr>
              <w:t>Bart Groothuis, Rima Hassan, Anja Hazekamp, Pär Holmgren, Sérgio Humberto, Evelyn Regner, Carla Tavares, Ingeborg Ter Laak</w:t>
            </w:r>
          </w:p>
        </w:tc>
      </w:tr>
    </w:tbl>
    <w:p w:rsidR="00550812" w:rsidRPr="00500400" w:rsidRDefault="00550812"/>
    <w:bookmarkEnd w:id="2"/>
    <w:p w:rsidR="00CC63AB" w:rsidRPr="00500400" w:rsidRDefault="00CC63AB" w:rsidP="00550812">
      <w:pPr>
        <w:sectPr w:rsidR="00CC63AB" w:rsidRPr="00500400" w:rsidSect="00550812">
          <w:pgSz w:w="11894" w:h="15840"/>
          <w:pgMar w:top="1700" w:right="1417" w:bottom="1417" w:left="1417" w:header="720" w:footer="720" w:gutter="0"/>
          <w:cols w:space="720"/>
          <w:noEndnote/>
          <w:docGrid w:linePitch="326"/>
        </w:sectPr>
      </w:pPr>
    </w:p>
    <w:p w:rsidR="00CC63AB" w:rsidRPr="00500400" w:rsidRDefault="009762F9" w:rsidP="00550812">
      <w:pPr>
        <w:pStyle w:val="PageHeadingNotTOC"/>
      </w:pPr>
      <w:bookmarkStart w:id="3" w:name="RollCallPageAD"/>
      <w:r w:rsidRPr="00500400">
        <w:lastRenderedPageBreak/>
        <w:t xml:space="preserve">VOT </w:t>
      </w:r>
      <w:r w:rsidRPr="00500400">
        <w:t>FINAL PRIN APEL NOMINAL</w:t>
      </w:r>
      <w:r w:rsidRPr="00500400">
        <w:rPr>
          <w:b w:val="0"/>
        </w:rPr>
        <w:t xml:space="preserve"> </w:t>
      </w:r>
      <w:r w:rsidRPr="00500400">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1E4E" w:rsidRPr="00500400" w:rsidTr="00AA5D66">
        <w:trPr>
          <w:cantSplit/>
        </w:trPr>
        <w:tc>
          <w:tcPr>
            <w:tcW w:w="1701" w:type="dxa"/>
            <w:shd w:val="pct10" w:color="000000" w:fill="FFFFFF"/>
            <w:vAlign w:val="center"/>
          </w:tcPr>
          <w:p w:rsidR="00CC63AB" w:rsidRPr="00500400" w:rsidRDefault="009762F9" w:rsidP="00AA5D66">
            <w:pPr>
              <w:pStyle w:val="RollCallVotes"/>
            </w:pPr>
            <w:r w:rsidRPr="00500400">
              <w:t>46</w:t>
            </w:r>
          </w:p>
        </w:tc>
        <w:tc>
          <w:tcPr>
            <w:tcW w:w="7371" w:type="dxa"/>
            <w:shd w:val="pct10" w:color="000000" w:fill="FFFFFF"/>
          </w:tcPr>
          <w:p w:rsidR="00CC63AB" w:rsidRPr="00500400" w:rsidRDefault="009762F9" w:rsidP="00AA5D66">
            <w:pPr>
              <w:pStyle w:val="RollCallSymbols14pt"/>
            </w:pPr>
            <w:r w:rsidRPr="00500400">
              <w:t>+</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PPE</w:t>
            </w:r>
          </w:p>
        </w:tc>
        <w:tc>
          <w:tcPr>
            <w:tcW w:w="7371" w:type="dxa"/>
            <w:shd w:val="clear" w:color="auto" w:fill="FFFFFF"/>
          </w:tcPr>
          <w:p w:rsidR="00CC63AB" w:rsidRPr="00500400" w:rsidRDefault="009762F9" w:rsidP="00AA5D66">
            <w:pPr>
              <w:pStyle w:val="RollCallTable"/>
            </w:pPr>
            <w:r w:rsidRPr="00500400">
              <w:t xml:space="preserve">Magdalena Adamowicz, Fredis Beleris, Krzysztof Brejza, David Casa, Lena Düpont, Branko Grims, Sérgio Humberto, Oliver Schenk, Bartłomiej Sienkiewicz, Ingeborg Ter Laak, Pekka Toveri, </w:t>
            </w:r>
            <w:r w:rsidRPr="00500400">
              <w:t>Loránt Vincze, Axel Voss, Michał Wawrykiewicz, Javier Zarzalejos, Tomáš Zdechovský</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Renew</w:t>
            </w:r>
          </w:p>
        </w:tc>
        <w:tc>
          <w:tcPr>
            <w:tcW w:w="7371" w:type="dxa"/>
            <w:shd w:val="clear" w:color="auto" w:fill="FFFFFF"/>
          </w:tcPr>
          <w:p w:rsidR="00CC63AB" w:rsidRPr="00500400" w:rsidRDefault="009762F9" w:rsidP="00AA5D66">
            <w:pPr>
              <w:pStyle w:val="RollCallTable"/>
            </w:pPr>
            <w:r w:rsidRPr="00500400">
              <w:t>Veronika Cifrová Ostrihoňová, Sigrid Friis, Raquel García Hermida-Van Der Walle, Bart Groothuis, Irena Joveva, Fabienne Keller, Michael McNamara, Sophie Wilmès, Lucia</w:t>
            </w:r>
            <w:r w:rsidRPr="00500400">
              <w:t xml:space="preserve"> Yar</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S&amp;D</w:t>
            </w:r>
          </w:p>
        </w:tc>
        <w:tc>
          <w:tcPr>
            <w:tcW w:w="7371" w:type="dxa"/>
            <w:shd w:val="clear" w:color="auto" w:fill="FFFFFF"/>
          </w:tcPr>
          <w:p w:rsidR="00CC63AB" w:rsidRPr="00500400" w:rsidRDefault="009762F9" w:rsidP="00AA5D66">
            <w:pPr>
              <w:pStyle w:val="RollCallTable"/>
            </w:pPr>
            <w:r w:rsidRPr="00500400">
              <w:t>Evin Incir, Marina Kaljurand, Juan Fernando López Aguilar, Evelyn Regner, Sandro Ruotolo, Birgit Sippel, Krzysztof Śmiszek, Cecilia Strada, Marco Tarquinio, Carla Tavares, Alessandro Zan</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The Left</w:t>
            </w:r>
          </w:p>
        </w:tc>
        <w:tc>
          <w:tcPr>
            <w:tcW w:w="7371" w:type="dxa"/>
            <w:shd w:val="clear" w:color="auto" w:fill="FFFFFF"/>
          </w:tcPr>
          <w:p w:rsidR="00CC63AB" w:rsidRPr="00500400" w:rsidRDefault="009762F9" w:rsidP="00AA5D66">
            <w:pPr>
              <w:pStyle w:val="RollCallTable"/>
            </w:pPr>
            <w:r w:rsidRPr="00500400">
              <w:t xml:space="preserve">Giuseppe Antoci, Rima Hassan, Anja Hazekamp, </w:t>
            </w:r>
            <w:r w:rsidRPr="00500400">
              <w:t>Gaetano Pedulla'</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Verts/ALE</w:t>
            </w:r>
          </w:p>
        </w:tc>
        <w:tc>
          <w:tcPr>
            <w:tcW w:w="7371" w:type="dxa"/>
            <w:shd w:val="clear" w:color="auto" w:fill="FFFFFF"/>
          </w:tcPr>
          <w:p w:rsidR="00CC63AB" w:rsidRPr="00500400" w:rsidRDefault="009762F9" w:rsidP="00AA5D66">
            <w:pPr>
              <w:pStyle w:val="RollCallTable"/>
            </w:pPr>
            <w:r w:rsidRPr="00500400">
              <w:t>Jaume Asens Llodrà, Saskia Bricmont, Markéta Gregorová, Pär Holmgren, Erik Marquardt, Hannah Neumann</w:t>
            </w:r>
          </w:p>
        </w:tc>
      </w:tr>
    </w:tbl>
    <w:p w:rsidR="00CC63AB" w:rsidRPr="00500400" w:rsidRDefault="00CC63AB" w:rsidP="00CC63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1E4E" w:rsidRPr="00500400" w:rsidTr="00AA5D66">
        <w:trPr>
          <w:cantSplit/>
        </w:trPr>
        <w:tc>
          <w:tcPr>
            <w:tcW w:w="1701" w:type="dxa"/>
            <w:shd w:val="pct10" w:color="000000" w:fill="FFFFFF"/>
            <w:vAlign w:val="center"/>
          </w:tcPr>
          <w:p w:rsidR="00CC63AB" w:rsidRPr="00500400" w:rsidRDefault="009762F9" w:rsidP="00AA5D66">
            <w:pPr>
              <w:pStyle w:val="RollCallVotes"/>
            </w:pPr>
            <w:r w:rsidRPr="00500400">
              <w:t>13</w:t>
            </w:r>
          </w:p>
        </w:tc>
        <w:tc>
          <w:tcPr>
            <w:tcW w:w="7371" w:type="dxa"/>
            <w:shd w:val="pct10" w:color="000000" w:fill="FFFFFF"/>
          </w:tcPr>
          <w:p w:rsidR="00CC63AB" w:rsidRPr="00500400" w:rsidRDefault="009762F9" w:rsidP="00AA5D66">
            <w:pPr>
              <w:pStyle w:val="RollCallSymbols14pt"/>
            </w:pPr>
            <w:r w:rsidRPr="00500400">
              <w:t>-</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ECR</w:t>
            </w:r>
          </w:p>
        </w:tc>
        <w:tc>
          <w:tcPr>
            <w:tcW w:w="7371" w:type="dxa"/>
            <w:shd w:val="clear" w:color="auto" w:fill="FFFFFF"/>
          </w:tcPr>
          <w:p w:rsidR="00CC63AB" w:rsidRPr="00500400" w:rsidRDefault="009762F9" w:rsidP="00AA5D66">
            <w:pPr>
              <w:pStyle w:val="RollCallTable"/>
            </w:pPr>
            <w:r w:rsidRPr="00500400">
              <w:t>Charlie Weimers</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ESN</w:t>
            </w:r>
          </w:p>
        </w:tc>
        <w:tc>
          <w:tcPr>
            <w:tcW w:w="7371" w:type="dxa"/>
            <w:shd w:val="clear" w:color="auto" w:fill="FFFFFF"/>
          </w:tcPr>
          <w:p w:rsidR="00CC63AB" w:rsidRPr="00500400" w:rsidRDefault="009762F9" w:rsidP="00AA5D66">
            <w:pPr>
              <w:pStyle w:val="RollCallTable"/>
            </w:pPr>
            <w:r w:rsidRPr="00500400">
              <w:t>Alexander Sell, Milan Uhrík, Petar Volgin</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NI</w:t>
            </w:r>
          </w:p>
        </w:tc>
        <w:tc>
          <w:tcPr>
            <w:tcW w:w="7371" w:type="dxa"/>
            <w:shd w:val="clear" w:color="auto" w:fill="FFFFFF"/>
          </w:tcPr>
          <w:p w:rsidR="00CC63AB" w:rsidRPr="00500400" w:rsidRDefault="009762F9" w:rsidP="00AA5D66">
            <w:pPr>
              <w:pStyle w:val="RollCallTable"/>
            </w:pPr>
            <w:r w:rsidRPr="00500400">
              <w:t>Erik Kaliňák</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PfE</w:t>
            </w:r>
          </w:p>
        </w:tc>
        <w:tc>
          <w:tcPr>
            <w:tcW w:w="7371" w:type="dxa"/>
            <w:shd w:val="clear" w:color="auto" w:fill="FFFFFF"/>
          </w:tcPr>
          <w:p w:rsidR="00CC63AB" w:rsidRPr="00500400" w:rsidRDefault="009762F9" w:rsidP="00AA5D66">
            <w:pPr>
              <w:pStyle w:val="RollCallTable"/>
            </w:pPr>
            <w:r w:rsidRPr="00500400">
              <w:t xml:space="preserve">Nikola Bartůšek, Jaroslav </w:t>
            </w:r>
            <w:r w:rsidRPr="00500400">
              <w:t>Bžoch, Marieke Ehlers, András László, Malika Sorel, Petra Steger, António Tânger Corrêa, Tom Vandendriessche</w:t>
            </w:r>
          </w:p>
        </w:tc>
      </w:tr>
    </w:tbl>
    <w:p w:rsidR="00CC63AB" w:rsidRPr="00500400" w:rsidRDefault="00CC63AB" w:rsidP="00CC63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1E4E" w:rsidRPr="00500400" w:rsidTr="00AA5D66">
        <w:trPr>
          <w:cantSplit/>
        </w:trPr>
        <w:tc>
          <w:tcPr>
            <w:tcW w:w="1701" w:type="dxa"/>
            <w:shd w:val="pct10" w:color="000000" w:fill="FFFFFF"/>
            <w:vAlign w:val="center"/>
          </w:tcPr>
          <w:p w:rsidR="00CC63AB" w:rsidRPr="00500400" w:rsidRDefault="009762F9" w:rsidP="00AA5D66">
            <w:pPr>
              <w:pStyle w:val="RollCallVotes"/>
            </w:pPr>
            <w:r w:rsidRPr="00500400">
              <w:t>1</w:t>
            </w:r>
          </w:p>
        </w:tc>
        <w:tc>
          <w:tcPr>
            <w:tcW w:w="7371" w:type="dxa"/>
            <w:shd w:val="pct10" w:color="000000" w:fill="FFFFFF"/>
          </w:tcPr>
          <w:p w:rsidR="00CC63AB" w:rsidRPr="00500400" w:rsidRDefault="009762F9" w:rsidP="00AA5D66">
            <w:pPr>
              <w:pStyle w:val="RollCallSymbols14pt"/>
            </w:pPr>
            <w:r w:rsidRPr="00500400">
              <w:t>0</w:t>
            </w:r>
          </w:p>
        </w:tc>
      </w:tr>
      <w:tr w:rsidR="00791E4E" w:rsidRPr="00500400" w:rsidTr="00AA5D66">
        <w:trPr>
          <w:cantSplit/>
        </w:trPr>
        <w:tc>
          <w:tcPr>
            <w:tcW w:w="1701" w:type="dxa"/>
            <w:shd w:val="clear" w:color="auto" w:fill="FFFFFF"/>
          </w:tcPr>
          <w:p w:rsidR="00CC63AB" w:rsidRPr="00500400" w:rsidRDefault="009762F9" w:rsidP="00AA5D66">
            <w:pPr>
              <w:pStyle w:val="RollCallTable"/>
            </w:pPr>
            <w:r w:rsidRPr="00500400">
              <w:t>ECR</w:t>
            </w:r>
          </w:p>
        </w:tc>
        <w:tc>
          <w:tcPr>
            <w:tcW w:w="7371" w:type="dxa"/>
            <w:shd w:val="clear" w:color="auto" w:fill="FFFFFF"/>
          </w:tcPr>
          <w:p w:rsidR="00CC63AB" w:rsidRPr="00500400" w:rsidRDefault="009762F9" w:rsidP="00AA5D66">
            <w:pPr>
              <w:pStyle w:val="RollCallTable"/>
            </w:pPr>
            <w:r w:rsidRPr="00500400">
              <w:t>Georgiana Teodorescu</w:t>
            </w:r>
          </w:p>
        </w:tc>
      </w:tr>
    </w:tbl>
    <w:p w:rsidR="00CC63AB" w:rsidRPr="00500400" w:rsidRDefault="00CC63AB" w:rsidP="00CC63AB">
      <w:pPr>
        <w:pStyle w:val="Normal12a"/>
      </w:pPr>
    </w:p>
    <w:p w:rsidR="00AB794C" w:rsidRPr="00500400" w:rsidRDefault="009762F9" w:rsidP="00AB794C">
      <w:pPr>
        <w:rPr>
          <w:szCs w:val="24"/>
        </w:rPr>
      </w:pPr>
      <w:r w:rsidRPr="00500400">
        <w:t xml:space="preserve">Legenda simbolurilor utilizate: </w:t>
      </w:r>
    </w:p>
    <w:p w:rsidR="00AB794C" w:rsidRPr="00500400" w:rsidRDefault="009762F9" w:rsidP="00AB794C">
      <w:pPr>
        <w:tabs>
          <w:tab w:val="center" w:pos="284"/>
          <w:tab w:val="left" w:pos="426"/>
        </w:tabs>
        <w:rPr>
          <w:szCs w:val="24"/>
        </w:rPr>
      </w:pPr>
      <w:r w:rsidRPr="00500400">
        <w:t>+</w:t>
      </w:r>
      <w:r w:rsidRPr="00500400">
        <w:tab/>
        <w:t>:</w:t>
      </w:r>
      <w:r w:rsidRPr="00500400">
        <w:tab/>
        <w:t>pentru</w:t>
      </w:r>
    </w:p>
    <w:p w:rsidR="00AB794C" w:rsidRPr="00500400" w:rsidRDefault="009762F9" w:rsidP="00AB794C">
      <w:pPr>
        <w:tabs>
          <w:tab w:val="center" w:pos="284"/>
          <w:tab w:val="left" w:pos="426"/>
        </w:tabs>
        <w:rPr>
          <w:szCs w:val="24"/>
        </w:rPr>
      </w:pPr>
      <w:r w:rsidRPr="00500400">
        <w:t>-</w:t>
      </w:r>
      <w:r w:rsidRPr="00500400">
        <w:tab/>
        <w:t>:</w:t>
      </w:r>
      <w:r w:rsidRPr="00500400">
        <w:tab/>
        <w:t>împotrivă</w:t>
      </w:r>
    </w:p>
    <w:p w:rsidR="00CC63AB" w:rsidRPr="00500400" w:rsidRDefault="009762F9" w:rsidP="00AB794C">
      <w:pPr>
        <w:pStyle w:val="RollCallTabs"/>
      </w:pPr>
      <w:r w:rsidRPr="00500400">
        <w:t>0</w:t>
      </w:r>
      <w:r w:rsidRPr="00500400">
        <w:tab/>
        <w:t>:</w:t>
      </w:r>
      <w:r w:rsidRPr="00500400">
        <w:tab/>
        <w:t>abțineri</w:t>
      </w:r>
    </w:p>
    <w:p w:rsidR="00CC63AB" w:rsidRPr="00500400" w:rsidRDefault="00CC63AB" w:rsidP="00CC63AB"/>
    <w:bookmarkEnd w:id="3"/>
    <w:p w:rsidR="00CC63AB" w:rsidRPr="00500400" w:rsidRDefault="00CC63AB" w:rsidP="00CC63AB"/>
    <w:p w:rsidR="00E05697" w:rsidRPr="00500400" w:rsidRDefault="00E05697" w:rsidP="00CC63AB">
      <w:pPr>
        <w:pStyle w:val="CoverReference"/>
      </w:pPr>
    </w:p>
    <w:sectPr w:rsidR="00E05697" w:rsidRPr="00500400" w:rsidSect="0055081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762F9">
      <w:r>
        <w:separator/>
      </w:r>
    </w:p>
  </w:endnote>
  <w:endnote w:type="continuationSeparator" w:id="0">
    <w:p w:rsidR="00000000" w:rsidRDefault="00976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C4" w:rsidRPr="00A6751A" w:rsidRDefault="009762F9" w:rsidP="00F655C4">
    <w:pPr>
      <w:pStyle w:val="EPFooter"/>
    </w:pPr>
    <w:r w:rsidRPr="00A6751A">
      <w:t>PE</w:t>
    </w:r>
    <w:r w:rsidRPr="00A6751A">
      <w:rPr>
        <w:rStyle w:val="HideTWBExt"/>
      </w:rPr>
      <w:t>&lt;NoPE&gt;</w:t>
    </w:r>
    <w:r w:rsidRPr="00A6751A">
      <w:t>765.282</w:t>
    </w:r>
    <w:r w:rsidRPr="00A6751A">
      <w:rPr>
        <w:rStyle w:val="HideTWBExt"/>
      </w:rPr>
      <w:t>&lt;/NoPE&gt;&lt;Version&gt;</w:t>
    </w:r>
    <w:r w:rsidRPr="00A6751A">
      <w:t>v02-00</w:t>
    </w:r>
    <w:r w:rsidRPr="00A6751A">
      <w:rPr>
        <w:rStyle w:val="HideTWBExt"/>
      </w:rPr>
      <w:t>&lt;/Version&gt;</w:t>
    </w:r>
    <w:r w:rsidRPr="00A6751A">
      <w:tab/>
    </w:r>
    <w:r w:rsidRPr="00A6751A">
      <w:fldChar w:fldCharType="begin"/>
    </w:r>
    <w:r w:rsidRPr="00A6751A">
      <w:instrText xml:space="preserve"> PAGE  \* MERGEFORMAT </w:instrText>
    </w:r>
    <w:r w:rsidRPr="00A6751A">
      <w:fldChar w:fldCharType="separate"/>
    </w:r>
    <w:r>
      <w:rPr>
        <w:noProof/>
      </w:rPr>
      <w:t>4</w:t>
    </w:r>
    <w:r w:rsidRPr="00A6751A">
      <w:fldChar w:fldCharType="end"/>
    </w:r>
    <w:r w:rsidRPr="00A6751A">
      <w:t>/</w:t>
    </w:r>
    <w:r w:rsidR="00D8529B">
      <w:fldChar w:fldCharType="begin"/>
    </w:r>
    <w:r>
      <w:instrText xml:space="preserve"> NUMPAGES  \* MERGEFORMAT </w:instrText>
    </w:r>
    <w:r w:rsidR="00D8529B">
      <w:fldChar w:fldCharType="separate"/>
    </w:r>
    <w:r>
      <w:rPr>
        <w:noProof/>
      </w:rPr>
      <w:t>7</w:t>
    </w:r>
    <w:r w:rsidR="00D8529B">
      <w:rPr>
        <w:noProof/>
      </w:rPr>
      <w:fldChar w:fldCharType="end"/>
    </w:r>
    <w:r w:rsidRPr="00A6751A">
      <w:tab/>
    </w:r>
    <w:r w:rsidRPr="00A6751A">
      <w:rPr>
        <w:rStyle w:val="HideTWBExt"/>
      </w:rPr>
      <w:t>&lt;PathFdR&gt;</w:t>
    </w:r>
    <w:r w:rsidRPr="00A6751A">
      <w:t>AD\1313623RO.docx</w:t>
    </w:r>
    <w:r w:rsidRPr="00A6751A">
      <w:rPr>
        <w:rStyle w:val="HideTWBExt"/>
      </w:rPr>
      <w:t>&lt;/PathFdR&gt;</w:t>
    </w:r>
  </w:p>
  <w:p w:rsidR="00CC63AB" w:rsidRPr="00A6751A" w:rsidRDefault="009762F9" w:rsidP="00F655C4">
    <w:pPr>
      <w:pStyle w:val="EPFooter2"/>
    </w:pPr>
    <w:r w:rsidRPr="00A6751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C4" w:rsidRPr="00A6751A" w:rsidRDefault="009762F9" w:rsidP="00F655C4">
    <w:pPr>
      <w:pStyle w:val="EPFooter"/>
    </w:pPr>
    <w:r w:rsidRPr="00A6751A">
      <w:rPr>
        <w:rStyle w:val="HideTWBExt"/>
      </w:rPr>
      <w:t>&lt;PathFdR&gt;</w:t>
    </w:r>
    <w:r w:rsidRPr="00A6751A">
      <w:t>AD\1313623RO.docx</w:t>
    </w:r>
    <w:r w:rsidRPr="00A6751A">
      <w:rPr>
        <w:rStyle w:val="HideTWBExt"/>
      </w:rPr>
      <w:t>&lt;/PathFdR&gt;</w:t>
    </w:r>
    <w:r w:rsidRPr="00A6751A">
      <w:tab/>
    </w:r>
    <w:r w:rsidRPr="00A6751A">
      <w:fldChar w:fldCharType="begin"/>
    </w:r>
    <w:r w:rsidRPr="00A6751A">
      <w:instrText xml:space="preserve"> PAGE  \* MERGEFORMAT </w:instrText>
    </w:r>
    <w:r w:rsidRPr="00A6751A">
      <w:fldChar w:fldCharType="separate"/>
    </w:r>
    <w:r>
      <w:rPr>
        <w:noProof/>
      </w:rPr>
      <w:t>5</w:t>
    </w:r>
    <w:r w:rsidRPr="00A6751A">
      <w:fldChar w:fldCharType="end"/>
    </w:r>
    <w:r w:rsidRPr="00A6751A">
      <w:t>/</w:t>
    </w:r>
    <w:r w:rsidR="00D8529B">
      <w:fldChar w:fldCharType="begin"/>
    </w:r>
    <w:r>
      <w:instrText xml:space="preserve"> NUMPAGES  \* MERGEFORMAT </w:instrText>
    </w:r>
    <w:r w:rsidR="00D8529B">
      <w:fldChar w:fldCharType="separate"/>
    </w:r>
    <w:r>
      <w:rPr>
        <w:noProof/>
      </w:rPr>
      <w:t>7</w:t>
    </w:r>
    <w:r w:rsidR="00D8529B">
      <w:rPr>
        <w:noProof/>
      </w:rPr>
      <w:fldChar w:fldCharType="end"/>
    </w:r>
    <w:r w:rsidRPr="00A6751A">
      <w:tab/>
      <w:t>PE</w:t>
    </w:r>
    <w:r w:rsidRPr="00A6751A">
      <w:rPr>
        <w:rStyle w:val="HideTWBExt"/>
      </w:rPr>
      <w:t>&lt;NoPE&gt;</w:t>
    </w:r>
    <w:r w:rsidRPr="00A6751A">
      <w:t>765.282</w:t>
    </w:r>
    <w:r w:rsidRPr="00A6751A">
      <w:rPr>
        <w:rStyle w:val="HideTWBExt"/>
      </w:rPr>
      <w:t>&lt;/NoPE&gt;&lt;Version&gt;</w:t>
    </w:r>
    <w:r w:rsidRPr="00A6751A">
      <w:t>v02-00</w:t>
    </w:r>
    <w:r w:rsidRPr="00A6751A">
      <w:rPr>
        <w:rStyle w:val="HideTWBExt"/>
      </w:rPr>
      <w:t>&lt;/Version&gt;</w:t>
    </w:r>
  </w:p>
  <w:p w:rsidR="00CC63AB" w:rsidRPr="00A6751A" w:rsidRDefault="009762F9" w:rsidP="00F655C4">
    <w:pPr>
      <w:pStyle w:val="EPFooter2"/>
    </w:pPr>
    <w:r w:rsidRPr="00A6751A">
      <w:tab/>
    </w:r>
    <w:r w:rsidRPr="00A6751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C4" w:rsidRPr="00A6751A" w:rsidRDefault="009762F9" w:rsidP="00F655C4">
    <w:pPr>
      <w:pStyle w:val="EPFooter"/>
    </w:pPr>
    <w:r w:rsidRPr="00A6751A">
      <w:rPr>
        <w:rStyle w:val="HideTWBExt"/>
      </w:rPr>
      <w:t>&lt;PathFdR&gt;</w:t>
    </w:r>
    <w:r w:rsidRPr="00A6751A">
      <w:t>AD\1313623RO.docx</w:t>
    </w:r>
    <w:r w:rsidRPr="00A6751A">
      <w:rPr>
        <w:rStyle w:val="HideTWBExt"/>
      </w:rPr>
      <w:t>&lt;/PathFdR&gt;</w:t>
    </w:r>
    <w:r w:rsidRPr="00A6751A">
      <w:tab/>
    </w:r>
    <w:r w:rsidRPr="00A6751A">
      <w:tab/>
      <w:t>PE</w:t>
    </w:r>
    <w:r w:rsidRPr="00A6751A">
      <w:rPr>
        <w:rStyle w:val="HideTWBExt"/>
      </w:rPr>
      <w:t>&lt;NoPE&gt;</w:t>
    </w:r>
    <w:r w:rsidRPr="00A6751A">
      <w:t>765.282</w:t>
    </w:r>
    <w:r w:rsidRPr="00A6751A">
      <w:rPr>
        <w:rStyle w:val="HideTWBExt"/>
      </w:rPr>
      <w:t>&lt;/NoPE&gt;&lt;Version&gt;</w:t>
    </w:r>
    <w:r w:rsidRPr="00A6751A">
      <w:t>v02-00</w:t>
    </w:r>
    <w:r w:rsidRPr="00A6751A">
      <w:rPr>
        <w:rStyle w:val="HideTWBExt"/>
      </w:rPr>
      <w:t>&lt;/Version&gt;</w:t>
    </w:r>
  </w:p>
  <w:p w:rsidR="00CC63AB" w:rsidRPr="00A6751A" w:rsidRDefault="009762F9" w:rsidP="00F655C4">
    <w:pPr>
      <w:pStyle w:val="EPFooter2"/>
    </w:pPr>
    <w:r w:rsidRPr="00A6751A">
      <w:t>RO</w:t>
    </w:r>
    <w:r w:rsidRPr="00A6751A">
      <w:tab/>
    </w:r>
    <w:r w:rsidRPr="00A6751A">
      <w:rPr>
        <w:b w:val="0"/>
        <w:i/>
        <w:color w:val="C0C0C0"/>
        <w:sz w:val="22"/>
      </w:rPr>
      <w:t>Unită în diversita</w:t>
    </w:r>
    <w:r w:rsidRPr="00A6751A">
      <w:rPr>
        <w:b w:val="0"/>
        <w:i/>
        <w:color w:val="C0C0C0"/>
        <w:sz w:val="22"/>
      </w:rPr>
      <w:t>te</w:t>
    </w:r>
    <w:r w:rsidRPr="00A6751A">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A6751A" w:rsidRDefault="009762F9" w:rsidP="009B3A58">
    <w:pPr>
      <w:pStyle w:val="EPFooter"/>
    </w:pPr>
    <w:r w:rsidRPr="00A6751A">
      <w:rPr>
        <w:rStyle w:val="HideTWBExt"/>
      </w:rPr>
      <w:t>&lt;PathFdR&gt;</w:t>
    </w:r>
    <w:r w:rsidR="00A6751A" w:rsidRPr="00A6751A">
      <w:t>AD\1313623RO.docx</w:t>
    </w:r>
    <w:r w:rsidRPr="00A6751A">
      <w:rPr>
        <w:rStyle w:val="HideTWBExt"/>
      </w:rPr>
      <w:t>&lt;/PathFdR&gt;</w:t>
    </w:r>
    <w:r w:rsidRPr="00A6751A">
      <w:tab/>
    </w:r>
    <w:r w:rsidRPr="00A6751A">
      <w:tab/>
      <w:t>PE</w:t>
    </w:r>
    <w:r w:rsidRPr="00A6751A">
      <w:rPr>
        <w:rStyle w:val="HideTWBExt"/>
      </w:rPr>
      <w:t>&lt;NoPE&gt;</w:t>
    </w:r>
    <w:r w:rsidRPr="00A6751A">
      <w:t>765.282</w:t>
    </w:r>
    <w:r w:rsidRPr="00A6751A">
      <w:rPr>
        <w:rStyle w:val="HideTWBExt"/>
      </w:rPr>
      <w:t>&lt;/NoPE&gt;&lt;Version&gt;</w:t>
    </w:r>
    <w:r w:rsidRPr="00A6751A">
      <w:t>v02-00</w:t>
    </w:r>
    <w:r w:rsidRPr="00A6751A">
      <w:rPr>
        <w:rStyle w:val="HideTWBExt"/>
      </w:rPr>
      <w:t>&lt;/Version&gt;</w:t>
    </w:r>
  </w:p>
  <w:p w:rsidR="00C75378" w:rsidRPr="00A6751A" w:rsidRDefault="009762F9" w:rsidP="009B3A58">
    <w:pPr>
      <w:pStyle w:val="EPFooter2"/>
    </w:pPr>
    <w:r w:rsidRPr="00A6751A">
      <w:t>EN</w:t>
    </w:r>
    <w:r w:rsidRPr="00A6751A">
      <w:tab/>
    </w:r>
    <w:r w:rsidRPr="00A6751A">
      <w:rPr>
        <w:b w:val="0"/>
        <w:i/>
        <w:color w:val="C0C0C0"/>
        <w:sz w:val="22"/>
      </w:rPr>
      <w:t>United in diversity</w:t>
    </w:r>
    <w:r w:rsidRPr="00A6751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762F9">
      <w:r>
        <w:separator/>
      </w:r>
    </w:p>
  </w:footnote>
  <w:footnote w:type="continuationSeparator" w:id="0">
    <w:p w:rsidR="00000000" w:rsidRDefault="00976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2F9" w:rsidRDefault="00976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2F9" w:rsidRDefault="009762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2F9" w:rsidRDefault="009762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DEC5E54"/>
    <w:multiLevelType w:val="hybridMultilevel"/>
    <w:tmpl w:val="2E18DDBA"/>
    <w:lvl w:ilvl="0" w:tplc="1486DD40">
      <w:start w:val="1"/>
      <w:numFmt w:val="decimal"/>
      <w:lvlText w:val="%1."/>
      <w:lvlJc w:val="left"/>
      <w:pPr>
        <w:ind w:left="360" w:hanging="360"/>
      </w:pPr>
    </w:lvl>
    <w:lvl w:ilvl="1" w:tplc="734A5720" w:tentative="1">
      <w:start w:val="1"/>
      <w:numFmt w:val="lowerLetter"/>
      <w:lvlText w:val="%2."/>
      <w:lvlJc w:val="left"/>
      <w:pPr>
        <w:ind w:left="1440" w:hanging="360"/>
      </w:pPr>
    </w:lvl>
    <w:lvl w:ilvl="2" w:tplc="C5EEE342" w:tentative="1">
      <w:start w:val="1"/>
      <w:numFmt w:val="lowerRoman"/>
      <w:lvlText w:val="%3."/>
      <w:lvlJc w:val="right"/>
      <w:pPr>
        <w:ind w:left="2160" w:hanging="180"/>
      </w:pPr>
    </w:lvl>
    <w:lvl w:ilvl="3" w:tplc="19B23B40" w:tentative="1">
      <w:start w:val="1"/>
      <w:numFmt w:val="decimal"/>
      <w:lvlText w:val="%4."/>
      <w:lvlJc w:val="left"/>
      <w:pPr>
        <w:ind w:left="2880" w:hanging="360"/>
      </w:pPr>
    </w:lvl>
    <w:lvl w:ilvl="4" w:tplc="88442F46" w:tentative="1">
      <w:start w:val="1"/>
      <w:numFmt w:val="lowerLetter"/>
      <w:lvlText w:val="%5."/>
      <w:lvlJc w:val="left"/>
      <w:pPr>
        <w:ind w:left="3600" w:hanging="360"/>
      </w:pPr>
    </w:lvl>
    <w:lvl w:ilvl="5" w:tplc="18B654BE" w:tentative="1">
      <w:start w:val="1"/>
      <w:numFmt w:val="lowerRoman"/>
      <w:lvlText w:val="%6."/>
      <w:lvlJc w:val="right"/>
      <w:pPr>
        <w:ind w:left="4320" w:hanging="180"/>
      </w:pPr>
    </w:lvl>
    <w:lvl w:ilvl="6" w:tplc="80B8730C" w:tentative="1">
      <w:start w:val="1"/>
      <w:numFmt w:val="decimal"/>
      <w:lvlText w:val="%7."/>
      <w:lvlJc w:val="left"/>
      <w:pPr>
        <w:ind w:left="5040" w:hanging="360"/>
      </w:pPr>
    </w:lvl>
    <w:lvl w:ilvl="7" w:tplc="FF8EA77C" w:tentative="1">
      <w:start w:val="1"/>
      <w:numFmt w:val="lowerLetter"/>
      <w:lvlText w:val="%8."/>
      <w:lvlJc w:val="left"/>
      <w:pPr>
        <w:ind w:left="5760" w:hanging="360"/>
      </w:pPr>
    </w:lvl>
    <w:lvl w:ilvl="8" w:tplc="CF6E6DB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2"/>
    <w:docVar w:name="TXTAUTHOR" w:val="Tomáš Zdechovský"/>
    <w:docVar w:name="TXTBUDYEAR" w:val="2023"/>
    <w:docVar w:name="TXTLANGUE" w:val="RO"/>
    <w:docVar w:name="TXTLANGUEMIN" w:val="ro"/>
    <w:docVar w:name="TXTNRPE" w:val="765.282"/>
    <w:docVar w:name="TXTNRPROC" w:val="2024/2029"/>
    <w:docVar w:name="TXTPEorAP" w:val="PE"/>
    <w:docVar w:name="TXTROUTE" w:val="AD\1313623RO.docx"/>
    <w:docVar w:name="TXTTITLE" w:val="European Commission: Consolidated annual accounts of the European Union - Financial year 2023 - European Public Prosecutors Office (the ‘EPPO’)"/>
    <w:docVar w:name="TXTVERSION" w:val="02-00"/>
  </w:docVars>
  <w:rsids>
    <w:rsidRoot w:val="00061346"/>
    <w:rsid w:val="000048A8"/>
    <w:rsid w:val="00007A18"/>
    <w:rsid w:val="00037518"/>
    <w:rsid w:val="00061346"/>
    <w:rsid w:val="00062634"/>
    <w:rsid w:val="00096985"/>
    <w:rsid w:val="000A05CA"/>
    <w:rsid w:val="000B6C4B"/>
    <w:rsid w:val="000C3426"/>
    <w:rsid w:val="000D001F"/>
    <w:rsid w:val="000D099F"/>
    <w:rsid w:val="000E6813"/>
    <w:rsid w:val="000F07FE"/>
    <w:rsid w:val="00122A28"/>
    <w:rsid w:val="001275F4"/>
    <w:rsid w:val="001623C4"/>
    <w:rsid w:val="001A455F"/>
    <w:rsid w:val="001C69F7"/>
    <w:rsid w:val="001E2456"/>
    <w:rsid w:val="001F2766"/>
    <w:rsid w:val="001F6ED8"/>
    <w:rsid w:val="00212D35"/>
    <w:rsid w:val="002207E2"/>
    <w:rsid w:val="00245C7F"/>
    <w:rsid w:val="00271180"/>
    <w:rsid w:val="002A4AC9"/>
    <w:rsid w:val="002A6F37"/>
    <w:rsid w:val="002B2892"/>
    <w:rsid w:val="002B2C72"/>
    <w:rsid w:val="002C0EE6"/>
    <w:rsid w:val="002C34AE"/>
    <w:rsid w:val="002E2F2E"/>
    <w:rsid w:val="002F0F59"/>
    <w:rsid w:val="00307C14"/>
    <w:rsid w:val="00333F33"/>
    <w:rsid w:val="00345218"/>
    <w:rsid w:val="003707A7"/>
    <w:rsid w:val="003734D4"/>
    <w:rsid w:val="00385BAB"/>
    <w:rsid w:val="0039003E"/>
    <w:rsid w:val="00396FA9"/>
    <w:rsid w:val="003B72FC"/>
    <w:rsid w:val="003D4E73"/>
    <w:rsid w:val="003D684B"/>
    <w:rsid w:val="003E06CF"/>
    <w:rsid w:val="003E2757"/>
    <w:rsid w:val="003E35FB"/>
    <w:rsid w:val="003F3B83"/>
    <w:rsid w:val="00431E30"/>
    <w:rsid w:val="00443B5F"/>
    <w:rsid w:val="00487232"/>
    <w:rsid w:val="00495CA4"/>
    <w:rsid w:val="004A2FA7"/>
    <w:rsid w:val="004A34E6"/>
    <w:rsid w:val="004A5A52"/>
    <w:rsid w:val="004C28FB"/>
    <w:rsid w:val="004C6948"/>
    <w:rsid w:val="004E54DC"/>
    <w:rsid w:val="004F2D04"/>
    <w:rsid w:val="004F48ED"/>
    <w:rsid w:val="00500400"/>
    <w:rsid w:val="00514664"/>
    <w:rsid w:val="00531CB3"/>
    <w:rsid w:val="0055017A"/>
    <w:rsid w:val="00550812"/>
    <w:rsid w:val="00574093"/>
    <w:rsid w:val="00577018"/>
    <w:rsid w:val="005779E7"/>
    <w:rsid w:val="005D0786"/>
    <w:rsid w:val="005E3670"/>
    <w:rsid w:val="00600DC9"/>
    <w:rsid w:val="00600FDF"/>
    <w:rsid w:val="00626BE7"/>
    <w:rsid w:val="00643F39"/>
    <w:rsid w:val="006620E8"/>
    <w:rsid w:val="0066728C"/>
    <w:rsid w:val="006819E0"/>
    <w:rsid w:val="00690C2D"/>
    <w:rsid w:val="006A6A42"/>
    <w:rsid w:val="006D4EA1"/>
    <w:rsid w:val="0071319E"/>
    <w:rsid w:val="00722749"/>
    <w:rsid w:val="007522B2"/>
    <w:rsid w:val="0077469A"/>
    <w:rsid w:val="00782A08"/>
    <w:rsid w:val="00791E4E"/>
    <w:rsid w:val="00792777"/>
    <w:rsid w:val="007D75E8"/>
    <w:rsid w:val="00806587"/>
    <w:rsid w:val="008129E1"/>
    <w:rsid w:val="008818A9"/>
    <w:rsid w:val="008B158F"/>
    <w:rsid w:val="008C6240"/>
    <w:rsid w:val="008D3782"/>
    <w:rsid w:val="008E7494"/>
    <w:rsid w:val="008F2545"/>
    <w:rsid w:val="008F36CD"/>
    <w:rsid w:val="008F7002"/>
    <w:rsid w:val="0095301E"/>
    <w:rsid w:val="0095497D"/>
    <w:rsid w:val="009669A8"/>
    <w:rsid w:val="00972FD8"/>
    <w:rsid w:val="009762F9"/>
    <w:rsid w:val="00977F76"/>
    <w:rsid w:val="0098140C"/>
    <w:rsid w:val="0099178F"/>
    <w:rsid w:val="009A33F4"/>
    <w:rsid w:val="009A403C"/>
    <w:rsid w:val="009B3A58"/>
    <w:rsid w:val="009B5265"/>
    <w:rsid w:val="009E75A7"/>
    <w:rsid w:val="00A2041C"/>
    <w:rsid w:val="00A21A8A"/>
    <w:rsid w:val="00A61089"/>
    <w:rsid w:val="00A66992"/>
    <w:rsid w:val="00A6751A"/>
    <w:rsid w:val="00A722B1"/>
    <w:rsid w:val="00A8267E"/>
    <w:rsid w:val="00A93570"/>
    <w:rsid w:val="00A9617A"/>
    <w:rsid w:val="00AA1A2C"/>
    <w:rsid w:val="00AA223C"/>
    <w:rsid w:val="00AA5D66"/>
    <w:rsid w:val="00AB794C"/>
    <w:rsid w:val="00AF77DA"/>
    <w:rsid w:val="00B107A4"/>
    <w:rsid w:val="00B10E88"/>
    <w:rsid w:val="00B1441B"/>
    <w:rsid w:val="00B362F7"/>
    <w:rsid w:val="00B608E6"/>
    <w:rsid w:val="00B73387"/>
    <w:rsid w:val="00BB1CCD"/>
    <w:rsid w:val="00BB2AC1"/>
    <w:rsid w:val="00BB7D74"/>
    <w:rsid w:val="00BF7553"/>
    <w:rsid w:val="00C04938"/>
    <w:rsid w:val="00C175C0"/>
    <w:rsid w:val="00C216D4"/>
    <w:rsid w:val="00C40106"/>
    <w:rsid w:val="00C47E30"/>
    <w:rsid w:val="00C54F53"/>
    <w:rsid w:val="00C75378"/>
    <w:rsid w:val="00C85D0F"/>
    <w:rsid w:val="00CA0D01"/>
    <w:rsid w:val="00CC63AB"/>
    <w:rsid w:val="00CF7076"/>
    <w:rsid w:val="00D03E33"/>
    <w:rsid w:val="00D16A66"/>
    <w:rsid w:val="00D41244"/>
    <w:rsid w:val="00D438D0"/>
    <w:rsid w:val="00D44697"/>
    <w:rsid w:val="00D47632"/>
    <w:rsid w:val="00D625A2"/>
    <w:rsid w:val="00D71751"/>
    <w:rsid w:val="00D7238E"/>
    <w:rsid w:val="00D748BF"/>
    <w:rsid w:val="00D759AA"/>
    <w:rsid w:val="00D84A54"/>
    <w:rsid w:val="00D8529B"/>
    <w:rsid w:val="00DA7632"/>
    <w:rsid w:val="00DD291E"/>
    <w:rsid w:val="00DD51D9"/>
    <w:rsid w:val="00E01434"/>
    <w:rsid w:val="00E05697"/>
    <w:rsid w:val="00E12435"/>
    <w:rsid w:val="00E20D99"/>
    <w:rsid w:val="00E3462E"/>
    <w:rsid w:val="00E729C7"/>
    <w:rsid w:val="00E83B40"/>
    <w:rsid w:val="00E9601C"/>
    <w:rsid w:val="00EA78B3"/>
    <w:rsid w:val="00EB19AA"/>
    <w:rsid w:val="00EC2C85"/>
    <w:rsid w:val="00F036E0"/>
    <w:rsid w:val="00F129D0"/>
    <w:rsid w:val="00F46E44"/>
    <w:rsid w:val="00F563E5"/>
    <w:rsid w:val="00F611FC"/>
    <w:rsid w:val="00F61D86"/>
    <w:rsid w:val="00F61E8C"/>
    <w:rsid w:val="00F655C4"/>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A0A56"/>
  <w15:chartTrackingRefBased/>
  <w15:docId w15:val="{8A14A075-02AE-4D9F-8DB9-5EA76643F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3D4E73"/>
    <w:pPr>
      <w:widowControl/>
      <w:ind w:left="720"/>
      <w:contextualSpacing/>
      <w:jc w:val="both"/>
    </w:pPr>
    <w:rPr>
      <w:rFonts w:eastAsiaTheme="minorHAnsi"/>
      <w:szCs w:val="24"/>
      <w:lang w:eastAsia="en-US"/>
    </w:rPr>
  </w:style>
  <w:style w:type="paragraph" w:styleId="Footer">
    <w:name w:val="footer"/>
    <w:basedOn w:val="Normal"/>
    <w:link w:val="FooterChar"/>
    <w:semiHidden/>
    <w:rsid w:val="006A6A42"/>
    <w:pPr>
      <w:tabs>
        <w:tab w:val="center" w:pos="4513"/>
        <w:tab w:val="right" w:pos="9026"/>
      </w:tabs>
    </w:pPr>
  </w:style>
  <w:style w:type="character" w:customStyle="1" w:styleId="FooterChar">
    <w:name w:val="Footer Char"/>
    <w:basedOn w:val="DefaultParagraphFont"/>
    <w:link w:val="Footer"/>
    <w:semiHidden/>
    <w:rsid w:val="006A6A42"/>
    <w:rPr>
      <w:sz w:val="24"/>
    </w:rPr>
  </w:style>
  <w:style w:type="character" w:styleId="CommentReference">
    <w:name w:val="annotation reference"/>
    <w:basedOn w:val="DefaultParagraphFont"/>
    <w:rsid w:val="002207E2"/>
    <w:rPr>
      <w:sz w:val="16"/>
      <w:szCs w:val="16"/>
    </w:rPr>
  </w:style>
  <w:style w:type="paragraph" w:styleId="CommentText">
    <w:name w:val="annotation text"/>
    <w:basedOn w:val="Normal"/>
    <w:link w:val="CommentTextChar"/>
    <w:rsid w:val="002207E2"/>
    <w:rPr>
      <w:sz w:val="20"/>
    </w:rPr>
  </w:style>
  <w:style w:type="character" w:customStyle="1" w:styleId="CommentTextChar">
    <w:name w:val="Comment Text Char"/>
    <w:basedOn w:val="DefaultParagraphFont"/>
    <w:link w:val="CommentText"/>
    <w:rsid w:val="002207E2"/>
  </w:style>
  <w:style w:type="paragraph" w:styleId="CommentSubject">
    <w:name w:val="annotation subject"/>
    <w:basedOn w:val="CommentText"/>
    <w:next w:val="CommentText"/>
    <w:link w:val="CommentSubjectChar"/>
    <w:semiHidden/>
    <w:unhideWhenUsed/>
    <w:rsid w:val="002207E2"/>
    <w:rPr>
      <w:b/>
      <w:bCs/>
    </w:rPr>
  </w:style>
  <w:style w:type="character" w:customStyle="1" w:styleId="CommentSubjectChar">
    <w:name w:val="Comment Subject Char"/>
    <w:basedOn w:val="CommentTextChar"/>
    <w:link w:val="CommentSubject"/>
    <w:semiHidden/>
    <w:rsid w:val="002207E2"/>
    <w:rPr>
      <w:b/>
      <w:bCs/>
    </w:rPr>
  </w:style>
  <w:style w:type="paragraph" w:styleId="BalloonText">
    <w:name w:val="Balloon Text"/>
    <w:basedOn w:val="Normal"/>
    <w:link w:val="BalloonTextChar"/>
    <w:semiHidden/>
    <w:unhideWhenUsed/>
    <w:rsid w:val="002207E2"/>
    <w:rPr>
      <w:rFonts w:ascii="Segoe UI" w:hAnsi="Segoe UI" w:cs="Segoe UI"/>
      <w:sz w:val="18"/>
      <w:szCs w:val="18"/>
    </w:rPr>
  </w:style>
  <w:style w:type="character" w:customStyle="1" w:styleId="BalloonTextChar">
    <w:name w:val="Balloon Text Char"/>
    <w:basedOn w:val="DefaultParagraphFont"/>
    <w:link w:val="BalloonText"/>
    <w:semiHidden/>
    <w:rsid w:val="002207E2"/>
    <w:rPr>
      <w:rFonts w:ascii="Segoe UI" w:hAnsi="Segoe UI" w:cs="Segoe UI"/>
      <w:sz w:val="18"/>
      <w:szCs w:val="18"/>
    </w:rPr>
  </w:style>
  <w:style w:type="paragraph" w:styleId="Revision">
    <w:name w:val="Revision"/>
    <w:hidden/>
    <w:uiPriority w:val="99"/>
    <w:semiHidden/>
    <w:rsid w:val="001C69F7"/>
    <w:rPr>
      <w:sz w:val="24"/>
    </w:rPr>
  </w:style>
  <w:style w:type="paragraph" w:customStyle="1" w:styleId="RollCallSymbols14pt">
    <w:name w:val="RollCallSymbols14pt"/>
    <w:basedOn w:val="Normal"/>
    <w:rsid w:val="00F61D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61D86"/>
    <w:pPr>
      <w:tabs>
        <w:tab w:val="center" w:pos="284"/>
        <w:tab w:val="left" w:pos="426"/>
      </w:tabs>
    </w:pPr>
    <w:rPr>
      <w:snapToGrid w:val="0"/>
      <w:lang w:eastAsia="en-US"/>
    </w:rPr>
  </w:style>
  <w:style w:type="paragraph" w:customStyle="1" w:styleId="RollCallVotes">
    <w:name w:val="RollCallVotes"/>
    <w:basedOn w:val="Normal"/>
    <w:rsid w:val="00F61D86"/>
    <w:pPr>
      <w:spacing w:before="120" w:after="120"/>
      <w:jc w:val="center"/>
    </w:pPr>
    <w:rPr>
      <w:b/>
      <w:bCs/>
      <w:snapToGrid w:val="0"/>
      <w:sz w:val="16"/>
      <w:lang w:eastAsia="en-US"/>
    </w:rPr>
  </w:style>
  <w:style w:type="paragraph" w:customStyle="1" w:styleId="RollCallTable">
    <w:name w:val="RollCallTable"/>
    <w:basedOn w:val="Normal"/>
    <w:rsid w:val="00F61D86"/>
    <w:pPr>
      <w:spacing w:before="120" w:after="120"/>
    </w:pPr>
    <w:rPr>
      <w:snapToGrid w:val="0"/>
      <w:sz w:val="16"/>
      <w:lang w:eastAsia="en-US"/>
    </w:rPr>
  </w:style>
  <w:style w:type="paragraph" w:customStyle="1" w:styleId="Normal24a">
    <w:name w:val="Normal24a"/>
    <w:basedOn w:val="Normal"/>
    <w:rsid w:val="002F0F59"/>
    <w:pPr>
      <w:spacing w:after="480"/>
    </w:pPr>
    <w:rPr>
      <w:szCs w:val="24"/>
    </w:rPr>
  </w:style>
  <w:style w:type="paragraph" w:customStyle="1" w:styleId="NormalBoldCenter">
    <w:name w:val="NormalBoldCenter"/>
    <w:basedOn w:val="Normal"/>
    <w:rsid w:val="002F0F59"/>
    <w:pPr>
      <w:jc w:val="center"/>
    </w:pPr>
    <w:rPr>
      <w:b/>
      <w:szCs w:val="24"/>
    </w:rPr>
  </w:style>
  <w:style w:type="paragraph" w:customStyle="1" w:styleId="Footprint12b">
    <w:name w:val="Footprint12b"/>
    <w:basedOn w:val="Normal"/>
    <w:rsid w:val="002F0F59"/>
    <w:pPr>
      <w:spacing w:before="240"/>
    </w:pPr>
    <w:rPr>
      <w:szCs w:val="24"/>
    </w:rPr>
  </w:style>
  <w:style w:type="paragraph" w:customStyle="1" w:styleId="NormalSingle">
    <w:name w:val="NormalSingle"/>
    <w:basedOn w:val="Normal"/>
    <w:qFormat/>
    <w:rsid w:val="002F0F5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8144</Characters>
  <Application>Microsoft Office Word</Application>
  <DocSecurity>0</DocSecurity>
  <Lines>182</Lines>
  <Paragraphs>70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2025-02-05T14:15:00Z</cp:lastPrinted>
  <dcterms:created xsi:type="dcterms:W3CDTF">2025-03-04T10:54:00Z</dcterms:created>
  <dcterms:modified xsi:type="dcterms:W3CDTF">2025-03-04T10:54:00Z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1313623</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AD\1313623RO.docx</vt:lpwstr>
  </property>
  <property fmtid="{D5CDD505-2E9C-101B-9397-08002B2CF9AE}" pid="10" name="LastEdited with">
    <vt:lpwstr>10.0.1 Build [20250114]</vt:lpwstr>
  </property>
  <property fmtid="{D5CDD505-2E9C-101B-9397-08002B2CF9AE}" pid="11" name="PE number">
    <vt:lpwstr>765.282</vt:lpwstr>
  </property>
  <property fmtid="{D5CDD505-2E9C-101B-9397-08002B2CF9AE}" pid="12" name="SDLStudio">
    <vt:lpwstr/>
  </property>
  <property fmtid="{D5CDD505-2E9C-101B-9397-08002B2CF9AE}" pid="13" name="SendToEpades">
    <vt:lpwstr>OK - 2025/02/10 11:06</vt:lpwstr>
  </property>
  <property fmtid="{D5CDD505-2E9C-101B-9397-08002B2CF9AE}" pid="14" name="Bookout">
    <vt:lpwstr>OK - 2025/03/04 11:54</vt:lpwstr>
  </property>
</Properties>
</file>