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A9370A" w14:paraId="24F4AB37" w14:textId="77777777" w:rsidTr="00C85D0F">
        <w:trPr>
          <w:trHeight w:hRule="exact" w:val="1418"/>
        </w:trPr>
        <w:tc>
          <w:tcPr>
            <w:tcW w:w="6804" w:type="dxa"/>
            <w:shd w:val="clear" w:color="auto" w:fill="auto"/>
            <w:vAlign w:val="center"/>
          </w:tcPr>
          <w:p w14:paraId="13B6DDF7" w14:textId="72DDAD2B" w:rsidR="004F48ED" w:rsidRPr="00A9370A" w:rsidRDefault="00440A57" w:rsidP="00C85D0F">
            <w:pPr>
              <w:pStyle w:val="EPName"/>
            </w:pPr>
            <w:r>
              <w:t>Evropský parlament</w:t>
            </w:r>
          </w:p>
          <w:p w14:paraId="696E10D7" w14:textId="77777777" w:rsidR="004F48ED" w:rsidRPr="00A9370A" w:rsidRDefault="00884C27" w:rsidP="00884C27">
            <w:pPr>
              <w:pStyle w:val="EPTerm"/>
            </w:pPr>
            <w:r>
              <w:t>2024-2029</w:t>
            </w:r>
          </w:p>
        </w:tc>
        <w:tc>
          <w:tcPr>
            <w:tcW w:w="2268" w:type="dxa"/>
            <w:shd w:val="clear" w:color="auto" w:fill="auto"/>
          </w:tcPr>
          <w:p w14:paraId="3E88E637" w14:textId="77777777" w:rsidR="004F48ED" w:rsidRPr="00A9370A" w:rsidRDefault="004F48ED" w:rsidP="00C85D0F">
            <w:pPr>
              <w:pStyle w:val="EPLogo"/>
            </w:pPr>
            <w:r w:rsidRPr="00A9370A">
              <w:rPr>
                <w:noProof/>
                <w:lang w:val="en-GB"/>
              </w:rPr>
              <w:drawing>
                <wp:inline distT="0" distB="0" distL="0" distR="0" wp14:anchorId="4904F3AA" wp14:editId="5E04AAB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5931A6" w14:textId="77777777" w:rsidR="00E9601C" w:rsidRPr="00A9370A" w:rsidRDefault="00E9601C" w:rsidP="00E9601C">
      <w:pPr>
        <w:pStyle w:val="LineTop"/>
      </w:pPr>
    </w:p>
    <w:p w14:paraId="4DD290E2" w14:textId="2AA8AE00" w:rsidR="00E9601C" w:rsidRPr="00A9370A" w:rsidRDefault="00E9601C" w:rsidP="00E9601C">
      <w:pPr>
        <w:pStyle w:val="EPBody"/>
      </w:pPr>
      <w:r>
        <w:rPr>
          <w:rStyle w:val="HideTWBExt"/>
        </w:rPr>
        <w:t>&lt;</w:t>
      </w:r>
      <w:r>
        <w:rPr>
          <w:rStyle w:val="HideTWBExt"/>
          <w:i w:val="0"/>
        </w:rPr>
        <w:t>Commission</w:t>
      </w:r>
      <w:r>
        <w:rPr>
          <w:rStyle w:val="HideTWBExt"/>
        </w:rPr>
        <w:t>&gt;</w:t>
      </w:r>
      <w:r>
        <w:rPr>
          <w:rStyle w:val="HideTWBInt"/>
        </w:rPr>
        <w:t>{LIBE}</w:t>
      </w:r>
      <w:r>
        <w:t>Výbor pro občanské svobody, spravedlnost</w:t>
      </w:r>
      <w:r w:rsidR="008B3F46">
        <w:t xml:space="preserve"> a </w:t>
      </w:r>
      <w:r>
        <w:t>vnitřní věci</w:t>
      </w:r>
      <w:r>
        <w:rPr>
          <w:rStyle w:val="HideTWBExt"/>
        </w:rPr>
        <w:t>&lt;/</w:t>
      </w:r>
      <w:r>
        <w:rPr>
          <w:rStyle w:val="HideTWBExt"/>
          <w:i w:val="0"/>
        </w:rPr>
        <w:t>Commission</w:t>
      </w:r>
      <w:r>
        <w:rPr>
          <w:rStyle w:val="HideTWBExt"/>
        </w:rPr>
        <w:t>&gt;</w:t>
      </w:r>
    </w:p>
    <w:p w14:paraId="220D174E" w14:textId="77777777" w:rsidR="00E9601C" w:rsidRPr="00A9370A" w:rsidRDefault="00E9601C" w:rsidP="00E9601C">
      <w:pPr>
        <w:pStyle w:val="LineBottom"/>
      </w:pPr>
    </w:p>
    <w:p w14:paraId="6B43BFB5" w14:textId="77777777" w:rsidR="004E54DC" w:rsidRPr="00A9370A" w:rsidRDefault="004E54DC" w:rsidP="004E54DC">
      <w:pPr>
        <w:pStyle w:val="CoverReference"/>
      </w:pPr>
      <w:r>
        <w:rPr>
          <w:rStyle w:val="HideTWBExt"/>
          <w:b w:val="0"/>
        </w:rPr>
        <w:t>&lt;RefProc&gt;</w:t>
      </w:r>
      <w:r>
        <w:t>2024/2019</w:t>
      </w:r>
      <w:r>
        <w:rPr>
          <w:rStyle w:val="HideTWBExt"/>
          <w:b w:val="0"/>
        </w:rPr>
        <w:t>&lt;/RefProc&gt;&lt;RefTypeProc&gt;</w:t>
      </w:r>
      <w:r>
        <w:t>(DEC)</w:t>
      </w:r>
      <w:r>
        <w:rPr>
          <w:rStyle w:val="HideTWBExt"/>
          <w:b w:val="0"/>
        </w:rPr>
        <w:t>&lt;/RefTypeProc&gt;</w:t>
      </w:r>
    </w:p>
    <w:p w14:paraId="211E81AF" w14:textId="13D00241" w:rsidR="002E2F2E" w:rsidRPr="00A9370A" w:rsidRDefault="002E2F2E">
      <w:pPr>
        <w:pStyle w:val="CoverDate"/>
      </w:pPr>
      <w:r>
        <w:rPr>
          <w:rStyle w:val="HideTWBExt"/>
        </w:rPr>
        <w:t>&lt;Date&gt;</w:t>
      </w:r>
      <w:r>
        <w:rPr>
          <w:rStyle w:val="HideTWBInt"/>
        </w:rPr>
        <w:t>{13/02/2025}</w:t>
      </w:r>
      <w:r>
        <w:t>13.2.2025</w:t>
      </w:r>
      <w:r>
        <w:rPr>
          <w:rStyle w:val="HideTWBExt"/>
        </w:rPr>
        <w:t>&lt;/Date&gt;</w:t>
      </w:r>
    </w:p>
    <w:p w14:paraId="2A61E507" w14:textId="65FC7530" w:rsidR="002E2F2E" w:rsidRPr="00A9370A" w:rsidRDefault="002E2F2E">
      <w:pPr>
        <w:pStyle w:val="CoverDocType24a"/>
      </w:pPr>
      <w:r>
        <w:rPr>
          <w:rStyle w:val="HideTWBExt"/>
          <w:b w:val="0"/>
        </w:rPr>
        <w:t>&lt;TitreType&gt;</w:t>
      </w:r>
      <w:r>
        <w:t>STANOVISKO</w:t>
      </w:r>
      <w:r>
        <w:rPr>
          <w:rStyle w:val="HideTWBExt"/>
          <w:b w:val="0"/>
        </w:rPr>
        <w:t>&lt;/TitreType&gt;</w:t>
      </w:r>
    </w:p>
    <w:p w14:paraId="089BF7D7" w14:textId="303699CE" w:rsidR="002E2F2E" w:rsidRPr="00A9370A" w:rsidRDefault="002E2F2E">
      <w:pPr>
        <w:pStyle w:val="CoverNormal24a"/>
      </w:pPr>
      <w:r>
        <w:rPr>
          <w:rStyle w:val="HideTWBExt"/>
        </w:rPr>
        <w:t>&lt;CommissionResp&gt;</w:t>
      </w:r>
      <w:r>
        <w:t>Výboru pro občanské svobody, spravedlnost</w:t>
      </w:r>
      <w:r w:rsidR="008B3F46">
        <w:t xml:space="preserve"> a </w:t>
      </w:r>
      <w:r>
        <w:t>vnitřní věci</w:t>
      </w:r>
      <w:r>
        <w:rPr>
          <w:rStyle w:val="HideTWBExt"/>
        </w:rPr>
        <w:t>&lt;/CommissionResp&gt;</w:t>
      </w:r>
    </w:p>
    <w:p w14:paraId="627FB2B8" w14:textId="79213385" w:rsidR="002E2F2E" w:rsidRPr="00A9370A" w:rsidRDefault="002E2F2E" w:rsidP="0095497D">
      <w:pPr>
        <w:pStyle w:val="CoverNormal24a"/>
      </w:pPr>
      <w:r>
        <w:rPr>
          <w:rStyle w:val="HideTWBExt"/>
        </w:rPr>
        <w:t>&lt;CommissionInt&gt;</w:t>
      </w:r>
      <w:r>
        <w:t>pro Výbor pro rozpočtovou kontrolu</w:t>
      </w:r>
      <w:r>
        <w:rPr>
          <w:rStyle w:val="HideTWBExt"/>
        </w:rPr>
        <w:t>&lt;/CommissionInt&gt;</w:t>
      </w:r>
    </w:p>
    <w:p w14:paraId="57F81ED9" w14:textId="1E6685E6" w:rsidR="002E2F2E" w:rsidRPr="00A9370A" w:rsidRDefault="002E2F2E">
      <w:pPr>
        <w:pStyle w:val="CoverNormal"/>
      </w:pPr>
      <w:r>
        <w:rPr>
          <w:rStyle w:val="HideTWBExt"/>
        </w:rPr>
        <w:t>&lt;Titre&gt;</w:t>
      </w:r>
      <w:r>
        <w:t>k udělení absolutoria za plnění souhrnného rozpočtu Evropské unie na rozpočtový rok 2023, oddíl III – Komise, výkonné agentury</w:t>
      </w:r>
      <w:r w:rsidR="008B3F46">
        <w:t xml:space="preserve"> a </w:t>
      </w:r>
      <w:r>
        <w:t>devátý, desátý</w:t>
      </w:r>
      <w:r w:rsidR="008B3F46">
        <w:t xml:space="preserve"> a </w:t>
      </w:r>
      <w:r>
        <w:t>jedenáctý Evropský rozvojový fond</w:t>
      </w:r>
      <w:r>
        <w:rPr>
          <w:rStyle w:val="HideTWBExt"/>
        </w:rPr>
        <w:t>&lt;/Titre&gt;</w:t>
      </w:r>
    </w:p>
    <w:p w14:paraId="64C45B26" w14:textId="77777777" w:rsidR="002E2F2E" w:rsidRPr="00A9370A" w:rsidRDefault="002E2F2E">
      <w:pPr>
        <w:pStyle w:val="CoverNormal24a"/>
      </w:pPr>
      <w:r>
        <w:rPr>
          <w:rStyle w:val="HideTWBExt"/>
        </w:rPr>
        <w:t>&lt;DocRef&gt;</w:t>
      </w:r>
      <w:r>
        <w:t>(2024/2019(DEC))</w:t>
      </w:r>
      <w:r>
        <w:rPr>
          <w:rStyle w:val="HideTWBExt"/>
        </w:rPr>
        <w:t>&lt;/DocRef&gt;</w:t>
      </w:r>
    </w:p>
    <w:p w14:paraId="5BE9A55B" w14:textId="43B0591B" w:rsidR="002E2F2E" w:rsidRPr="00A9370A" w:rsidRDefault="001B6005">
      <w:pPr>
        <w:pStyle w:val="CoverNormal24a"/>
      </w:pPr>
      <w:r>
        <w:t xml:space="preserve">Zpravodaj: </w:t>
      </w:r>
      <w:r>
        <w:rPr>
          <w:rStyle w:val="HideTWBExt"/>
        </w:rPr>
        <w:t>&lt;Depute&gt;</w:t>
      </w:r>
      <w:r>
        <w:t>Tomáš Zdechovský</w:t>
      </w:r>
      <w:r>
        <w:rPr>
          <w:rStyle w:val="HideTWBExt"/>
        </w:rPr>
        <w:t>&lt;/Depute&gt;</w:t>
      </w:r>
    </w:p>
    <w:p w14:paraId="2D798B1F" w14:textId="77777777" w:rsidR="00977F76" w:rsidRPr="00A9370A" w:rsidRDefault="00977F76" w:rsidP="00977F76">
      <w:pPr>
        <w:pStyle w:val="CoverNormal"/>
      </w:pPr>
    </w:p>
    <w:p w14:paraId="2ADAEFCB" w14:textId="77777777" w:rsidR="002E2F2E" w:rsidRPr="00A9370A" w:rsidRDefault="002E2F2E" w:rsidP="00BB2AC1">
      <w:pPr>
        <w:widowControl/>
        <w:tabs>
          <w:tab w:val="center" w:pos="4677"/>
        </w:tabs>
      </w:pPr>
      <w:r>
        <w:br w:type="page"/>
      </w:r>
      <w:r>
        <w:lastRenderedPageBreak/>
        <w:t>PA_NonLegDec</w:t>
      </w:r>
    </w:p>
    <w:p w14:paraId="2C2DF5D2" w14:textId="052119FE" w:rsidR="003E06CF" w:rsidRPr="00A9370A" w:rsidRDefault="002E2F2E" w:rsidP="003E06CF">
      <w:pPr>
        <w:pStyle w:val="PageHeadingNotTOC"/>
      </w:pPr>
      <w:r>
        <w:br w:type="page"/>
      </w:r>
      <w:r>
        <w:lastRenderedPageBreak/>
        <w:t>STANOVISKO</w:t>
      </w:r>
    </w:p>
    <w:p w14:paraId="2FB40E5C" w14:textId="09824B10" w:rsidR="001B6005" w:rsidRPr="00A94AE8" w:rsidRDefault="001B6005" w:rsidP="001B6005">
      <w:pPr>
        <w:tabs>
          <w:tab w:val="left" w:pos="432"/>
          <w:tab w:val="left" w:pos="720"/>
          <w:tab w:val="left" w:pos="1008"/>
          <w:tab w:val="right" w:leader="dot" w:pos="8400"/>
          <w:tab w:val="decimal" w:pos="9552"/>
        </w:tabs>
        <w:suppressAutoHyphens/>
        <w:rPr>
          <w:spacing w:val="-3"/>
        </w:rPr>
      </w:pPr>
      <w:r>
        <w:t>Výbor pro občanské svobody, spravedlnost</w:t>
      </w:r>
      <w:r w:rsidR="008B3F46">
        <w:t xml:space="preserve"> a </w:t>
      </w:r>
      <w:r>
        <w:t>vnitřní věci vyzývá Výbor pro rozpočtovou kontrolu jako příslušný výbor, aby do návrhu usnesení, který přijme, začlenil</w:t>
      </w:r>
      <w:r w:rsidR="00FE4E90">
        <w:t xml:space="preserve"> následující</w:t>
      </w:r>
      <w:r>
        <w:t>:</w:t>
      </w:r>
    </w:p>
    <w:p w14:paraId="7A3C402B" w14:textId="7A945288" w:rsidR="000048A8" w:rsidRPr="00A9370A" w:rsidRDefault="00E05697" w:rsidP="003E06CF">
      <w:pPr>
        <w:pStyle w:val="Normal12a"/>
        <w:rPr>
          <w:b/>
          <w:bCs/>
          <w:i/>
          <w:iCs/>
        </w:rPr>
      </w:pPr>
      <w:r>
        <w:rPr>
          <w:rStyle w:val="HideTWBExt"/>
        </w:rPr>
        <w:t>&lt;RepeatBlock-Dec&gt;</w:t>
      </w:r>
    </w:p>
    <w:p w14:paraId="0511E77F" w14:textId="63F06A87" w:rsidR="0062578A" w:rsidRPr="0042575D" w:rsidRDefault="0062578A" w:rsidP="0062578A">
      <w:pPr>
        <w:pStyle w:val="NormalHanging12a"/>
      </w:pPr>
      <w:r>
        <w:t>1.</w:t>
      </w:r>
      <w:r>
        <w:tab/>
        <w:t>vítá pokrok při provádění vnitrostátních programů členských států</w:t>
      </w:r>
      <w:r w:rsidR="008B3F46">
        <w:t xml:space="preserve"> v </w:t>
      </w:r>
      <w:r>
        <w:t>roce 2023; se znepokojením konstatuje, že navzdory požadavku utratit všechny finanční prostředky na programové období 2014–2020 do června 2024 zůstává 18 % prostředků</w:t>
      </w:r>
      <w:r w:rsidR="008B3F46">
        <w:t xml:space="preserve"> z </w:t>
      </w:r>
      <w:r>
        <w:t>fondu AMIF</w:t>
      </w:r>
      <w:r w:rsidR="008B3F46">
        <w:t xml:space="preserve"> a </w:t>
      </w:r>
      <w:r>
        <w:t>25 % prostředků</w:t>
      </w:r>
      <w:r w:rsidR="008B3F46">
        <w:t xml:space="preserve"> z </w:t>
      </w:r>
      <w:r>
        <w:t>fondu ISF přidělených členským státům na toto období nevykázáno;</w:t>
      </w:r>
    </w:p>
    <w:p w14:paraId="1AEAB4ED" w14:textId="5771CE63" w:rsidR="0062578A" w:rsidRPr="0042575D" w:rsidRDefault="0062578A" w:rsidP="0062578A">
      <w:pPr>
        <w:pStyle w:val="NormalHanging12a"/>
      </w:pPr>
      <w:r>
        <w:t>2.</w:t>
      </w:r>
      <w:r>
        <w:tab/>
        <w:t>bere na vědomí návrh Komise na zvýšení stropů okruhů 4</w:t>
      </w:r>
      <w:r w:rsidR="008B3F46">
        <w:t xml:space="preserve"> a </w:t>
      </w:r>
      <w:r>
        <w:t>6</w:t>
      </w:r>
      <w:r w:rsidR="008B3F46">
        <w:t xml:space="preserve"> v </w:t>
      </w:r>
      <w:r>
        <w:t>rámci revize víceletého finančního rámce</w:t>
      </w:r>
      <w:r w:rsidR="008B3F46">
        <w:t xml:space="preserve"> v </w:t>
      </w:r>
      <w:r>
        <w:t>polovině období</w:t>
      </w:r>
      <w:r w:rsidR="008B3F46">
        <w:t xml:space="preserve"> s </w:t>
      </w:r>
      <w:r>
        <w:t>cílem zajistit dostatečné financování na provádění Nového paktu</w:t>
      </w:r>
      <w:r w:rsidR="008B3F46">
        <w:t xml:space="preserve"> o </w:t>
      </w:r>
      <w:r>
        <w:t>migraci</w:t>
      </w:r>
      <w:r w:rsidR="008B3F46">
        <w:t xml:space="preserve"> a </w:t>
      </w:r>
      <w:r>
        <w:t>azylu; zdůrazňuje, že je třeba zajistit odpovídající</w:t>
      </w:r>
      <w:r w:rsidR="008B3F46">
        <w:t xml:space="preserve"> a </w:t>
      </w:r>
      <w:r>
        <w:t>včasné unijní financování pro členské státy</w:t>
      </w:r>
      <w:r w:rsidR="008B3F46">
        <w:t xml:space="preserve"> a </w:t>
      </w:r>
      <w:r>
        <w:t>agentury Unie</w:t>
      </w:r>
      <w:r w:rsidR="008B3F46">
        <w:t xml:space="preserve"> s </w:t>
      </w:r>
      <w:r>
        <w:t>cílem usnadnit účinnou správu vnějších hranic EU, včetně opatření</w:t>
      </w:r>
      <w:r w:rsidR="008B3F46">
        <w:t xml:space="preserve"> k </w:t>
      </w:r>
      <w:r>
        <w:t>předcházení nelegální migraci,</w:t>
      </w:r>
      <w:r w:rsidR="008B3F46">
        <w:t xml:space="preserve"> a </w:t>
      </w:r>
      <w:r>
        <w:t>zároveň podpořit hladké provádění práva Unie</w:t>
      </w:r>
      <w:r w:rsidR="008B3F46">
        <w:t xml:space="preserve"> v </w:t>
      </w:r>
      <w:r>
        <w:t>oblasti azylu</w:t>
      </w:r>
      <w:r w:rsidR="008B3F46">
        <w:t xml:space="preserve"> a </w:t>
      </w:r>
      <w:r>
        <w:t>migrace</w:t>
      </w:r>
      <w:r w:rsidR="008B3F46">
        <w:t xml:space="preserve"> a </w:t>
      </w:r>
      <w:r>
        <w:t>zajistit dodržování základních práv; vyzývá Komisi, aby sledovala včasný postup správních, operativních</w:t>
      </w:r>
      <w:r w:rsidR="008B3F46">
        <w:t xml:space="preserve"> a </w:t>
      </w:r>
      <w:r>
        <w:t>právních kroků požadovaných členskými státy</w:t>
      </w:r>
      <w:r w:rsidR="008B3F46">
        <w:t xml:space="preserve"> a </w:t>
      </w:r>
      <w:r>
        <w:t>agenturami Unie</w:t>
      </w:r>
      <w:r w:rsidR="008B3F46">
        <w:t xml:space="preserve"> k </w:t>
      </w:r>
      <w:r>
        <w:t>úplnému provedení Nového paktu</w:t>
      </w:r>
      <w:r w:rsidR="008B3F46">
        <w:t xml:space="preserve"> o </w:t>
      </w:r>
      <w:r>
        <w:t>migraci</w:t>
      </w:r>
      <w:r w:rsidR="008B3F46">
        <w:t xml:space="preserve"> a </w:t>
      </w:r>
      <w:r>
        <w:t>azylu do léta 2026 ve lhůtách stanovených ve společném prováděcím plánu, který Evropská komise zveřejnila dne 12. června 2024,</w:t>
      </w:r>
      <w:r w:rsidR="008B3F46">
        <w:t xml:space="preserve"> a </w:t>
      </w:r>
      <w:r>
        <w:t>aby tomuto postupu napomáhala</w:t>
      </w:r>
      <w:r w:rsidR="008B3F46">
        <w:t xml:space="preserve"> a </w:t>
      </w:r>
      <w:r>
        <w:t>dohlížela na něj;</w:t>
      </w:r>
    </w:p>
    <w:p w14:paraId="392BAE02" w14:textId="4BCDEAE5" w:rsidR="0062578A" w:rsidRPr="0042575D" w:rsidRDefault="0062578A" w:rsidP="0062578A">
      <w:pPr>
        <w:pStyle w:val="NormalHanging12a"/>
      </w:pPr>
      <w:r>
        <w:t>3.</w:t>
      </w:r>
      <w:r>
        <w:tab/>
        <w:t>se znepokojením konstatuje, že podle Mezinárodní organizace pro migraci (IOM) zemřelo</w:t>
      </w:r>
      <w:r w:rsidR="008B3F46">
        <w:t xml:space="preserve"> v </w:t>
      </w:r>
      <w:r>
        <w:t>roce 2023 na migračních trasách po celém světě nejméně 8 565 lidí,</w:t>
      </w:r>
      <w:r w:rsidR="008B3F46">
        <w:t xml:space="preserve"> a </w:t>
      </w:r>
      <w:r>
        <w:t>jednalo se tak</w:t>
      </w:r>
      <w:r w:rsidR="008B3F46">
        <w:t xml:space="preserve"> o </w:t>
      </w:r>
      <w:r>
        <w:t>rok</w:t>
      </w:r>
      <w:r w:rsidR="008B3F46">
        <w:t xml:space="preserve"> s </w:t>
      </w:r>
      <w:r>
        <w:t>nejvyšším počtem úmrtí migrantů</w:t>
      </w:r>
      <w:r w:rsidR="008B3F46">
        <w:t xml:space="preserve"> v </w:t>
      </w:r>
      <w:r>
        <w:t>historii; dále</w:t>
      </w:r>
      <w:r w:rsidR="008B3F46">
        <w:t xml:space="preserve"> s </w:t>
      </w:r>
      <w:r>
        <w:t>politováním konstatuje, že navzdory těmto alarmujícím ztrátám na životech počet migrantů, kteří nelegálně přicházejí do Unie, se</w:t>
      </w:r>
      <w:r w:rsidR="008B3F46">
        <w:t xml:space="preserve"> v </w:t>
      </w:r>
      <w:r>
        <w:t>roce 2023 ve srovnání</w:t>
      </w:r>
      <w:r w:rsidR="008B3F46">
        <w:t xml:space="preserve"> s </w:t>
      </w:r>
      <w:r>
        <w:t>předchozími roky nadále zvyšoval; se znepokojením bere na vědomí značný rozdíl mezi počtem vydaných rozhodnutí</w:t>
      </w:r>
      <w:r w:rsidR="008B3F46">
        <w:t xml:space="preserve"> o </w:t>
      </w:r>
      <w:r>
        <w:t>navrácení</w:t>
      </w:r>
      <w:r w:rsidR="008B3F46">
        <w:t xml:space="preserve"> a </w:t>
      </w:r>
      <w:r>
        <w:t>počtem fakticky uskutečněných návratů, přičemž zdůrazňuje potřebu účinnější návratové politiky; dále konstatuje, že Komise musí vyvinout větší úsilí, aby pomohla členským státům při řešení nedovoleného překračování hranic</w:t>
      </w:r>
      <w:r w:rsidR="008B3F46">
        <w:t xml:space="preserve"> a </w:t>
      </w:r>
      <w:r>
        <w:t>při úspěšném navracení státních příslušníků třetích zemí; vyzývá Komisi, aby byla členským státům nápomocna při řešení problematiky nelegálních vstupů, legální migrace</w:t>
      </w:r>
      <w:r w:rsidR="008B3F46">
        <w:t xml:space="preserve"> a </w:t>
      </w:r>
      <w:r>
        <w:t>integrace státních příslušníků třetích zemí</w:t>
      </w:r>
      <w:r w:rsidR="008B3F46">
        <w:t xml:space="preserve"> a </w:t>
      </w:r>
      <w:r>
        <w:t>zároveň zvýšila transparentnost</w:t>
      </w:r>
      <w:r w:rsidR="008B3F46">
        <w:t xml:space="preserve"> a </w:t>
      </w:r>
      <w:r>
        <w:t>odpovědnost při využívání fondů Unie</w:t>
      </w:r>
      <w:r w:rsidR="008B3F46">
        <w:t xml:space="preserve"> v </w:t>
      </w:r>
      <w:r>
        <w:t>oblasti vnitřních věcí ve třetích zemích; připomíná, že Komise by měla nadále přijímat opatření</w:t>
      </w:r>
      <w:r w:rsidR="008B3F46">
        <w:t xml:space="preserve"> v </w:t>
      </w:r>
      <w:r>
        <w:t>oblasti migrace</w:t>
      </w:r>
      <w:r w:rsidR="008B3F46">
        <w:t xml:space="preserve"> a </w:t>
      </w:r>
      <w:r>
        <w:t>azylu</w:t>
      </w:r>
      <w:r w:rsidR="008B3F46">
        <w:t xml:space="preserve"> v </w:t>
      </w:r>
      <w:r>
        <w:t>rámci vnější činnosti, včetně přístupu „Tým Evropa“,</w:t>
      </w:r>
      <w:r w:rsidR="008B3F46">
        <w:t xml:space="preserve"> a </w:t>
      </w:r>
      <w:r>
        <w:t>zároveň zachovat úlohu Parlamentu; vyzývá Komisi, aby zvýšila transparentnost</w:t>
      </w:r>
      <w:r w:rsidR="008B3F46">
        <w:t xml:space="preserve"> a </w:t>
      </w:r>
      <w:r>
        <w:t>odpovědnost při plánování</w:t>
      </w:r>
      <w:r w:rsidR="008B3F46">
        <w:t xml:space="preserve"> a </w:t>
      </w:r>
      <w:r>
        <w:t>vynakládání finančních prostředků Unie</w:t>
      </w:r>
      <w:r w:rsidR="008B3F46">
        <w:t xml:space="preserve"> v </w:t>
      </w:r>
      <w:r>
        <w:t>oblasti vnitřních věcí ve třetích zemích; znovu vyzývá Komisi, aby podporovala agentury Unie</w:t>
      </w:r>
      <w:r w:rsidR="008B3F46">
        <w:t xml:space="preserve"> a </w:t>
      </w:r>
      <w:r>
        <w:t>členské státy při ukončování činnosti převaděčů</w:t>
      </w:r>
      <w:r w:rsidR="008B3F46">
        <w:t xml:space="preserve"> a </w:t>
      </w:r>
      <w:r>
        <w:t>obchodníků</w:t>
      </w:r>
      <w:r w:rsidR="008B3F46">
        <w:t xml:space="preserve"> s </w:t>
      </w:r>
      <w:r>
        <w:t>lidmi ve Středomoří, aby se migranti nevydávali na životu nebezpečné cesty po moři; vyzývá Komisi, aby zvážila nové politiky pro řešení nelegální migrace</w:t>
      </w:r>
      <w:r w:rsidR="008B3F46">
        <w:t xml:space="preserve"> v </w:t>
      </w:r>
      <w:r>
        <w:t>souladu se zásadou nenavracení;</w:t>
      </w:r>
    </w:p>
    <w:p w14:paraId="5BBF4842" w14:textId="1FD38AE0" w:rsidR="0062578A" w:rsidRPr="0042575D" w:rsidRDefault="0062578A" w:rsidP="0062578A">
      <w:pPr>
        <w:pStyle w:val="NormalHanging12a"/>
      </w:pPr>
      <w:r>
        <w:t>4.</w:t>
      </w:r>
      <w:r>
        <w:tab/>
        <w:t>bere na vědomí výzvu členských států obsaženou</w:t>
      </w:r>
      <w:r w:rsidR="008B3F46">
        <w:t xml:space="preserve"> v </w:t>
      </w:r>
      <w:r>
        <w:t>závěrech Evropské rady ze dne 9.</w:t>
      </w:r>
      <w:r w:rsidR="00FE4E90">
        <w:t> </w:t>
      </w:r>
      <w:r>
        <w:t>února 2023</w:t>
      </w:r>
      <w:r w:rsidR="008B3F46">
        <w:t xml:space="preserve"> k </w:t>
      </w:r>
      <w:r>
        <w:t>uvolnění finančních prostředků</w:t>
      </w:r>
      <w:r w:rsidR="008B3F46">
        <w:t xml:space="preserve"> a </w:t>
      </w:r>
      <w:r>
        <w:t>zdrojů EU na pomoc členským státům při posilování kapacit</w:t>
      </w:r>
      <w:r w:rsidR="008B3F46">
        <w:t xml:space="preserve"> a </w:t>
      </w:r>
      <w:r>
        <w:t>infrastruktury</w:t>
      </w:r>
      <w:r w:rsidR="008B3F46">
        <w:t xml:space="preserve"> v </w:t>
      </w:r>
      <w:r>
        <w:t>oblasti ostrahy hranic</w:t>
      </w:r>
      <w:r w:rsidR="008B3F46">
        <w:t xml:space="preserve"> i </w:t>
      </w:r>
      <w:r>
        <w:t>při zajišťování ostrahy</w:t>
      </w:r>
      <w:r w:rsidR="008B3F46">
        <w:t xml:space="preserve"> s </w:t>
      </w:r>
      <w:r>
        <w:t>cílem zabránit nedovolenému překračování hranic</w:t>
      </w:r>
      <w:r w:rsidR="008B3F46">
        <w:t xml:space="preserve"> a </w:t>
      </w:r>
      <w:r>
        <w:t>bojovat proti přeshraniční trestné činnosti</w:t>
      </w:r>
      <w:r w:rsidR="008B3F46">
        <w:t xml:space="preserve"> v </w:t>
      </w:r>
      <w:r>
        <w:t>souladu se stávajícím právním rámcem;</w:t>
      </w:r>
    </w:p>
    <w:p w14:paraId="5443FB65" w14:textId="4F602D67" w:rsidR="0062578A" w:rsidRPr="0042575D" w:rsidRDefault="0062578A" w:rsidP="0062578A">
      <w:pPr>
        <w:pStyle w:val="NormalHanging12a"/>
      </w:pPr>
      <w:r>
        <w:t>5.</w:t>
      </w:r>
      <w:r>
        <w:tab/>
        <w:t>bere na vědomí, že Komise průběžně monitoruje referenční kritéria právního státu prostřednictvím souboru nástrojů na podporu právního státu, včetně výroční zprávy</w:t>
      </w:r>
      <w:r w:rsidR="008B3F46">
        <w:t xml:space="preserve"> o </w:t>
      </w:r>
      <w:r>
        <w:t>právním státu, ale je nadále znepokojen tím, že uplatňováním příliš diplomatického přístupu</w:t>
      </w:r>
      <w:r w:rsidR="008B3F46">
        <w:t xml:space="preserve"> a </w:t>
      </w:r>
      <w:r>
        <w:t>nerozlišováním mezi individuálními záležitostmi</w:t>
      </w:r>
      <w:r w:rsidR="008B3F46">
        <w:t xml:space="preserve"> a </w:t>
      </w:r>
      <w:r>
        <w:t>systémovými problémy vzniká riziko, že ve výroční zprávě</w:t>
      </w:r>
      <w:r w:rsidR="008B3F46">
        <w:t xml:space="preserve"> o </w:t>
      </w:r>
      <w:r>
        <w:t>právním státu budou některá velice závažná nebo přetrvávající porušení zásad právního státu bagatelizována; zdůrazňuje, že je důležité založit posouzení na konkrétních</w:t>
      </w:r>
      <w:r w:rsidR="008B3F46">
        <w:t xml:space="preserve"> a </w:t>
      </w:r>
      <w:r>
        <w:t>měřitelných ukazatelích, včetně nezávislých důkazů</w:t>
      </w:r>
      <w:r w:rsidR="008B3F46">
        <w:t xml:space="preserve"> o </w:t>
      </w:r>
      <w:r>
        <w:t>praktickém provádění,</w:t>
      </w:r>
      <w:r w:rsidR="008B3F46">
        <w:t xml:space="preserve"> s </w:t>
      </w:r>
      <w:r>
        <w:t>cílem zajistit přesnější</w:t>
      </w:r>
      <w:r w:rsidR="008B3F46">
        <w:t xml:space="preserve"> a </w:t>
      </w:r>
      <w:r>
        <w:t>kvalitativnější hodnocení kritérií právního státu; podporuje propojení finančních nástrojů, včetně fondů na podporu oživení, se splněním supermilníků</w:t>
      </w:r>
      <w:r w:rsidR="008B3F46">
        <w:t xml:space="preserve"> a </w:t>
      </w:r>
      <w:r>
        <w:t>dodržováním zásad právního státu, přičemž vyzývá Komisi, aby přijala systematičtější, předvídatelnější</w:t>
      </w:r>
      <w:r w:rsidR="008B3F46">
        <w:t xml:space="preserve"> a </w:t>
      </w:r>
      <w:r>
        <w:t>transparentnější přístup ke zmrazování finančních prostředků nebo uvolňování zmrazených finančních prostředků na základě objektivních kritérií; znovu vyjadřuje politování nad rozhodnutím Komise,</w:t>
      </w:r>
      <w:r w:rsidR="008B3F46">
        <w:t xml:space="preserve"> i </w:t>
      </w:r>
      <w:r>
        <w:t>vážné znepokojení ohledně jeho zákonnosti, když dospěla</w:t>
      </w:r>
      <w:r w:rsidR="008B3F46">
        <w:t xml:space="preserve"> k </w:t>
      </w:r>
      <w:r>
        <w:t>závěru, že</w:t>
      </w:r>
      <w:r w:rsidR="008B3F46">
        <w:t xml:space="preserve"> v </w:t>
      </w:r>
      <w:r>
        <w:t>Maďarsku byla splněna horizontální základní podmínka Listiny týkající se nezávislosti soudnictví, což maďarským orgánům umožnilo začít žádat</w:t>
      </w:r>
      <w:r w:rsidR="008B3F46">
        <w:t xml:space="preserve"> o </w:t>
      </w:r>
      <w:r>
        <w:t>proplacení částky přibližně až do výše 10,2 miliardy EUR</w:t>
      </w:r>
      <w:r w:rsidR="008B3F46">
        <w:t xml:space="preserve"> z </w:t>
      </w:r>
      <w:r>
        <w:t>fondů Unie; naléhavě vyzývá Komisi, aby podmínky</w:t>
      </w:r>
      <w:r w:rsidR="008B3F46">
        <w:t xml:space="preserve"> v </w:t>
      </w:r>
      <w:r>
        <w:t>oblasti demokracie, právního státu</w:t>
      </w:r>
      <w:r w:rsidR="008B3F46">
        <w:t xml:space="preserve"> a </w:t>
      </w:r>
      <w:r>
        <w:t>základních práv začlenila do všech rozpočtových nástrojů</w:t>
      </w:r>
      <w:r w:rsidR="008B3F46">
        <w:t xml:space="preserve"> a </w:t>
      </w:r>
      <w:r>
        <w:t>postupů, monitorovala je</w:t>
      </w:r>
      <w:r w:rsidR="008B3F46">
        <w:t xml:space="preserve"> a </w:t>
      </w:r>
      <w:r>
        <w:t>zachovávala</w:t>
      </w:r>
      <w:r w:rsidR="008B3F46">
        <w:t xml:space="preserve"> a </w:t>
      </w:r>
      <w:r>
        <w:t>aby</w:t>
      </w:r>
      <w:r w:rsidR="008B3F46">
        <w:t xml:space="preserve"> v </w:t>
      </w:r>
      <w:r>
        <w:t>případě potřeby dále</w:t>
      </w:r>
      <w:r w:rsidR="008B3F46">
        <w:t xml:space="preserve"> a </w:t>
      </w:r>
      <w:r>
        <w:t>neprodleně uplatňovala nařízení</w:t>
      </w:r>
      <w:r w:rsidR="008B3F46">
        <w:t xml:space="preserve"> o </w:t>
      </w:r>
      <w:r>
        <w:t>podmíněnosti dodržováním zásad právního státu; vyzývá Komisi, aby podnikla kroky</w:t>
      </w:r>
      <w:r w:rsidR="008B3F46">
        <w:t xml:space="preserve"> k </w:t>
      </w:r>
      <w:r>
        <w:t>úplnému provedení –</w:t>
      </w:r>
      <w:r w:rsidR="008B3F46">
        <w:t xml:space="preserve"> s </w:t>
      </w:r>
      <w:r>
        <w:t>přihlédnutím</w:t>
      </w:r>
      <w:r w:rsidR="008B3F46">
        <w:t xml:space="preserve"> k </w:t>
      </w:r>
      <w:r>
        <w:t>vývoji, který od té doby nastal – doporučení Parlamentu týkajících se vytvoření mechanismu EU pro demokracii, právní stát</w:t>
      </w:r>
      <w:r w:rsidR="008B3F46">
        <w:t xml:space="preserve"> a </w:t>
      </w:r>
      <w:r>
        <w:t>základní práva, která jsou obsažena</w:t>
      </w:r>
      <w:r w:rsidR="008B3F46">
        <w:t xml:space="preserve"> v </w:t>
      </w:r>
      <w:r>
        <w:t>jeho usnesení ze dne 25.</w:t>
      </w:r>
      <w:r w:rsidR="008B3F46">
        <w:t> </w:t>
      </w:r>
      <w:r>
        <w:t>října 2016</w:t>
      </w:r>
      <w:r w:rsidRPr="0042575D">
        <w:rPr>
          <w:rStyle w:val="FootnoteReference"/>
        </w:rPr>
        <w:footnoteReference w:id="1"/>
      </w:r>
      <w:r>
        <w:t>,</w:t>
      </w:r>
      <w:r w:rsidR="008B3F46">
        <w:t xml:space="preserve"> a </w:t>
      </w:r>
      <w:r>
        <w:t>aby zajistila, že hodnocení kritérií právního státu budou časově vymezena</w:t>
      </w:r>
      <w:r w:rsidR="008B3F46">
        <w:t xml:space="preserve"> a </w:t>
      </w:r>
      <w:r>
        <w:t>že zjištění ve zprávě budou spojena se závaznými opatřeními, která budou přesnější</w:t>
      </w:r>
      <w:r w:rsidR="008B3F46">
        <w:t xml:space="preserve"> a </w:t>
      </w:r>
      <w:r>
        <w:t>kvalitativnější, než je tomu</w:t>
      </w:r>
      <w:r w:rsidR="008B3F46">
        <w:t xml:space="preserve"> v </w:t>
      </w:r>
      <w:r>
        <w:t>současnosti, přičemž budou vycházet nejen</w:t>
      </w:r>
      <w:r w:rsidR="008B3F46">
        <w:t xml:space="preserve"> z </w:t>
      </w:r>
      <w:r>
        <w:t>legislativních změn, ale také ze skutečných</w:t>
      </w:r>
      <w:r w:rsidR="008B3F46">
        <w:t xml:space="preserve"> a </w:t>
      </w:r>
      <w:r>
        <w:t>nezávislých důkazů</w:t>
      </w:r>
      <w:r w:rsidR="008B3F46">
        <w:t xml:space="preserve"> o </w:t>
      </w:r>
      <w:r>
        <w:t>jejich uplatňování</w:t>
      </w:r>
      <w:r w:rsidR="008B3F46">
        <w:t xml:space="preserve"> v </w:t>
      </w:r>
      <w:r>
        <w:t>praxi;</w:t>
      </w:r>
    </w:p>
    <w:p w14:paraId="4F102F5A" w14:textId="2B0CD3B0" w:rsidR="0062578A" w:rsidRPr="0042575D" w:rsidRDefault="0062578A" w:rsidP="0062578A">
      <w:pPr>
        <w:pStyle w:val="NormalHanging12a"/>
      </w:pPr>
      <w:r>
        <w:t>6.</w:t>
      </w:r>
      <w:r>
        <w:tab/>
        <w:t>opakuje, že je velmi znepokojen zpožděním postupů Komise pro udělování přístupu</w:t>
      </w:r>
      <w:r w:rsidR="008B3F46">
        <w:t xml:space="preserve"> k </w:t>
      </w:r>
      <w:r>
        <w:t>dokumentům; naléhavě vyzývá Komisi, aby</w:t>
      </w:r>
      <w:r w:rsidR="008B3F46">
        <w:t xml:space="preserve"> v </w:t>
      </w:r>
      <w:r>
        <w:t>souladu</w:t>
      </w:r>
      <w:r w:rsidR="008B3F46">
        <w:t xml:space="preserve"> s </w:t>
      </w:r>
      <w:r>
        <w:t>doporučeními Parlamentu neprodleně podnikla konkrétní kroky</w:t>
      </w:r>
      <w:r w:rsidR="008B3F46">
        <w:t xml:space="preserve"> k </w:t>
      </w:r>
      <w:r>
        <w:t>urychlenému řešení těchto nedostatků</w:t>
      </w:r>
      <w:r w:rsidR="008B3F46">
        <w:t xml:space="preserve"> a </w:t>
      </w:r>
      <w:r>
        <w:t>zajistila včasný, účinný</w:t>
      </w:r>
      <w:r w:rsidR="008B3F46">
        <w:t xml:space="preserve"> a </w:t>
      </w:r>
      <w:r>
        <w:t>transparentní přístup</w:t>
      </w:r>
      <w:r w:rsidR="008B3F46">
        <w:t xml:space="preserve"> k </w:t>
      </w:r>
      <w:r>
        <w:t>dokumentům;</w:t>
      </w:r>
    </w:p>
    <w:p w14:paraId="3AF56B7C" w14:textId="2BB7DF53" w:rsidR="0062578A" w:rsidRPr="0042575D" w:rsidRDefault="0062578A" w:rsidP="0062578A">
      <w:pPr>
        <w:pStyle w:val="NormalHanging12a"/>
      </w:pPr>
      <w:r>
        <w:t>7.</w:t>
      </w:r>
      <w:r>
        <w:tab/>
        <w:t>nadále vyjadřuje hluboké politování nad tím, že Komise nepřijala donucovací či legislativní opatření</w:t>
      </w:r>
      <w:r w:rsidR="008B3F46">
        <w:t xml:space="preserve"> v </w:t>
      </w:r>
      <w:r>
        <w:t>návaznosti na doporučení Parlamentu ohledně používání softwaru Pegasus</w:t>
      </w:r>
      <w:r w:rsidR="008B3F46">
        <w:t xml:space="preserve"> a </w:t>
      </w:r>
      <w:r>
        <w:t>ekvivalentního špionážního softwaru</w:t>
      </w:r>
      <w:r w:rsidR="008B3F46">
        <w:t xml:space="preserve"> a </w:t>
      </w:r>
      <w:r>
        <w:t>vytvoření mechanismu EU pro demokracii, právní stát</w:t>
      </w:r>
      <w:r w:rsidR="008B3F46">
        <w:t xml:space="preserve"> a </w:t>
      </w:r>
      <w:r>
        <w:t>základní práva ve formě interinstitucionální dohody; naléhavě vyzývá Komisi, aby dodržovala zásadu loajální spolupráce mezi orgány Unie</w:t>
      </w:r>
      <w:r w:rsidR="008B3F46">
        <w:t xml:space="preserve"> a </w:t>
      </w:r>
      <w:r>
        <w:t>aby</w:t>
      </w:r>
      <w:r w:rsidR="008B3F46">
        <w:t xml:space="preserve"> v </w:t>
      </w:r>
      <w:r>
        <w:t>souladu</w:t>
      </w:r>
      <w:r w:rsidR="008B3F46">
        <w:t xml:space="preserve"> s </w:t>
      </w:r>
      <w:r>
        <w:t>tím přijala opatření</w:t>
      </w:r>
      <w:r w:rsidR="008B3F46">
        <w:t xml:space="preserve"> v </w:t>
      </w:r>
      <w:r>
        <w:t>návaznosti na doporučení Parlamentu; dále vyzývá Komisi, aby bez zbytečného odkladu předložila akční plán pro předcházení zneužívání špionážního softwaru</w:t>
      </w:r>
      <w:r w:rsidR="008B3F46">
        <w:t xml:space="preserve"> v </w:t>
      </w:r>
      <w:r>
        <w:t>Unii,</w:t>
      </w:r>
      <w:r w:rsidR="008B3F46">
        <w:t xml:space="preserve"> a </w:t>
      </w:r>
      <w:r>
        <w:t>to při plném využití všech dostupných legislativních</w:t>
      </w:r>
      <w:r w:rsidR="008B3F46">
        <w:t xml:space="preserve"> i </w:t>
      </w:r>
      <w:r>
        <w:t>nelegislativních prostředků stanovených Smlouvami.</w:t>
      </w:r>
    </w:p>
    <w:p w14:paraId="74293B13" w14:textId="77777777" w:rsidR="0062578A" w:rsidRPr="0042575D" w:rsidRDefault="0062578A" w:rsidP="0062578A">
      <w:pPr>
        <w:pStyle w:val="NormalHanging12a"/>
      </w:pPr>
    </w:p>
    <w:p w14:paraId="6CCC4F98" w14:textId="77777777" w:rsidR="0062578A" w:rsidRPr="0042575D" w:rsidRDefault="0062578A" w:rsidP="0062578A">
      <w:pPr>
        <w:pStyle w:val="NormalHanging12a"/>
        <w:rPr>
          <w:rStyle w:val="HideTWBExt"/>
        </w:rPr>
      </w:pPr>
      <w:r>
        <w:rPr>
          <w:rStyle w:val="HideTWBExt"/>
        </w:rPr>
        <w:t>&lt;/RepeatBlock-Dec&gt;</w:t>
      </w:r>
    </w:p>
    <w:p w14:paraId="17442097" w14:textId="22418051" w:rsidR="00F12D94" w:rsidRDefault="00711139">
      <w:pPr>
        <w:widowControl/>
      </w:pPr>
      <w:r>
        <w:br w:type="page"/>
      </w:r>
    </w:p>
    <w:p w14:paraId="29810C35" w14:textId="77777777" w:rsidR="00F12D94" w:rsidRPr="00D7238E" w:rsidRDefault="00F12D94" w:rsidP="00F12D94">
      <w:pPr>
        <w:pStyle w:val="PageHeadingNotTOC"/>
      </w:pPr>
      <w:r>
        <w:t>PŘÍLOHA: SUBJEKTY NEBO OSOBY,</w:t>
      </w:r>
      <w:r>
        <w:br/>
        <w:t>OD NICHŽ ZPRAVODAJ OBDRŽEL PODNĚTY</w:t>
      </w:r>
    </w:p>
    <w:p w14:paraId="56BE0932" w14:textId="075C1D19" w:rsidR="00F12D94" w:rsidRPr="0099178F" w:rsidRDefault="00F12D94" w:rsidP="00F12D94">
      <w:pPr>
        <w:pStyle w:val="Normal24a"/>
      </w:pPr>
      <w:r>
        <w:rPr>
          <w:rStyle w:val="HideTWBExt"/>
        </w:rPr>
        <w:t>&lt;FootprintIntro&gt;</w:t>
      </w:r>
      <w:r>
        <w:t>Zpravodaj prohlašuje na svou výhradní odpovědnost, že neobdržel žádný podnět od subjektu nebo osoby, které musí být uvedeny</w:t>
      </w:r>
      <w:r w:rsidR="008B3F46">
        <w:t xml:space="preserve"> v </w:t>
      </w:r>
      <w:r>
        <w:t>této příloze</w:t>
      </w:r>
      <w:r w:rsidR="008B3F46">
        <w:t xml:space="preserve"> v </w:t>
      </w:r>
      <w:r>
        <w:t>souladu</w:t>
      </w:r>
      <w:r w:rsidR="008B3F46">
        <w:t xml:space="preserve"> s </w:t>
      </w:r>
      <w:r>
        <w:t>článkem 8 přílohy</w:t>
      </w:r>
      <w:r w:rsidR="008B3F46">
        <w:t xml:space="preserve"> I </w:t>
      </w:r>
      <w:r>
        <w:t>jednacího řádu.</w:t>
      </w:r>
      <w:r>
        <w:rPr>
          <w:rStyle w:val="HideTWBExt"/>
        </w:rPr>
        <w:t>&lt;/FootprintIntro</w:t>
      </w:r>
      <w:bookmarkStart w:id="0" w:name="_GoBack"/>
      <w:bookmarkEnd w:id="0"/>
      <w:r>
        <w:rPr>
          <w:rStyle w:val="HideTWBExt"/>
        </w:rPr>
        <w:t>&gt;</w:t>
      </w:r>
    </w:p>
    <w:p w14:paraId="70B6799D" w14:textId="4551155C" w:rsidR="00F12D94" w:rsidRDefault="00F12D94">
      <w:pPr>
        <w:widowControl/>
      </w:pPr>
      <w:r>
        <w:br w:type="page"/>
      </w:r>
    </w:p>
    <w:p w14:paraId="52AD34FA" w14:textId="77777777" w:rsidR="0062578A" w:rsidRDefault="0062578A">
      <w:pPr>
        <w:widowControl/>
      </w:pPr>
    </w:p>
    <w:p w14:paraId="412BFC3A" w14:textId="77777777" w:rsidR="00711139" w:rsidRPr="00711139" w:rsidRDefault="00711139" w:rsidP="00711139"/>
    <w:p w14:paraId="235ED311" w14:textId="0CDF1345" w:rsidR="00711139" w:rsidRDefault="00711139" w:rsidP="00711139">
      <w:pPr>
        <w:pStyle w:val="PageHeadingNotTOC"/>
      </w:pPr>
      <w:bookmarkStart w:id="1" w:name="ProcPageAD"/>
      <w:r>
        <w:t>INFORMACE</w:t>
      </w:r>
      <w:r w:rsidR="008B3F46">
        <w:t xml:space="preserve"> O </w:t>
      </w:r>
      <w:r>
        <w:t>PŘIJETÍ VÝBOREM POSKYTUJÍCÍM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11139" w14:paraId="62B0BB2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7D3F976" w14:textId="77777777" w:rsidR="00711139" w:rsidRDefault="00711139">
            <w:pPr>
              <w:autoSpaceDE w:val="0"/>
              <w:autoSpaceDN w:val="0"/>
              <w:adjustRightInd w:val="0"/>
              <w:rPr>
                <w:b/>
                <w:bCs/>
                <w:color w:val="000000"/>
                <w:sz w:val="20"/>
              </w:rPr>
            </w:pPr>
            <w:r>
              <w:rPr>
                <w:b/>
                <w:color w:val="000000"/>
                <w:sz w:val="20"/>
              </w:rPr>
              <w:t>Datum přijetí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A15E5E0" w14:textId="77777777" w:rsidR="00711139" w:rsidRDefault="00711139">
            <w:pPr>
              <w:autoSpaceDE w:val="0"/>
              <w:autoSpaceDN w:val="0"/>
              <w:adjustRightInd w:val="0"/>
              <w:rPr>
                <w:color w:val="000000"/>
                <w:sz w:val="20"/>
              </w:rPr>
            </w:pPr>
            <w:r>
              <w:rPr>
                <w:color w:val="000000"/>
                <w:sz w:val="20"/>
              </w:rPr>
              <w:t>6.2.2025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520C38D" w14:textId="77777777" w:rsidR="00711139" w:rsidRDefault="0071113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4FAD7C2" w14:textId="77777777" w:rsidR="00711139" w:rsidRDefault="0071113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633F7A9" w14:textId="77777777" w:rsidR="00711139" w:rsidRDefault="00711139">
            <w:pPr>
              <w:autoSpaceDE w:val="0"/>
              <w:autoSpaceDN w:val="0"/>
              <w:adjustRightInd w:val="0"/>
              <w:rPr>
                <w:rFonts w:ascii="sans-serif" w:hAnsi="sans-serif" w:cs="sans-serif"/>
                <w:color w:val="000000"/>
                <w:szCs w:val="24"/>
              </w:rPr>
            </w:pPr>
          </w:p>
        </w:tc>
      </w:tr>
      <w:tr w:rsidR="00711139" w14:paraId="7CF3601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107A553" w14:textId="77777777" w:rsidR="00711139" w:rsidRDefault="00711139">
            <w:pPr>
              <w:autoSpaceDE w:val="0"/>
              <w:autoSpaceDN w:val="0"/>
              <w:adjustRightInd w:val="0"/>
              <w:rPr>
                <w:b/>
                <w:bCs/>
                <w:color w:val="000000"/>
                <w:sz w:val="20"/>
              </w:rPr>
            </w:pPr>
            <w:r>
              <w:rPr>
                <w:b/>
                <w:color w:val="000000"/>
                <w:sz w:val="20"/>
              </w:rPr>
              <w:t>Výsledek konečného hlasování</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D5E2DCF" w14:textId="77777777" w:rsidR="00711139" w:rsidRDefault="00711139">
            <w:pPr>
              <w:autoSpaceDE w:val="0"/>
              <w:autoSpaceDN w:val="0"/>
              <w:adjustRightInd w:val="0"/>
              <w:rPr>
                <w:color w:val="000000"/>
                <w:sz w:val="20"/>
              </w:rPr>
            </w:pPr>
            <w:r>
              <w:rPr>
                <w:color w:val="000000"/>
                <w:sz w:val="20"/>
              </w:rPr>
              <w:t>+:</w:t>
            </w:r>
          </w:p>
          <w:p w14:paraId="71100AB4" w14:textId="77777777" w:rsidR="00711139" w:rsidRDefault="00711139">
            <w:pPr>
              <w:autoSpaceDE w:val="0"/>
              <w:autoSpaceDN w:val="0"/>
              <w:adjustRightInd w:val="0"/>
              <w:rPr>
                <w:color w:val="000000"/>
                <w:sz w:val="20"/>
              </w:rPr>
            </w:pPr>
            <w:r>
              <w:rPr>
                <w:color w:val="000000"/>
                <w:sz w:val="20"/>
              </w:rPr>
              <w:t>–:</w:t>
            </w:r>
          </w:p>
          <w:p w14:paraId="0F77978D" w14:textId="77777777" w:rsidR="00711139" w:rsidRDefault="00711139">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9FDAEF2" w14:textId="77777777" w:rsidR="00711139" w:rsidRDefault="00711139">
            <w:pPr>
              <w:autoSpaceDE w:val="0"/>
              <w:autoSpaceDN w:val="0"/>
              <w:adjustRightInd w:val="0"/>
              <w:rPr>
                <w:color w:val="000000"/>
                <w:sz w:val="20"/>
              </w:rPr>
            </w:pPr>
            <w:r>
              <w:rPr>
                <w:color w:val="000000"/>
                <w:sz w:val="20"/>
              </w:rPr>
              <w:t>40</w:t>
            </w:r>
          </w:p>
          <w:p w14:paraId="142D78FF" w14:textId="77777777" w:rsidR="00711139" w:rsidRDefault="00711139">
            <w:pPr>
              <w:autoSpaceDE w:val="0"/>
              <w:autoSpaceDN w:val="0"/>
              <w:adjustRightInd w:val="0"/>
              <w:rPr>
                <w:color w:val="000000"/>
                <w:sz w:val="20"/>
              </w:rPr>
            </w:pPr>
            <w:r>
              <w:rPr>
                <w:color w:val="000000"/>
                <w:sz w:val="20"/>
              </w:rPr>
              <w:t>14</w:t>
            </w:r>
          </w:p>
          <w:p w14:paraId="2F878483" w14:textId="77777777" w:rsidR="00711139" w:rsidRDefault="00711139">
            <w:pPr>
              <w:autoSpaceDE w:val="0"/>
              <w:autoSpaceDN w:val="0"/>
              <w:adjustRightInd w:val="0"/>
              <w:rPr>
                <w:color w:val="000000"/>
                <w:sz w:val="20"/>
              </w:rPr>
            </w:pPr>
            <w:r>
              <w:rPr>
                <w:color w:val="000000"/>
                <w:sz w:val="20"/>
              </w:rPr>
              <w:t>6</w:t>
            </w:r>
          </w:p>
        </w:tc>
      </w:tr>
      <w:tr w:rsidR="00711139" w14:paraId="518CFF0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FB95B26" w14:textId="77777777" w:rsidR="00711139" w:rsidRDefault="00711139">
            <w:pPr>
              <w:autoSpaceDE w:val="0"/>
              <w:autoSpaceDN w:val="0"/>
              <w:adjustRightInd w:val="0"/>
              <w:rPr>
                <w:b/>
                <w:bCs/>
                <w:color w:val="000000"/>
                <w:sz w:val="20"/>
              </w:rPr>
            </w:pPr>
            <w:r>
              <w:rPr>
                <w:b/>
                <w:color w:val="000000"/>
                <w:sz w:val="20"/>
              </w:rPr>
              <w:t>Členové přítomní při konečném hlasování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4EA74BB" w14:textId="77777777" w:rsidR="00711139" w:rsidRDefault="00711139">
            <w:pPr>
              <w:autoSpaceDE w:val="0"/>
              <w:autoSpaceDN w:val="0"/>
              <w:adjustRightInd w:val="0"/>
              <w:rPr>
                <w:color w:val="000000"/>
                <w:sz w:val="20"/>
              </w:rPr>
            </w:pPr>
            <w:r>
              <w:rPr>
                <w:color w:val="000000"/>
                <w:sz w:val="20"/>
              </w:rPr>
              <w:t>Magdalena Adamowicz, Giuseppe Antoci, Jaume Asens Llodrà, Nikola Bartůšek, Krzysztof Brejza, Saskia Bricmont, Jaroslav Bžoch, Veronika Cifrová Ostrihoňová, Lena Düpont, Marieke Ehlers, Raquel García Hermida-Van Der Walle, Branko Grims, Evin Incir, Irena Joveva, Erik Kaliňák, Marina Kaljurand, Fabienne Keller, András László, Juan Fernando López Aguilar, Erik Marquardt, Michael McNamara, Birgit Sippel, Krzysztof Śmiszek, Petra Steger, Cecilia Strada, Georgiana Teodorescu, Milan Uhrík, Tom Vandendriessche, Charlie Weimers, Sophie Wilmès, Alessandro Zan, Javier Zarzalejos, Tomáš Zdechovský</w:t>
            </w:r>
          </w:p>
        </w:tc>
      </w:tr>
      <w:tr w:rsidR="00711139" w14:paraId="2D4B41B2"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9217CC0" w14:textId="77777777" w:rsidR="00711139" w:rsidRDefault="00711139">
            <w:pPr>
              <w:autoSpaceDE w:val="0"/>
              <w:autoSpaceDN w:val="0"/>
              <w:adjustRightInd w:val="0"/>
              <w:rPr>
                <w:b/>
                <w:bCs/>
                <w:color w:val="000000"/>
                <w:sz w:val="20"/>
              </w:rPr>
            </w:pPr>
            <w:r>
              <w:rPr>
                <w:b/>
                <w:color w:val="000000"/>
                <w:sz w:val="20"/>
              </w:rPr>
              <w:t>Náhradníci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4BBA23A" w14:textId="77777777" w:rsidR="00711139" w:rsidRDefault="00711139">
            <w:pPr>
              <w:autoSpaceDE w:val="0"/>
              <w:autoSpaceDN w:val="0"/>
              <w:adjustRightInd w:val="0"/>
              <w:rPr>
                <w:color w:val="000000"/>
                <w:sz w:val="20"/>
              </w:rPr>
            </w:pPr>
            <w:r>
              <w:rPr>
                <w:color w:val="000000"/>
                <w:sz w:val="20"/>
              </w:rPr>
              <w:t>Fredis Beleris, David Casa, Sigrid Friis, Markéta Gregorová, Hannah Neumann, Gaetano Pedulla’, Sandro Ruotolo, Oliver Schenk, Alexander Sell, Bartłomiej Sienkiewicz, Malika Sorel, António Tânger Corrêa, Marco Tarquinio, Pekka Toveri, Loránt Vincze, Petar Volgin, Axel Voss, Michał Wawrykiewicz, Lucia Yar</w:t>
            </w:r>
          </w:p>
        </w:tc>
      </w:tr>
      <w:tr w:rsidR="00711139" w14:paraId="296BFCDA"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B240D1A" w14:textId="4EDFD64F" w:rsidR="00711139" w:rsidRDefault="00711139">
            <w:pPr>
              <w:autoSpaceDE w:val="0"/>
              <w:autoSpaceDN w:val="0"/>
              <w:adjustRightInd w:val="0"/>
              <w:rPr>
                <w:b/>
                <w:bCs/>
                <w:color w:val="000000"/>
                <w:sz w:val="20"/>
              </w:rPr>
            </w:pPr>
            <w:r>
              <w:rPr>
                <w:b/>
                <w:color w:val="000000"/>
                <w:sz w:val="20"/>
              </w:rPr>
              <w:t>Poslanci uvedení</w:t>
            </w:r>
            <w:r w:rsidR="008B3F46">
              <w:rPr>
                <w:b/>
                <w:color w:val="000000"/>
                <w:sz w:val="20"/>
              </w:rPr>
              <w:t xml:space="preserve"> v </w:t>
            </w:r>
            <w:r>
              <w:rPr>
                <w:b/>
                <w:color w:val="000000"/>
                <w:sz w:val="20"/>
              </w:rPr>
              <w:t>čl. 216 odst. 7 jednacího řádu přítomní při konečném hlasování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1176433" w14:textId="77777777" w:rsidR="00711139" w:rsidRDefault="00711139">
            <w:pPr>
              <w:autoSpaceDE w:val="0"/>
              <w:autoSpaceDN w:val="0"/>
              <w:adjustRightInd w:val="0"/>
              <w:rPr>
                <w:color w:val="000000"/>
                <w:sz w:val="20"/>
              </w:rPr>
            </w:pPr>
            <w:r>
              <w:rPr>
                <w:color w:val="000000"/>
                <w:sz w:val="20"/>
              </w:rPr>
              <w:t>Bart Groothuis, Rima Hassan, Anja Hazekamp, Pär Holmgren, Sérgio Humberto, Evelyn Regner, Carla Tavares, Ingeborg Ter Laak</w:t>
            </w:r>
          </w:p>
        </w:tc>
      </w:tr>
    </w:tbl>
    <w:p w14:paraId="2ED008A5" w14:textId="77777777" w:rsidR="00711139" w:rsidRDefault="00711139"/>
    <w:bookmarkEnd w:id="1"/>
    <w:p w14:paraId="48AB5ECC" w14:textId="77777777" w:rsidR="0062578A" w:rsidRDefault="0062578A" w:rsidP="0062578A">
      <w:pPr>
        <w:sectPr w:rsidR="0062578A" w:rsidSect="0062578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DC598CD" w14:textId="1162EFDD" w:rsidR="0062578A" w:rsidRPr="0099178F" w:rsidRDefault="0062578A" w:rsidP="00C36610">
      <w:pPr>
        <w:pStyle w:val="PageHeadingNotTOC"/>
      </w:pPr>
      <w:bookmarkStart w:id="2" w:name="RollCallPageAD"/>
      <w:r>
        <w:t>JMENOVITÉ KONEČNÉ HLASOVÁNÍ</w:t>
      </w:r>
      <w:r w:rsidR="008B3F46">
        <w:br/>
      </w:r>
      <w:r>
        <w:t>VE VÝBORU POSKYTUJÍCÍM STANOVISKO</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2578A" w:rsidRPr="0042575D" w14:paraId="7A2FF678" w14:textId="77777777" w:rsidTr="00C972DD">
        <w:trPr>
          <w:cantSplit/>
        </w:trPr>
        <w:tc>
          <w:tcPr>
            <w:tcW w:w="1701" w:type="dxa"/>
            <w:shd w:val="pct10" w:color="000000" w:fill="FFFFFF"/>
            <w:vAlign w:val="center"/>
          </w:tcPr>
          <w:p w14:paraId="43420726" w14:textId="77777777" w:rsidR="0062578A" w:rsidRPr="0042575D" w:rsidRDefault="0062578A" w:rsidP="00C972DD">
            <w:pPr>
              <w:pStyle w:val="RollCallVotes"/>
            </w:pPr>
            <w:r>
              <w:t>40</w:t>
            </w:r>
          </w:p>
        </w:tc>
        <w:tc>
          <w:tcPr>
            <w:tcW w:w="7371" w:type="dxa"/>
            <w:shd w:val="pct10" w:color="000000" w:fill="FFFFFF"/>
          </w:tcPr>
          <w:p w14:paraId="571921BB" w14:textId="77777777" w:rsidR="0062578A" w:rsidRPr="0042575D" w:rsidRDefault="0062578A" w:rsidP="00C972DD">
            <w:pPr>
              <w:pStyle w:val="RollCallSymbols14pt"/>
            </w:pPr>
            <w:r>
              <w:t>+</w:t>
            </w:r>
          </w:p>
        </w:tc>
      </w:tr>
      <w:tr w:rsidR="0062578A" w:rsidRPr="0042575D" w14:paraId="480B90E3" w14:textId="77777777" w:rsidTr="00C972DD">
        <w:trPr>
          <w:cantSplit/>
        </w:trPr>
        <w:tc>
          <w:tcPr>
            <w:tcW w:w="1701" w:type="dxa"/>
            <w:shd w:val="clear" w:color="auto" w:fill="FFFFFF"/>
          </w:tcPr>
          <w:p w14:paraId="1D0F5D3F" w14:textId="77777777" w:rsidR="0062578A" w:rsidRPr="0042575D" w:rsidRDefault="0062578A" w:rsidP="00C972DD">
            <w:pPr>
              <w:pStyle w:val="RollCallTable"/>
            </w:pPr>
            <w:r>
              <w:t>ECR</w:t>
            </w:r>
          </w:p>
        </w:tc>
        <w:tc>
          <w:tcPr>
            <w:tcW w:w="7371" w:type="dxa"/>
            <w:shd w:val="clear" w:color="auto" w:fill="FFFFFF"/>
          </w:tcPr>
          <w:p w14:paraId="7178F2E8" w14:textId="77777777" w:rsidR="0062578A" w:rsidRPr="0042575D" w:rsidRDefault="0062578A" w:rsidP="00C972DD">
            <w:pPr>
              <w:pStyle w:val="RollCallTable"/>
            </w:pPr>
            <w:r>
              <w:t>Georgiana Teodorescu, Charlie Weimers</w:t>
            </w:r>
          </w:p>
        </w:tc>
      </w:tr>
      <w:tr w:rsidR="0062578A" w:rsidRPr="0042575D" w14:paraId="682CC414" w14:textId="77777777" w:rsidTr="00C972DD">
        <w:trPr>
          <w:cantSplit/>
        </w:trPr>
        <w:tc>
          <w:tcPr>
            <w:tcW w:w="1701" w:type="dxa"/>
            <w:shd w:val="clear" w:color="auto" w:fill="FFFFFF"/>
          </w:tcPr>
          <w:p w14:paraId="7EC22FCD" w14:textId="77777777" w:rsidR="0062578A" w:rsidRPr="0042575D" w:rsidRDefault="0062578A" w:rsidP="00C972DD">
            <w:pPr>
              <w:pStyle w:val="RollCallTable"/>
            </w:pPr>
            <w:r>
              <w:t>ESN</w:t>
            </w:r>
          </w:p>
        </w:tc>
        <w:tc>
          <w:tcPr>
            <w:tcW w:w="7371" w:type="dxa"/>
            <w:shd w:val="clear" w:color="auto" w:fill="FFFFFF"/>
          </w:tcPr>
          <w:p w14:paraId="7AB0B56B" w14:textId="77777777" w:rsidR="0062578A" w:rsidRPr="0042575D" w:rsidRDefault="0062578A" w:rsidP="00C972DD">
            <w:pPr>
              <w:pStyle w:val="RollCallTable"/>
            </w:pPr>
            <w:r>
              <w:t>Alexander Sell, Milan Uhrík</w:t>
            </w:r>
          </w:p>
        </w:tc>
      </w:tr>
      <w:tr w:rsidR="0062578A" w:rsidRPr="0042575D" w14:paraId="35025FA4" w14:textId="77777777" w:rsidTr="00C972DD">
        <w:trPr>
          <w:cantSplit/>
        </w:trPr>
        <w:tc>
          <w:tcPr>
            <w:tcW w:w="1701" w:type="dxa"/>
            <w:shd w:val="clear" w:color="auto" w:fill="FFFFFF"/>
          </w:tcPr>
          <w:p w14:paraId="186B16FF" w14:textId="77777777" w:rsidR="0062578A" w:rsidRPr="0042575D" w:rsidRDefault="0062578A" w:rsidP="00C972DD">
            <w:pPr>
              <w:pStyle w:val="RollCallTable"/>
            </w:pPr>
            <w:r>
              <w:t>PPE</w:t>
            </w:r>
          </w:p>
        </w:tc>
        <w:tc>
          <w:tcPr>
            <w:tcW w:w="7371" w:type="dxa"/>
            <w:shd w:val="clear" w:color="auto" w:fill="FFFFFF"/>
          </w:tcPr>
          <w:p w14:paraId="5F5E0568" w14:textId="77777777" w:rsidR="0062578A" w:rsidRPr="0042575D" w:rsidRDefault="0062578A" w:rsidP="00C972DD">
            <w:pPr>
              <w:pStyle w:val="RollCallTable"/>
            </w:pPr>
            <w:r>
              <w:t>Magdalena Adamowicz, Fredis Beleris, Krzysztof Brejza, David Casa, Lena Düpont, Branko Grims, Sérgio Humberto, Oliver Schenk, Bartłomiej Sienkiewicz, Ingeborg Ter Laak, Pekka Toveri, Loránt Vincze, Axel Voss, Michał Wawrykiewicz, Javier Zarzalejos, Tomáš Zdechovský</w:t>
            </w:r>
          </w:p>
        </w:tc>
      </w:tr>
      <w:tr w:rsidR="0062578A" w:rsidRPr="0042575D" w14:paraId="2E2B6AA7" w14:textId="77777777" w:rsidTr="00C972DD">
        <w:trPr>
          <w:cantSplit/>
        </w:trPr>
        <w:tc>
          <w:tcPr>
            <w:tcW w:w="1701" w:type="dxa"/>
            <w:shd w:val="clear" w:color="auto" w:fill="FFFFFF"/>
          </w:tcPr>
          <w:p w14:paraId="371BEFE5" w14:textId="77777777" w:rsidR="0062578A" w:rsidRPr="0042575D" w:rsidRDefault="0062578A" w:rsidP="00C972DD">
            <w:pPr>
              <w:pStyle w:val="RollCallTable"/>
            </w:pPr>
            <w:r>
              <w:t>Renew</w:t>
            </w:r>
          </w:p>
        </w:tc>
        <w:tc>
          <w:tcPr>
            <w:tcW w:w="7371" w:type="dxa"/>
            <w:shd w:val="clear" w:color="auto" w:fill="FFFFFF"/>
          </w:tcPr>
          <w:p w14:paraId="45CEEB73" w14:textId="77777777" w:rsidR="0062578A" w:rsidRPr="0042575D" w:rsidRDefault="0062578A" w:rsidP="00C972DD">
            <w:pPr>
              <w:pStyle w:val="RollCallTable"/>
            </w:pPr>
            <w:r>
              <w:t>Veronika Cifrová Ostrihoňová, Sigrid Friis, Raquel García Hermida-Van Der Walle, Bart Groothuis, Irena Joveva, Fabienne Keller, Michael McNamara, Sophie Wilmès, Lucia Yar</w:t>
            </w:r>
          </w:p>
        </w:tc>
      </w:tr>
      <w:tr w:rsidR="0062578A" w:rsidRPr="0042575D" w14:paraId="7FB647B7" w14:textId="77777777" w:rsidTr="00C972DD">
        <w:trPr>
          <w:cantSplit/>
        </w:trPr>
        <w:tc>
          <w:tcPr>
            <w:tcW w:w="1701" w:type="dxa"/>
            <w:shd w:val="clear" w:color="auto" w:fill="FFFFFF"/>
          </w:tcPr>
          <w:p w14:paraId="52A75445" w14:textId="77777777" w:rsidR="0062578A" w:rsidRPr="0042575D" w:rsidRDefault="0062578A" w:rsidP="00C972DD">
            <w:pPr>
              <w:pStyle w:val="RollCallTable"/>
            </w:pPr>
            <w:r>
              <w:t>S&amp;D</w:t>
            </w:r>
          </w:p>
        </w:tc>
        <w:tc>
          <w:tcPr>
            <w:tcW w:w="7371" w:type="dxa"/>
            <w:shd w:val="clear" w:color="auto" w:fill="FFFFFF"/>
          </w:tcPr>
          <w:p w14:paraId="7858BF78" w14:textId="77777777" w:rsidR="0062578A" w:rsidRPr="0042575D" w:rsidRDefault="0062578A" w:rsidP="00C972DD">
            <w:pPr>
              <w:pStyle w:val="RollCallTable"/>
            </w:pPr>
            <w:r>
              <w:t>Evin Incir, Marina Kaljurand, Juan Fernando López Aguilar, Evelyn Regner, Sandro Ruotolo, Birgit Sippel, Krzysztof Śmiszek, Cecilia Strada, Marco Tarquinio, Carla Tavares, Alessandro Zan</w:t>
            </w:r>
          </w:p>
        </w:tc>
      </w:tr>
    </w:tbl>
    <w:p w14:paraId="0EEA31B1" w14:textId="77777777" w:rsidR="0062578A" w:rsidRPr="0042575D" w:rsidRDefault="0062578A" w:rsidP="0062578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2578A" w:rsidRPr="0042575D" w14:paraId="1BEB63B1" w14:textId="77777777" w:rsidTr="00C972DD">
        <w:trPr>
          <w:cantSplit/>
        </w:trPr>
        <w:tc>
          <w:tcPr>
            <w:tcW w:w="1701" w:type="dxa"/>
            <w:shd w:val="pct10" w:color="000000" w:fill="FFFFFF"/>
            <w:vAlign w:val="center"/>
          </w:tcPr>
          <w:p w14:paraId="498110AB" w14:textId="77777777" w:rsidR="0062578A" w:rsidRPr="0042575D" w:rsidRDefault="0062578A" w:rsidP="00C972DD">
            <w:pPr>
              <w:pStyle w:val="RollCallVotes"/>
            </w:pPr>
            <w:r>
              <w:t>14</w:t>
            </w:r>
          </w:p>
        </w:tc>
        <w:tc>
          <w:tcPr>
            <w:tcW w:w="7371" w:type="dxa"/>
            <w:shd w:val="pct10" w:color="000000" w:fill="FFFFFF"/>
          </w:tcPr>
          <w:p w14:paraId="776940E4" w14:textId="77777777" w:rsidR="0062578A" w:rsidRPr="0042575D" w:rsidRDefault="0062578A" w:rsidP="00C972DD">
            <w:pPr>
              <w:pStyle w:val="RollCallSymbols14pt"/>
            </w:pPr>
            <w:r>
              <w:t>-</w:t>
            </w:r>
          </w:p>
        </w:tc>
      </w:tr>
      <w:tr w:rsidR="0062578A" w:rsidRPr="0042575D" w14:paraId="100C48C7" w14:textId="77777777" w:rsidTr="00C972DD">
        <w:trPr>
          <w:cantSplit/>
        </w:trPr>
        <w:tc>
          <w:tcPr>
            <w:tcW w:w="1701" w:type="dxa"/>
            <w:shd w:val="clear" w:color="auto" w:fill="FFFFFF"/>
          </w:tcPr>
          <w:p w14:paraId="305C3054" w14:textId="77777777" w:rsidR="0062578A" w:rsidRPr="0042575D" w:rsidRDefault="0062578A" w:rsidP="00C972DD">
            <w:pPr>
              <w:pStyle w:val="RollCallTable"/>
            </w:pPr>
            <w:r>
              <w:t>ESN</w:t>
            </w:r>
          </w:p>
        </w:tc>
        <w:tc>
          <w:tcPr>
            <w:tcW w:w="7371" w:type="dxa"/>
            <w:shd w:val="clear" w:color="auto" w:fill="FFFFFF"/>
          </w:tcPr>
          <w:p w14:paraId="5BB6D4BD" w14:textId="77777777" w:rsidR="0062578A" w:rsidRPr="0042575D" w:rsidRDefault="0062578A" w:rsidP="00C972DD">
            <w:pPr>
              <w:pStyle w:val="RollCallTable"/>
            </w:pPr>
            <w:r>
              <w:t>Petar Volgin</w:t>
            </w:r>
          </w:p>
        </w:tc>
      </w:tr>
      <w:tr w:rsidR="0062578A" w:rsidRPr="0042575D" w14:paraId="5263AFCC" w14:textId="77777777" w:rsidTr="00C972DD">
        <w:trPr>
          <w:cantSplit/>
        </w:trPr>
        <w:tc>
          <w:tcPr>
            <w:tcW w:w="1701" w:type="dxa"/>
            <w:shd w:val="clear" w:color="auto" w:fill="FFFFFF"/>
          </w:tcPr>
          <w:p w14:paraId="4250C645" w14:textId="77777777" w:rsidR="0062578A" w:rsidRPr="0042575D" w:rsidRDefault="0062578A" w:rsidP="00C972DD">
            <w:pPr>
              <w:pStyle w:val="RollCallTable"/>
            </w:pPr>
            <w:r>
              <w:t>NI</w:t>
            </w:r>
          </w:p>
        </w:tc>
        <w:tc>
          <w:tcPr>
            <w:tcW w:w="7371" w:type="dxa"/>
            <w:shd w:val="clear" w:color="auto" w:fill="FFFFFF"/>
          </w:tcPr>
          <w:p w14:paraId="2FD325F3" w14:textId="77777777" w:rsidR="0062578A" w:rsidRPr="0042575D" w:rsidRDefault="0062578A" w:rsidP="00C972DD">
            <w:pPr>
              <w:pStyle w:val="RollCallTable"/>
            </w:pPr>
            <w:r>
              <w:t>Erik Kaliňák</w:t>
            </w:r>
          </w:p>
        </w:tc>
      </w:tr>
      <w:tr w:rsidR="0062578A" w:rsidRPr="0042575D" w14:paraId="1D2EF6CB" w14:textId="77777777" w:rsidTr="00C972DD">
        <w:trPr>
          <w:cantSplit/>
        </w:trPr>
        <w:tc>
          <w:tcPr>
            <w:tcW w:w="1701" w:type="dxa"/>
            <w:shd w:val="clear" w:color="auto" w:fill="FFFFFF"/>
          </w:tcPr>
          <w:p w14:paraId="555BFAC0" w14:textId="77777777" w:rsidR="0062578A" w:rsidRPr="0042575D" w:rsidRDefault="0062578A" w:rsidP="00C972DD">
            <w:pPr>
              <w:pStyle w:val="RollCallTable"/>
            </w:pPr>
            <w:r>
              <w:t>PfE</w:t>
            </w:r>
          </w:p>
        </w:tc>
        <w:tc>
          <w:tcPr>
            <w:tcW w:w="7371" w:type="dxa"/>
            <w:shd w:val="clear" w:color="auto" w:fill="FFFFFF"/>
          </w:tcPr>
          <w:p w14:paraId="44AF8931" w14:textId="77777777" w:rsidR="0062578A" w:rsidRPr="0042575D" w:rsidRDefault="0062578A" w:rsidP="00C972DD">
            <w:pPr>
              <w:pStyle w:val="RollCallTable"/>
            </w:pPr>
            <w:r>
              <w:t>Nikola Bartůšek, Jaroslav Bžoch, Marieke Ehlers, András László, Malika Sorel, Petra Steger, António Tânger Corrêa, Tom Vandendriessche</w:t>
            </w:r>
          </w:p>
        </w:tc>
      </w:tr>
      <w:tr w:rsidR="0062578A" w:rsidRPr="0042575D" w14:paraId="188CCD36" w14:textId="77777777" w:rsidTr="00C972DD">
        <w:trPr>
          <w:cantSplit/>
        </w:trPr>
        <w:tc>
          <w:tcPr>
            <w:tcW w:w="1701" w:type="dxa"/>
            <w:shd w:val="clear" w:color="auto" w:fill="FFFFFF"/>
          </w:tcPr>
          <w:p w14:paraId="2DBE82FE" w14:textId="77777777" w:rsidR="0062578A" w:rsidRPr="0042575D" w:rsidRDefault="0062578A" w:rsidP="00C972DD">
            <w:pPr>
              <w:pStyle w:val="RollCallTable"/>
            </w:pPr>
            <w:r>
              <w:t>The Left</w:t>
            </w:r>
          </w:p>
        </w:tc>
        <w:tc>
          <w:tcPr>
            <w:tcW w:w="7371" w:type="dxa"/>
            <w:shd w:val="clear" w:color="auto" w:fill="FFFFFF"/>
          </w:tcPr>
          <w:p w14:paraId="00B41B6D" w14:textId="77777777" w:rsidR="0062578A" w:rsidRPr="0042575D" w:rsidRDefault="0062578A" w:rsidP="00C972DD">
            <w:pPr>
              <w:pStyle w:val="RollCallTable"/>
            </w:pPr>
            <w:r>
              <w:t>Giuseppe Antoci, Rima Hassan, Anja Hazekamp, Gaetano Pedulla'</w:t>
            </w:r>
          </w:p>
        </w:tc>
      </w:tr>
    </w:tbl>
    <w:p w14:paraId="6CA95553" w14:textId="77777777" w:rsidR="0062578A" w:rsidRPr="0042575D" w:rsidRDefault="0062578A" w:rsidP="0062578A">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62578A" w:rsidRPr="0042575D" w14:paraId="08404CDC" w14:textId="77777777" w:rsidTr="00C972DD">
        <w:trPr>
          <w:cantSplit/>
        </w:trPr>
        <w:tc>
          <w:tcPr>
            <w:tcW w:w="1701" w:type="dxa"/>
            <w:shd w:val="pct10" w:color="000000" w:fill="FFFFFF"/>
            <w:vAlign w:val="center"/>
          </w:tcPr>
          <w:p w14:paraId="373B4C26" w14:textId="77777777" w:rsidR="0062578A" w:rsidRPr="0042575D" w:rsidRDefault="0062578A" w:rsidP="00C972DD">
            <w:pPr>
              <w:pStyle w:val="RollCallVotes"/>
            </w:pPr>
            <w:r>
              <w:t>6</w:t>
            </w:r>
          </w:p>
        </w:tc>
        <w:tc>
          <w:tcPr>
            <w:tcW w:w="7371" w:type="dxa"/>
            <w:shd w:val="pct10" w:color="000000" w:fill="FFFFFF"/>
          </w:tcPr>
          <w:p w14:paraId="78E51AC1" w14:textId="77777777" w:rsidR="0062578A" w:rsidRPr="0042575D" w:rsidRDefault="0062578A" w:rsidP="00C972DD">
            <w:pPr>
              <w:pStyle w:val="RollCallSymbols14pt"/>
            </w:pPr>
            <w:r>
              <w:t>0</w:t>
            </w:r>
          </w:p>
        </w:tc>
      </w:tr>
      <w:tr w:rsidR="0062578A" w:rsidRPr="0042575D" w14:paraId="2DF92FB8" w14:textId="77777777" w:rsidTr="00C972DD">
        <w:trPr>
          <w:cantSplit/>
        </w:trPr>
        <w:tc>
          <w:tcPr>
            <w:tcW w:w="1701" w:type="dxa"/>
            <w:shd w:val="clear" w:color="auto" w:fill="FFFFFF"/>
          </w:tcPr>
          <w:p w14:paraId="25D15962" w14:textId="77777777" w:rsidR="0062578A" w:rsidRPr="0042575D" w:rsidRDefault="0062578A" w:rsidP="00C972DD">
            <w:pPr>
              <w:pStyle w:val="RollCallTable"/>
            </w:pPr>
            <w:r>
              <w:t>Verts/ALE</w:t>
            </w:r>
          </w:p>
        </w:tc>
        <w:tc>
          <w:tcPr>
            <w:tcW w:w="7371" w:type="dxa"/>
            <w:shd w:val="clear" w:color="auto" w:fill="FFFFFF"/>
          </w:tcPr>
          <w:p w14:paraId="6B5EC6B0" w14:textId="77777777" w:rsidR="0062578A" w:rsidRPr="0042575D" w:rsidRDefault="0062578A" w:rsidP="00C972DD">
            <w:pPr>
              <w:pStyle w:val="RollCallTable"/>
            </w:pPr>
            <w:r>
              <w:t>Jaume Asens Llodrà, Saskia Bricmont, Markéta Gregorová, Pär Holmgren, Erik Marquardt, Hannah Neumann</w:t>
            </w:r>
          </w:p>
        </w:tc>
      </w:tr>
    </w:tbl>
    <w:p w14:paraId="053B915F" w14:textId="77777777" w:rsidR="0062578A" w:rsidRDefault="0062578A" w:rsidP="00147FBF">
      <w:pPr>
        <w:pStyle w:val="Normal12a"/>
      </w:pPr>
    </w:p>
    <w:p w14:paraId="5944ACDF" w14:textId="49AA93B1" w:rsidR="0062578A" w:rsidRDefault="0062578A" w:rsidP="00B735E3">
      <w:r>
        <w:t>Význam zkratek:</w:t>
      </w:r>
    </w:p>
    <w:p w14:paraId="3AA8CC2A" w14:textId="42C12580" w:rsidR="0062578A" w:rsidRDefault="0062578A" w:rsidP="003858C5">
      <w:pPr>
        <w:pStyle w:val="RollCallTabs"/>
      </w:pPr>
      <w:r>
        <w:t>+</w:t>
      </w:r>
      <w:r>
        <w:tab/>
        <w:t>:</w:t>
      </w:r>
      <w:r>
        <w:tab/>
        <w:t>pro</w:t>
      </w:r>
    </w:p>
    <w:p w14:paraId="78AD4956" w14:textId="547C296C" w:rsidR="0062578A" w:rsidRDefault="0062578A" w:rsidP="003858C5">
      <w:pPr>
        <w:pStyle w:val="RollCallTabs"/>
      </w:pPr>
      <w:r>
        <w:t>-</w:t>
      </w:r>
      <w:r>
        <w:tab/>
        <w:t>:</w:t>
      </w:r>
      <w:r>
        <w:tab/>
        <w:t>proti</w:t>
      </w:r>
    </w:p>
    <w:p w14:paraId="2AE35F88" w14:textId="5C652D0B" w:rsidR="0062578A" w:rsidRDefault="0062578A" w:rsidP="003858C5">
      <w:pPr>
        <w:pStyle w:val="RollCallTabs"/>
      </w:pPr>
      <w:r>
        <w:t>0</w:t>
      </w:r>
      <w:r>
        <w:tab/>
        <w:t>:</w:t>
      </w:r>
      <w:r>
        <w:tab/>
        <w:t>zdrželi se</w:t>
      </w:r>
    </w:p>
    <w:p w14:paraId="6FD49E79" w14:textId="77777777" w:rsidR="0062578A" w:rsidRDefault="0062578A" w:rsidP="00207509"/>
    <w:bookmarkEnd w:id="2"/>
    <w:p w14:paraId="3B82DE7F" w14:textId="77777777" w:rsidR="00E05697" w:rsidRPr="0062578A" w:rsidRDefault="00E05697" w:rsidP="00711139"/>
    <w:sectPr w:rsidR="00E05697" w:rsidRPr="0062578A" w:rsidSect="0062578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052CA2" w14:textId="77777777" w:rsidR="00440A57" w:rsidRPr="00A9370A" w:rsidRDefault="00440A57">
      <w:r w:rsidRPr="00A9370A">
        <w:separator/>
      </w:r>
    </w:p>
  </w:endnote>
  <w:endnote w:type="continuationSeparator" w:id="0">
    <w:p w14:paraId="4E844F48" w14:textId="77777777" w:rsidR="00440A57" w:rsidRPr="00A9370A" w:rsidRDefault="00440A57">
      <w:r w:rsidRPr="00A937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48ECA" w14:textId="7C10FE94" w:rsidR="00711139" w:rsidRDefault="00711139" w:rsidP="00711139">
    <w:pPr>
      <w:pStyle w:val="EPFooter"/>
    </w:pPr>
    <w:r>
      <w:t>PE</w:t>
    </w:r>
    <w:r w:rsidRPr="00711139">
      <w:rPr>
        <w:rStyle w:val="HideTWBExt"/>
      </w:rPr>
      <w:t>&lt;NoPE&gt;</w:t>
    </w:r>
    <w:r>
      <w:t>765.283</w:t>
    </w:r>
    <w:r w:rsidRPr="00711139">
      <w:rPr>
        <w:rStyle w:val="HideTWBExt"/>
      </w:rPr>
      <w:t>&lt;/NoPE&gt;&lt;Version&gt;</w:t>
    </w:r>
    <w:r>
      <w:t>v02-00</w:t>
    </w:r>
    <w:r w:rsidRPr="00711139">
      <w:rPr>
        <w:rStyle w:val="HideTWBExt"/>
      </w:rPr>
      <w:t>&lt;/Version&gt;</w:t>
    </w:r>
    <w:r>
      <w:tab/>
    </w:r>
    <w:r>
      <w:fldChar w:fldCharType="begin"/>
    </w:r>
    <w:r>
      <w:instrText xml:space="preserve"> PAGE  \* MERGEFORMAT </w:instrText>
    </w:r>
    <w:r>
      <w:fldChar w:fldCharType="separate"/>
    </w:r>
    <w:r w:rsidR="009B0B05">
      <w:rPr>
        <w:noProof/>
      </w:rPr>
      <w:t>6</w:t>
    </w:r>
    <w:r>
      <w:fldChar w:fldCharType="end"/>
    </w:r>
    <w:r>
      <w:t>/</w:t>
    </w:r>
    <w:r w:rsidR="009B0B05">
      <w:fldChar w:fldCharType="begin"/>
    </w:r>
    <w:r w:rsidR="009B0B05">
      <w:instrText xml:space="preserve"> NUMPAGES  \* MERGEFORMAT </w:instrText>
    </w:r>
    <w:r w:rsidR="009B0B05">
      <w:fldChar w:fldCharType="separate"/>
    </w:r>
    <w:r w:rsidR="009B0B05">
      <w:rPr>
        <w:noProof/>
      </w:rPr>
      <w:t>8</w:t>
    </w:r>
    <w:r w:rsidR="009B0B05">
      <w:rPr>
        <w:noProof/>
      </w:rPr>
      <w:fldChar w:fldCharType="end"/>
    </w:r>
    <w:r>
      <w:tab/>
    </w:r>
    <w:r w:rsidRPr="00711139">
      <w:rPr>
        <w:rStyle w:val="HideTWBExt"/>
      </w:rPr>
      <w:t>&lt;PathFdR&gt;</w:t>
    </w:r>
    <w:r>
      <w:t>AD\1313625CS.docx</w:t>
    </w:r>
    <w:r w:rsidRPr="00711139">
      <w:rPr>
        <w:rStyle w:val="HideTWBExt"/>
      </w:rPr>
      <w:t>&lt;/PathFdR&gt;</w:t>
    </w:r>
  </w:p>
  <w:p w14:paraId="564CD1EB" w14:textId="7C9F1A64" w:rsidR="00C75378" w:rsidRPr="00A9370A" w:rsidRDefault="00711139" w:rsidP="00711139">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12999" w14:textId="57774EFF" w:rsidR="00711139" w:rsidRDefault="00711139" w:rsidP="00711139">
    <w:pPr>
      <w:pStyle w:val="EPFooter"/>
    </w:pPr>
    <w:r w:rsidRPr="00711139">
      <w:rPr>
        <w:rStyle w:val="HideTWBExt"/>
      </w:rPr>
      <w:t>&lt;PathFdR&gt;</w:t>
    </w:r>
    <w:r>
      <w:t>AD\1313625CS.docx</w:t>
    </w:r>
    <w:r w:rsidRPr="00711139">
      <w:rPr>
        <w:rStyle w:val="HideTWBExt"/>
      </w:rPr>
      <w:t>&lt;/PathFdR&gt;</w:t>
    </w:r>
    <w:r>
      <w:tab/>
    </w:r>
    <w:r>
      <w:fldChar w:fldCharType="begin"/>
    </w:r>
    <w:r>
      <w:instrText xml:space="preserve"> PAGE  \* MERGEFORMAT </w:instrText>
    </w:r>
    <w:r>
      <w:fldChar w:fldCharType="separate"/>
    </w:r>
    <w:r w:rsidR="009B0B05">
      <w:rPr>
        <w:noProof/>
      </w:rPr>
      <w:t>7</w:t>
    </w:r>
    <w:r>
      <w:fldChar w:fldCharType="end"/>
    </w:r>
    <w:r>
      <w:t>/</w:t>
    </w:r>
    <w:r w:rsidR="009B0B05">
      <w:fldChar w:fldCharType="begin"/>
    </w:r>
    <w:r w:rsidR="009B0B05">
      <w:instrText xml:space="preserve"> NUMPAGES  \* MERGEFORMAT </w:instrText>
    </w:r>
    <w:r w:rsidR="009B0B05">
      <w:fldChar w:fldCharType="separate"/>
    </w:r>
    <w:r w:rsidR="009B0B05">
      <w:rPr>
        <w:noProof/>
      </w:rPr>
      <w:t>8</w:t>
    </w:r>
    <w:r w:rsidR="009B0B05">
      <w:rPr>
        <w:noProof/>
      </w:rPr>
      <w:fldChar w:fldCharType="end"/>
    </w:r>
    <w:r>
      <w:tab/>
      <w:t>PE</w:t>
    </w:r>
    <w:r w:rsidRPr="00711139">
      <w:rPr>
        <w:rStyle w:val="HideTWBExt"/>
      </w:rPr>
      <w:t>&lt;NoPE&gt;</w:t>
    </w:r>
    <w:r>
      <w:t>765.283</w:t>
    </w:r>
    <w:r w:rsidRPr="00711139">
      <w:rPr>
        <w:rStyle w:val="HideTWBExt"/>
      </w:rPr>
      <w:t>&lt;/NoPE&gt;&lt;Version&gt;</w:t>
    </w:r>
    <w:r>
      <w:t>v02-00</w:t>
    </w:r>
    <w:r w:rsidRPr="00711139">
      <w:rPr>
        <w:rStyle w:val="HideTWBExt"/>
      </w:rPr>
      <w:t>&lt;/Version&gt;</w:t>
    </w:r>
  </w:p>
  <w:p w14:paraId="0801AD20" w14:textId="0E341706" w:rsidR="00C75378" w:rsidRPr="00A9370A" w:rsidRDefault="00711139" w:rsidP="00711139">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57DBA" w14:textId="77777777" w:rsidR="00711139" w:rsidRDefault="00711139" w:rsidP="00711139">
    <w:pPr>
      <w:pStyle w:val="EPFooter"/>
    </w:pPr>
    <w:r w:rsidRPr="00711139">
      <w:rPr>
        <w:rStyle w:val="HideTWBExt"/>
      </w:rPr>
      <w:t>&lt;PathFdR&gt;</w:t>
    </w:r>
    <w:r>
      <w:t>AD\1313625CS.docx</w:t>
    </w:r>
    <w:r w:rsidRPr="00711139">
      <w:rPr>
        <w:rStyle w:val="HideTWBExt"/>
      </w:rPr>
      <w:t>&lt;/PathFdR&gt;</w:t>
    </w:r>
    <w:r>
      <w:tab/>
    </w:r>
    <w:r>
      <w:tab/>
      <w:t>PE</w:t>
    </w:r>
    <w:r w:rsidRPr="00711139">
      <w:rPr>
        <w:rStyle w:val="HideTWBExt"/>
      </w:rPr>
      <w:t>&lt;NoPE&gt;</w:t>
    </w:r>
    <w:r>
      <w:t>765.283</w:t>
    </w:r>
    <w:r w:rsidRPr="00711139">
      <w:rPr>
        <w:rStyle w:val="HideTWBExt"/>
      </w:rPr>
      <w:t>&lt;/NoPE&gt;&lt;Version&gt;</w:t>
    </w:r>
    <w:r>
      <w:t>v02-00</w:t>
    </w:r>
    <w:r w:rsidRPr="00711139">
      <w:rPr>
        <w:rStyle w:val="HideTWBExt"/>
      </w:rPr>
      <w:t>&lt;/Version&gt;</w:t>
    </w:r>
  </w:p>
  <w:p w14:paraId="1702D313" w14:textId="6C5BB7C6" w:rsidR="00C75378" w:rsidRPr="00A9370A" w:rsidRDefault="00711139" w:rsidP="00711139">
    <w:pPr>
      <w:pStyle w:val="EPFooter2"/>
    </w:pPr>
    <w:r>
      <w:t>CS</w:t>
    </w:r>
    <w:r>
      <w:tab/>
    </w:r>
    <w:r w:rsidRPr="00711139">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8C7148" w14:textId="77777777" w:rsidR="00440A57" w:rsidRPr="00A9370A" w:rsidRDefault="00440A57">
      <w:r w:rsidRPr="00A9370A">
        <w:separator/>
      </w:r>
    </w:p>
  </w:footnote>
  <w:footnote w:type="continuationSeparator" w:id="0">
    <w:p w14:paraId="34E675B9" w14:textId="77777777" w:rsidR="00440A57" w:rsidRPr="00A9370A" w:rsidRDefault="00440A57">
      <w:r w:rsidRPr="00A9370A">
        <w:continuationSeparator/>
      </w:r>
    </w:p>
  </w:footnote>
  <w:footnote w:id="1">
    <w:p w14:paraId="7516789F" w14:textId="77777777" w:rsidR="0062578A" w:rsidRPr="0042575D" w:rsidRDefault="0062578A" w:rsidP="0062578A">
      <w:pPr>
        <w:pStyle w:val="FootnoteText"/>
        <w:ind w:left="709" w:hanging="709"/>
        <w:rPr>
          <w:sz w:val="24"/>
        </w:rPr>
      </w:pPr>
      <w:r>
        <w:rPr>
          <w:rStyle w:val="FootnoteReference"/>
          <w:sz w:val="24"/>
        </w:rPr>
        <w:footnoteRef/>
      </w:r>
      <w:r>
        <w:tab/>
        <w:t>Usnesení Evropského parlamentu ze dne 25. října 2016 obsahující doporučení Komisi o vytvoření mechanismu EU pro demokracii, právní stát a základní práva (2015/2254(INL)), Úř. věst. C 215, 19.6.2018, s. 162).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A2F78" w14:textId="77777777" w:rsidR="0062578A" w:rsidRDefault="006257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B8F56" w14:textId="77777777" w:rsidR="0062578A" w:rsidRDefault="006257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428CF" w14:textId="77777777" w:rsidR="0062578A" w:rsidRDefault="006257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C5B01EE"/>
    <w:multiLevelType w:val="hybridMultilevel"/>
    <w:tmpl w:val="5C6AA872"/>
    <w:lvl w:ilvl="0" w:tplc="383CA570">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ENCIEMNU" w:val=" 1"/>
    <w:docVar w:name="ATITLEMNU" w:val=" 1"/>
    <w:docVar w:name="AUTHORMFMNU" w:val=" 1"/>
    <w:docVar w:name="COMKEY" w:val="LIBE"/>
    <w:docVar w:name="CONTRIBUTIONMNU" w:val=" 2"/>
    <w:docVar w:name="CopyToNetwork" w:val="-1"/>
    <w:docVar w:name="DOCDT" w:val="12/11/2024"/>
    <w:docVar w:name="FONCTIONMNU" w:val=" 1"/>
    <w:docVar w:name="LastEditedSection" w:val=" 1"/>
    <w:docVar w:name="strDocTypeID" w:val="PA_NonLegDec"/>
    <w:docVar w:name="strSubDir" w:val="1313"/>
    <w:docVar w:name="TITLEMNU" w:val=" 1"/>
    <w:docVar w:name="TXTAUTHOR" w:val="Tomáš Zdechovský"/>
    <w:docVar w:name="TXTBUDYEAR" w:val="2023"/>
    <w:docVar w:name="TXTLANGUE" w:val="CS"/>
    <w:docVar w:name="TXTLANGUEMIN" w:val="cs"/>
    <w:docVar w:name="TXTNRPE" w:val="765.283"/>
    <w:docVar w:name="TXTNRPROC" w:val="2024/2019"/>
    <w:docVar w:name="TXTPEorAP" w:val="PE"/>
    <w:docVar w:name="TXTROUTE" w:val="AD\1313625CS.docx"/>
    <w:docVar w:name="TXTVERSION" w:val="02-00"/>
  </w:docVars>
  <w:rsids>
    <w:rsidRoot w:val="00440A57"/>
    <w:rsid w:val="000048A8"/>
    <w:rsid w:val="00007A18"/>
    <w:rsid w:val="00062634"/>
    <w:rsid w:val="00094395"/>
    <w:rsid w:val="000A05CA"/>
    <w:rsid w:val="000B42A2"/>
    <w:rsid w:val="000B6C4B"/>
    <w:rsid w:val="000D001F"/>
    <w:rsid w:val="000D099F"/>
    <w:rsid w:val="000E6813"/>
    <w:rsid w:val="000F07FE"/>
    <w:rsid w:val="001275F4"/>
    <w:rsid w:val="001A455F"/>
    <w:rsid w:val="001B6005"/>
    <w:rsid w:val="001F2766"/>
    <w:rsid w:val="001F6ED8"/>
    <w:rsid w:val="00212D35"/>
    <w:rsid w:val="00245C7F"/>
    <w:rsid w:val="00271180"/>
    <w:rsid w:val="00280FA6"/>
    <w:rsid w:val="00283907"/>
    <w:rsid w:val="002A4AC9"/>
    <w:rsid w:val="002B2892"/>
    <w:rsid w:val="002C0EE6"/>
    <w:rsid w:val="002C1B2B"/>
    <w:rsid w:val="002C34AE"/>
    <w:rsid w:val="002D2F5D"/>
    <w:rsid w:val="002E2F2E"/>
    <w:rsid w:val="00307C14"/>
    <w:rsid w:val="003707A7"/>
    <w:rsid w:val="00385BAB"/>
    <w:rsid w:val="0039003E"/>
    <w:rsid w:val="00396FA9"/>
    <w:rsid w:val="003B72FC"/>
    <w:rsid w:val="003D684B"/>
    <w:rsid w:val="003E06CF"/>
    <w:rsid w:val="003E35FB"/>
    <w:rsid w:val="003F28B5"/>
    <w:rsid w:val="003F3B83"/>
    <w:rsid w:val="00431E30"/>
    <w:rsid w:val="00440A57"/>
    <w:rsid w:val="00456BFA"/>
    <w:rsid w:val="00487232"/>
    <w:rsid w:val="00495CA4"/>
    <w:rsid w:val="004A34E6"/>
    <w:rsid w:val="004C28FB"/>
    <w:rsid w:val="004E54DC"/>
    <w:rsid w:val="004F48ED"/>
    <w:rsid w:val="00514664"/>
    <w:rsid w:val="0055017A"/>
    <w:rsid w:val="005654C1"/>
    <w:rsid w:val="00577018"/>
    <w:rsid w:val="005779E7"/>
    <w:rsid w:val="005D0786"/>
    <w:rsid w:val="005D5399"/>
    <w:rsid w:val="005E3670"/>
    <w:rsid w:val="005F1ED5"/>
    <w:rsid w:val="00600DC9"/>
    <w:rsid w:val="0062578A"/>
    <w:rsid w:val="00643F39"/>
    <w:rsid w:val="0066728C"/>
    <w:rsid w:val="006819E0"/>
    <w:rsid w:val="00697254"/>
    <w:rsid w:val="006B2775"/>
    <w:rsid w:val="00711139"/>
    <w:rsid w:val="0071319E"/>
    <w:rsid w:val="00722749"/>
    <w:rsid w:val="007A1496"/>
    <w:rsid w:val="00806587"/>
    <w:rsid w:val="008818A9"/>
    <w:rsid w:val="00884C27"/>
    <w:rsid w:val="008A26F4"/>
    <w:rsid w:val="008B3F46"/>
    <w:rsid w:val="008C6240"/>
    <w:rsid w:val="008E7494"/>
    <w:rsid w:val="008F36CD"/>
    <w:rsid w:val="008F7002"/>
    <w:rsid w:val="009200FE"/>
    <w:rsid w:val="0095301E"/>
    <w:rsid w:val="0095497D"/>
    <w:rsid w:val="009669A8"/>
    <w:rsid w:val="00972FD8"/>
    <w:rsid w:val="00977F76"/>
    <w:rsid w:val="0098140C"/>
    <w:rsid w:val="009A33F4"/>
    <w:rsid w:val="009A403C"/>
    <w:rsid w:val="009B0B05"/>
    <w:rsid w:val="009B5265"/>
    <w:rsid w:val="009F3BE3"/>
    <w:rsid w:val="00A2041C"/>
    <w:rsid w:val="00A3132D"/>
    <w:rsid w:val="00A722B1"/>
    <w:rsid w:val="00A8267E"/>
    <w:rsid w:val="00A93570"/>
    <w:rsid w:val="00A9370A"/>
    <w:rsid w:val="00A9617A"/>
    <w:rsid w:val="00AA1A2C"/>
    <w:rsid w:val="00AA223C"/>
    <w:rsid w:val="00AB5759"/>
    <w:rsid w:val="00AC136F"/>
    <w:rsid w:val="00AF77DA"/>
    <w:rsid w:val="00B107A4"/>
    <w:rsid w:val="00B10CA4"/>
    <w:rsid w:val="00B1441B"/>
    <w:rsid w:val="00B24F13"/>
    <w:rsid w:val="00B362F7"/>
    <w:rsid w:val="00BA6A17"/>
    <w:rsid w:val="00BB2AC1"/>
    <w:rsid w:val="00C04938"/>
    <w:rsid w:val="00C175C0"/>
    <w:rsid w:val="00C47E30"/>
    <w:rsid w:val="00C54F53"/>
    <w:rsid w:val="00C57798"/>
    <w:rsid w:val="00C75378"/>
    <w:rsid w:val="00CA0D01"/>
    <w:rsid w:val="00CF7076"/>
    <w:rsid w:val="00D17256"/>
    <w:rsid w:val="00D41244"/>
    <w:rsid w:val="00D438D0"/>
    <w:rsid w:val="00D44697"/>
    <w:rsid w:val="00D47632"/>
    <w:rsid w:val="00D5247F"/>
    <w:rsid w:val="00D625A2"/>
    <w:rsid w:val="00D71751"/>
    <w:rsid w:val="00D759AA"/>
    <w:rsid w:val="00D87606"/>
    <w:rsid w:val="00D95044"/>
    <w:rsid w:val="00DA7632"/>
    <w:rsid w:val="00E01434"/>
    <w:rsid w:val="00E05697"/>
    <w:rsid w:val="00E12435"/>
    <w:rsid w:val="00E275BD"/>
    <w:rsid w:val="00E3462E"/>
    <w:rsid w:val="00E729C7"/>
    <w:rsid w:val="00E77E78"/>
    <w:rsid w:val="00E83B40"/>
    <w:rsid w:val="00E9601C"/>
    <w:rsid w:val="00EA78B3"/>
    <w:rsid w:val="00EB19AA"/>
    <w:rsid w:val="00EC2C85"/>
    <w:rsid w:val="00EF6452"/>
    <w:rsid w:val="00F036E0"/>
    <w:rsid w:val="00F129D0"/>
    <w:rsid w:val="00F12D94"/>
    <w:rsid w:val="00F21110"/>
    <w:rsid w:val="00F447B8"/>
    <w:rsid w:val="00F46E44"/>
    <w:rsid w:val="00F611FC"/>
    <w:rsid w:val="00F61E8C"/>
    <w:rsid w:val="00F644C0"/>
    <w:rsid w:val="00F707AB"/>
    <w:rsid w:val="00F96D53"/>
    <w:rsid w:val="00FB459D"/>
    <w:rsid w:val="00FE4E90"/>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A94D51"/>
  <w15:chartTrackingRefBased/>
  <w15:docId w15:val="{3CF33C41-340F-4F59-BE28-007212290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ListParagraph">
    <w:name w:val="List Paragraph"/>
    <w:basedOn w:val="Normal"/>
    <w:uiPriority w:val="34"/>
    <w:qFormat/>
    <w:rsid w:val="00884C27"/>
    <w:pPr>
      <w:widowControl/>
      <w:ind w:left="720"/>
      <w:contextualSpacing/>
      <w:jc w:val="both"/>
    </w:pPr>
    <w:rPr>
      <w:rFonts w:eastAsiaTheme="minorHAnsi"/>
      <w:szCs w:val="24"/>
      <w:lang w:eastAsia="en-US"/>
    </w:rPr>
  </w:style>
  <w:style w:type="paragraph" w:styleId="Footer">
    <w:name w:val="footer"/>
    <w:basedOn w:val="Normal"/>
    <w:link w:val="FooterChar"/>
    <w:semiHidden/>
    <w:rsid w:val="00B10CA4"/>
    <w:pPr>
      <w:tabs>
        <w:tab w:val="center" w:pos="4513"/>
        <w:tab w:val="right" w:pos="9026"/>
      </w:tabs>
    </w:pPr>
  </w:style>
  <w:style w:type="character" w:customStyle="1" w:styleId="FooterChar">
    <w:name w:val="Footer Char"/>
    <w:basedOn w:val="DefaultParagraphFont"/>
    <w:link w:val="Footer"/>
    <w:semiHidden/>
    <w:rsid w:val="00B10CA4"/>
    <w:rPr>
      <w:sz w:val="24"/>
    </w:rPr>
  </w:style>
  <w:style w:type="character" w:styleId="CommentReference">
    <w:name w:val="annotation reference"/>
    <w:basedOn w:val="DefaultParagraphFont"/>
    <w:rsid w:val="00283907"/>
    <w:rPr>
      <w:sz w:val="16"/>
      <w:szCs w:val="16"/>
    </w:rPr>
  </w:style>
  <w:style w:type="paragraph" w:styleId="CommentText">
    <w:name w:val="annotation text"/>
    <w:basedOn w:val="Normal"/>
    <w:link w:val="CommentTextChar"/>
    <w:rsid w:val="00283907"/>
    <w:rPr>
      <w:sz w:val="20"/>
    </w:rPr>
  </w:style>
  <w:style w:type="character" w:customStyle="1" w:styleId="CommentTextChar">
    <w:name w:val="Comment Text Char"/>
    <w:basedOn w:val="DefaultParagraphFont"/>
    <w:link w:val="CommentText"/>
    <w:rsid w:val="00283907"/>
  </w:style>
  <w:style w:type="paragraph" w:styleId="CommentSubject">
    <w:name w:val="annotation subject"/>
    <w:basedOn w:val="CommentText"/>
    <w:next w:val="CommentText"/>
    <w:link w:val="CommentSubjectChar"/>
    <w:semiHidden/>
    <w:unhideWhenUsed/>
    <w:rsid w:val="00283907"/>
    <w:rPr>
      <w:b/>
      <w:bCs/>
    </w:rPr>
  </w:style>
  <w:style w:type="character" w:customStyle="1" w:styleId="CommentSubjectChar">
    <w:name w:val="Comment Subject Char"/>
    <w:basedOn w:val="CommentTextChar"/>
    <w:link w:val="CommentSubject"/>
    <w:semiHidden/>
    <w:rsid w:val="00283907"/>
    <w:rPr>
      <w:b/>
      <w:bCs/>
    </w:rPr>
  </w:style>
  <w:style w:type="paragraph" w:styleId="BalloonText">
    <w:name w:val="Balloon Text"/>
    <w:basedOn w:val="Normal"/>
    <w:link w:val="BalloonTextChar"/>
    <w:semiHidden/>
    <w:unhideWhenUsed/>
    <w:rsid w:val="00283907"/>
    <w:rPr>
      <w:rFonts w:ascii="Segoe UI" w:hAnsi="Segoe UI" w:cs="Segoe UI"/>
      <w:sz w:val="18"/>
      <w:szCs w:val="18"/>
    </w:rPr>
  </w:style>
  <w:style w:type="character" w:customStyle="1" w:styleId="BalloonTextChar">
    <w:name w:val="Balloon Text Char"/>
    <w:basedOn w:val="DefaultParagraphFont"/>
    <w:link w:val="BalloonText"/>
    <w:semiHidden/>
    <w:rsid w:val="00283907"/>
    <w:rPr>
      <w:rFonts w:ascii="Segoe UI" w:hAnsi="Segoe UI" w:cs="Segoe UI"/>
      <w:sz w:val="18"/>
      <w:szCs w:val="18"/>
    </w:rPr>
  </w:style>
  <w:style w:type="paragraph" w:styleId="FootnoteText">
    <w:name w:val="footnote text"/>
    <w:basedOn w:val="Normal"/>
    <w:link w:val="FootnoteTextChar"/>
    <w:rsid w:val="00F644C0"/>
    <w:rPr>
      <w:sz w:val="20"/>
    </w:rPr>
  </w:style>
  <w:style w:type="character" w:customStyle="1" w:styleId="FootnoteTextChar">
    <w:name w:val="Footnote Text Char"/>
    <w:basedOn w:val="DefaultParagraphFont"/>
    <w:link w:val="FootnoteText"/>
    <w:rsid w:val="00F644C0"/>
  </w:style>
  <w:style w:type="character" w:styleId="FootnoteReference">
    <w:name w:val="footnote reference"/>
    <w:basedOn w:val="DefaultParagraphFont"/>
    <w:rsid w:val="00F644C0"/>
    <w:rPr>
      <w:vertAlign w:val="superscript"/>
    </w:rPr>
  </w:style>
  <w:style w:type="paragraph" w:customStyle="1" w:styleId="RollCallSymbols14pt">
    <w:name w:val="RollCallSymbols14pt"/>
    <w:basedOn w:val="Normal"/>
    <w:rsid w:val="0062578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2578A"/>
    <w:pPr>
      <w:tabs>
        <w:tab w:val="center" w:pos="284"/>
        <w:tab w:val="left" w:pos="426"/>
      </w:tabs>
    </w:pPr>
    <w:rPr>
      <w:snapToGrid w:val="0"/>
      <w:lang w:eastAsia="en-US"/>
    </w:rPr>
  </w:style>
  <w:style w:type="paragraph" w:customStyle="1" w:styleId="RollCallVotes">
    <w:name w:val="RollCallVotes"/>
    <w:basedOn w:val="Normal"/>
    <w:rsid w:val="0062578A"/>
    <w:pPr>
      <w:spacing w:before="120" w:after="120"/>
      <w:jc w:val="center"/>
    </w:pPr>
    <w:rPr>
      <w:b/>
      <w:bCs/>
      <w:snapToGrid w:val="0"/>
      <w:sz w:val="16"/>
      <w:lang w:eastAsia="en-US"/>
    </w:rPr>
  </w:style>
  <w:style w:type="paragraph" w:customStyle="1" w:styleId="RollCallTable">
    <w:name w:val="RollCallTable"/>
    <w:basedOn w:val="Normal"/>
    <w:rsid w:val="0062578A"/>
    <w:pPr>
      <w:spacing w:before="120" w:after="120"/>
    </w:pPr>
    <w:rPr>
      <w:snapToGrid w:val="0"/>
      <w:sz w:val="16"/>
      <w:lang w:eastAsia="en-US"/>
    </w:rPr>
  </w:style>
  <w:style w:type="paragraph" w:customStyle="1" w:styleId="Normal24a">
    <w:name w:val="Normal24a"/>
    <w:basedOn w:val="Normal"/>
    <w:rsid w:val="0062578A"/>
    <w:pPr>
      <w:spacing w:after="480"/>
    </w:pPr>
    <w:rPr>
      <w:szCs w:val="24"/>
    </w:rPr>
  </w:style>
  <w:style w:type="paragraph" w:customStyle="1" w:styleId="NormalBoldCenter">
    <w:name w:val="NormalBoldCenter"/>
    <w:basedOn w:val="Normal"/>
    <w:rsid w:val="0062578A"/>
    <w:pPr>
      <w:jc w:val="center"/>
    </w:pPr>
    <w:rPr>
      <w:b/>
      <w:szCs w:val="24"/>
    </w:rPr>
  </w:style>
  <w:style w:type="paragraph" w:customStyle="1" w:styleId="Footprint12b">
    <w:name w:val="Footprint12b"/>
    <w:basedOn w:val="Normal"/>
    <w:rsid w:val="0062578A"/>
    <w:pPr>
      <w:spacing w:before="240"/>
    </w:pPr>
    <w:rPr>
      <w:szCs w:val="24"/>
    </w:rPr>
  </w:style>
  <w:style w:type="paragraph" w:customStyle="1" w:styleId="NormalSingle">
    <w:name w:val="NormalSingle"/>
    <w:basedOn w:val="Normal"/>
    <w:qFormat/>
    <w:rsid w:val="0062578A"/>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878942">
      <w:bodyDiv w:val="1"/>
      <w:marLeft w:val="0"/>
      <w:marRight w:val="0"/>
      <w:marTop w:val="0"/>
      <w:marBottom w:val="0"/>
      <w:divBdr>
        <w:top w:val="none" w:sz="0" w:space="0" w:color="auto"/>
        <w:left w:val="none" w:sz="0" w:space="0" w:color="auto"/>
        <w:bottom w:val="none" w:sz="0" w:space="0" w:color="auto"/>
        <w:right w:val="none" w:sz="0" w:space="0" w:color="auto"/>
      </w:divBdr>
    </w:div>
    <w:div w:id="158441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CE462-26EE-4864-A9C7-0A6E2194A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1395</Words>
  <Characters>8953</Characters>
  <Application>Microsoft Office Word</Application>
  <DocSecurity>0</DocSecurity>
  <Lines>208</Lines>
  <Paragraphs>84</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10264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subject/>
  <dc:creator>European Parliament</dc:creator>
  <cp:keywords/>
  <dc:description/>
  <cp:lastModifiedBy>European Parliament</cp:lastModifiedBy>
  <cp:revision>2</cp:revision>
  <cp:lastPrinted>2004-10-28T10:33:00Z</cp:lastPrinted>
  <dcterms:created xsi:type="dcterms:W3CDTF">2025-03-07T10:54:00Z</dcterms:created>
  <dcterms:modified xsi:type="dcterms:W3CDTF">2025-03-07T10:54:00Z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10.0.0 Build [20241005]</vt:lpwstr>
  </property>
  <property fmtid="{D5CDD505-2E9C-101B-9397-08002B2CF9AE}" pid="4" name="LastEdited with">
    <vt:lpwstr>10.0.1 Build [20250114]</vt:lpwstr>
  </property>
  <property fmtid="{D5CDD505-2E9C-101B-9397-08002B2CF9AE}" pid="5" name="&lt;FdR&gt;">
    <vt:lpwstr>1313625</vt:lpwstr>
  </property>
  <property fmtid="{D5CDD505-2E9C-101B-9397-08002B2CF9AE}" pid="6" name="&lt;Type&gt;">
    <vt:lpwstr>AD</vt:lpwstr>
  </property>
  <property fmtid="{D5CDD505-2E9C-101B-9397-08002B2CF9AE}" pid="7" name="&lt;ModelCod&gt;">
    <vt:lpwstr>\\eiciBRUpr1\pdocep$\DocEP\DOCS\General\PA\PA_NonLeg\PA_NonLegDec.dotx(08/11/2024 09:44:10)</vt:lpwstr>
  </property>
  <property fmtid="{D5CDD505-2E9C-101B-9397-08002B2CF9AE}" pid="8" name="&lt;ModelTra&gt;">
    <vt:lpwstr>\\eiciBRUpr1\pdocep$\DocEP\TRANSFIL\EN\PA_NonLegDec.EN(11/11/2024 17:01:00)</vt:lpwstr>
  </property>
  <property fmtid="{D5CDD505-2E9C-101B-9397-08002B2CF9AE}" pid="9" name="&lt;Model&gt;">
    <vt:lpwstr>PA_NonLegDec</vt:lpwstr>
  </property>
  <property fmtid="{D5CDD505-2E9C-101B-9397-08002B2CF9AE}" pid="10" name="FooterPath">
    <vt:lpwstr>AD\1313625CS.docx</vt:lpwstr>
  </property>
  <property fmtid="{D5CDD505-2E9C-101B-9397-08002B2CF9AE}" pid="11" name="PE number">
    <vt:lpwstr>765.283</vt:lpwstr>
  </property>
  <property fmtid="{D5CDD505-2E9C-101B-9397-08002B2CF9AE}" pid="12" name="SendToEpades">
    <vt:lpwstr>OK - 2024/11/13 18:05</vt:lpwstr>
  </property>
  <property fmtid="{D5CDD505-2E9C-101B-9397-08002B2CF9AE}" pid="13" name="Bookout">
    <vt:lpwstr>OK - 2025/03/07 11:53</vt:lpwstr>
  </property>
  <property fmtid="{D5CDD505-2E9C-101B-9397-08002B2CF9AE}" pid="14" name="SDLStudio">
    <vt:lpwstr/>
  </property>
</Properties>
</file>