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1041C0" w:rsidTr="00C85D0F">
        <w:trPr>
          <w:trHeight w:hRule="exact" w:val="1418"/>
        </w:trPr>
        <w:tc>
          <w:tcPr>
            <w:tcW w:w="6804" w:type="dxa"/>
            <w:shd w:val="clear" w:color="auto" w:fill="auto"/>
            <w:vAlign w:val="center"/>
          </w:tcPr>
          <w:p w:rsidR="004F48ED" w:rsidRPr="001041C0" w:rsidRDefault="00DA03F4" w:rsidP="00C85D0F">
            <w:pPr>
              <w:pStyle w:val="EPName"/>
            </w:pPr>
            <w:r w:rsidRPr="001041C0">
              <w:t>Evropský parlament</w:t>
            </w:r>
          </w:p>
          <w:p w:rsidR="004F48ED" w:rsidRPr="001041C0" w:rsidRDefault="005D555F" w:rsidP="005D555F">
            <w:pPr>
              <w:pStyle w:val="EPTerm"/>
            </w:pPr>
            <w:r w:rsidRPr="001041C0">
              <w:t>2024-2029</w:t>
            </w:r>
          </w:p>
        </w:tc>
        <w:tc>
          <w:tcPr>
            <w:tcW w:w="2268" w:type="dxa"/>
            <w:shd w:val="clear" w:color="auto" w:fill="auto"/>
          </w:tcPr>
          <w:p w:rsidR="004F48ED" w:rsidRPr="001041C0" w:rsidRDefault="004F48ED" w:rsidP="00C85D0F">
            <w:pPr>
              <w:pStyle w:val="EPLogo"/>
            </w:pPr>
            <w:r w:rsidRPr="001041C0">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9601C" w:rsidRPr="001041C0" w:rsidRDefault="00E9601C" w:rsidP="00E9601C">
      <w:pPr>
        <w:pStyle w:val="LineTop"/>
      </w:pPr>
    </w:p>
    <w:p w:rsidR="00E9601C" w:rsidRPr="001041C0" w:rsidRDefault="00E9601C" w:rsidP="005D555F">
      <w:pPr>
        <w:pStyle w:val="EPBody"/>
      </w:pPr>
      <w:r w:rsidRPr="001041C0">
        <w:rPr>
          <w:rStyle w:val="HideTWBExt"/>
        </w:rPr>
        <w:t>&lt;</w:t>
      </w:r>
      <w:r w:rsidRPr="001041C0">
        <w:rPr>
          <w:rStyle w:val="HideTWBExt"/>
          <w:i w:val="0"/>
        </w:rPr>
        <w:t>Commission</w:t>
      </w:r>
      <w:r w:rsidRPr="001041C0">
        <w:rPr>
          <w:rStyle w:val="HideTWBExt"/>
        </w:rPr>
        <w:t>&gt;</w:t>
      </w:r>
      <w:r w:rsidRPr="001041C0">
        <w:rPr>
          <w:rStyle w:val="HideTWBInt"/>
        </w:rPr>
        <w:t>{LIBE}</w:t>
      </w:r>
      <w:r w:rsidRPr="001041C0">
        <w:t>Výbor pro občanské svobody, spravedlnost</w:t>
      </w:r>
      <w:r w:rsidR="00BD38CD" w:rsidRPr="001041C0">
        <w:t xml:space="preserve"> a </w:t>
      </w:r>
      <w:r w:rsidRPr="001041C0">
        <w:t>vnitřní věci</w:t>
      </w:r>
      <w:r w:rsidRPr="001041C0">
        <w:rPr>
          <w:rStyle w:val="HideTWBExt"/>
        </w:rPr>
        <w:t>&lt;/</w:t>
      </w:r>
      <w:r w:rsidRPr="001041C0">
        <w:rPr>
          <w:rStyle w:val="HideTWBExt"/>
          <w:i w:val="0"/>
        </w:rPr>
        <w:t>Commission</w:t>
      </w:r>
      <w:r w:rsidRPr="001041C0">
        <w:rPr>
          <w:rStyle w:val="HideTWBExt"/>
        </w:rPr>
        <w:t>&gt;</w:t>
      </w:r>
    </w:p>
    <w:p w:rsidR="00E9601C" w:rsidRPr="001041C0" w:rsidRDefault="00E9601C" w:rsidP="00E9601C">
      <w:pPr>
        <w:pStyle w:val="LineBottom"/>
      </w:pPr>
    </w:p>
    <w:p w:rsidR="004E54DC" w:rsidRPr="001041C0" w:rsidRDefault="004E54DC" w:rsidP="005D555F">
      <w:pPr>
        <w:pStyle w:val="CoverReference"/>
      </w:pPr>
      <w:r w:rsidRPr="001041C0">
        <w:rPr>
          <w:rStyle w:val="HideTWBExt"/>
          <w:b w:val="0"/>
        </w:rPr>
        <w:t>&lt;RefProc&gt;</w:t>
      </w:r>
      <w:r w:rsidRPr="001041C0">
        <w:t>2024/2030</w:t>
      </w:r>
      <w:r w:rsidRPr="001041C0">
        <w:rPr>
          <w:rStyle w:val="HideTWBExt"/>
          <w:b w:val="0"/>
        </w:rPr>
        <w:t>&lt;/RefProc&gt;&lt;RefTypeProc&gt;</w:t>
      </w:r>
      <w:r w:rsidRPr="001041C0">
        <w:t>DEC</w:t>
      </w:r>
      <w:r w:rsidRPr="001041C0">
        <w:rPr>
          <w:rStyle w:val="HideTWBExt"/>
          <w:b w:val="0"/>
        </w:rPr>
        <w:t>&lt;/RefTypeProc&gt;</w:t>
      </w:r>
    </w:p>
    <w:p w:rsidR="002E2F2E" w:rsidRPr="001041C0" w:rsidRDefault="002E2F2E" w:rsidP="005D555F">
      <w:pPr>
        <w:pStyle w:val="CoverDate"/>
      </w:pPr>
      <w:r w:rsidRPr="001041C0">
        <w:rPr>
          <w:rStyle w:val="HideTWBExt"/>
        </w:rPr>
        <w:t>&lt;Date&gt;</w:t>
      </w:r>
      <w:r w:rsidRPr="001041C0">
        <w:rPr>
          <w:rStyle w:val="HideTWBInt"/>
        </w:rPr>
        <w:t>{13/02/2025}</w:t>
      </w:r>
      <w:r w:rsidRPr="001041C0">
        <w:t>13.2.2025</w:t>
      </w:r>
      <w:r w:rsidRPr="001041C0">
        <w:rPr>
          <w:rStyle w:val="HideTWBExt"/>
        </w:rPr>
        <w:t>&lt;/Date&gt;</w:t>
      </w:r>
    </w:p>
    <w:p w:rsidR="002E2F2E" w:rsidRPr="001041C0" w:rsidRDefault="002E2F2E">
      <w:pPr>
        <w:pStyle w:val="CoverDocType24a"/>
      </w:pPr>
      <w:r w:rsidRPr="001041C0">
        <w:rPr>
          <w:rStyle w:val="HideTWBExt"/>
          <w:b w:val="0"/>
        </w:rPr>
        <w:t>&lt;TitreType&gt;</w:t>
      </w:r>
      <w:r w:rsidRPr="001041C0">
        <w:t>STANOVISKO</w:t>
      </w:r>
      <w:r w:rsidRPr="001041C0">
        <w:rPr>
          <w:rStyle w:val="HideTWBExt"/>
          <w:b w:val="0"/>
        </w:rPr>
        <w:t>&lt;/TitreType&gt;</w:t>
      </w:r>
    </w:p>
    <w:p w:rsidR="002E2F2E" w:rsidRPr="001041C0" w:rsidRDefault="002E2F2E" w:rsidP="005D555F">
      <w:pPr>
        <w:pStyle w:val="CoverNormal24a"/>
      </w:pPr>
      <w:r w:rsidRPr="001041C0">
        <w:rPr>
          <w:rStyle w:val="HideTWBExt"/>
        </w:rPr>
        <w:t>&lt;CommissionResp&gt;</w:t>
      </w:r>
      <w:r w:rsidRPr="001041C0">
        <w:t>Výboru pro občanské svobody, spravedlnost</w:t>
      </w:r>
      <w:r w:rsidR="00BD38CD" w:rsidRPr="001041C0">
        <w:t xml:space="preserve"> a </w:t>
      </w:r>
      <w:r w:rsidRPr="001041C0">
        <w:t>vnitřní věci</w:t>
      </w:r>
      <w:r w:rsidRPr="001041C0">
        <w:rPr>
          <w:rStyle w:val="HideTWBExt"/>
        </w:rPr>
        <w:t>&lt;/CommissionResp&gt;</w:t>
      </w:r>
    </w:p>
    <w:p w:rsidR="002E2F2E" w:rsidRPr="001041C0" w:rsidRDefault="002E2F2E" w:rsidP="0095497D">
      <w:pPr>
        <w:pStyle w:val="CoverNormal24a"/>
      </w:pPr>
      <w:r w:rsidRPr="001041C0">
        <w:rPr>
          <w:rStyle w:val="HideTWBExt"/>
        </w:rPr>
        <w:t>&lt;CommissionInt&gt;</w:t>
      </w:r>
      <w:r w:rsidRPr="001041C0">
        <w:t>pro Výbor pro rozpočtovou kontrolu</w:t>
      </w:r>
      <w:r w:rsidRPr="001041C0">
        <w:rPr>
          <w:rStyle w:val="HideTWBExt"/>
        </w:rPr>
        <w:t>&lt;/CommissionInt&gt;</w:t>
      </w:r>
    </w:p>
    <w:p w:rsidR="002E2F2E" w:rsidRPr="001041C0" w:rsidRDefault="002E2F2E" w:rsidP="005D555F">
      <w:pPr>
        <w:pStyle w:val="CoverNormal"/>
      </w:pPr>
      <w:r w:rsidRPr="001041C0">
        <w:rPr>
          <w:rStyle w:val="HideTWBExt"/>
        </w:rPr>
        <w:t>&lt;Titre&gt;</w:t>
      </w:r>
      <w:r w:rsidRPr="001041C0">
        <w:t>k udělení absolutoria za plnění rozpočtu agentur Evropské unie na rozpočtový rok 2023</w:t>
      </w:r>
      <w:r w:rsidRPr="001041C0">
        <w:rPr>
          <w:rStyle w:val="HideTWBExt"/>
        </w:rPr>
        <w:t>&lt;/Titre&gt;</w:t>
      </w:r>
    </w:p>
    <w:p w:rsidR="002E2F2E" w:rsidRPr="001041C0" w:rsidRDefault="002E2F2E" w:rsidP="005D555F">
      <w:pPr>
        <w:pStyle w:val="CoverNormal24a"/>
      </w:pPr>
      <w:r w:rsidRPr="001041C0">
        <w:rPr>
          <w:rStyle w:val="HideTWBExt"/>
        </w:rPr>
        <w:t>&lt;DocRef&gt;</w:t>
      </w:r>
      <w:r w:rsidRPr="001041C0">
        <w:t>(2024/2030(DEC))</w:t>
      </w:r>
      <w:r w:rsidRPr="001041C0">
        <w:rPr>
          <w:rStyle w:val="HideTWBExt"/>
        </w:rPr>
        <w:t>&lt;/DocRef&gt;</w:t>
      </w:r>
    </w:p>
    <w:p w:rsidR="002E2F2E" w:rsidRPr="001041C0" w:rsidRDefault="005D555F" w:rsidP="005D555F">
      <w:pPr>
        <w:pStyle w:val="CoverNormal24a"/>
      </w:pPr>
      <w:r w:rsidRPr="001041C0">
        <w:t xml:space="preserve">Zpravodaj: </w:t>
      </w:r>
      <w:r w:rsidRPr="001041C0">
        <w:rPr>
          <w:rStyle w:val="HideTWBExt"/>
        </w:rPr>
        <w:t>&lt;Depute&gt;</w:t>
      </w:r>
      <w:r w:rsidRPr="001041C0">
        <w:t>Tomáš Zdechovský</w:t>
      </w:r>
      <w:r w:rsidRPr="001041C0">
        <w:rPr>
          <w:rStyle w:val="HideTWBExt"/>
        </w:rPr>
        <w:t>&lt;/Depute&gt;</w:t>
      </w:r>
    </w:p>
    <w:p w:rsidR="00977F76" w:rsidRPr="001041C0" w:rsidRDefault="00977F76" w:rsidP="00977F76">
      <w:pPr>
        <w:pStyle w:val="CoverNormal"/>
      </w:pPr>
    </w:p>
    <w:p w:rsidR="002E2F2E" w:rsidRPr="001041C0" w:rsidRDefault="002E2F2E" w:rsidP="00BB2AC1">
      <w:pPr>
        <w:widowControl/>
        <w:tabs>
          <w:tab w:val="center" w:pos="4677"/>
        </w:tabs>
      </w:pPr>
      <w:r w:rsidRPr="001041C0">
        <w:br w:type="page"/>
      </w:r>
      <w:r w:rsidRPr="001041C0">
        <w:lastRenderedPageBreak/>
        <w:t>PA_NonLegDec</w:t>
      </w:r>
    </w:p>
    <w:p w:rsidR="003E06CF" w:rsidRPr="001041C0" w:rsidRDefault="002E2F2E" w:rsidP="003E06CF">
      <w:pPr>
        <w:pStyle w:val="PageHeadingNotTOC"/>
      </w:pPr>
      <w:r w:rsidRPr="001041C0">
        <w:br w:type="page"/>
      </w:r>
      <w:r w:rsidRPr="001041C0">
        <w:lastRenderedPageBreak/>
        <w:t>STANOVISKO</w:t>
      </w:r>
    </w:p>
    <w:p w:rsidR="003E06CF" w:rsidRPr="001041C0" w:rsidRDefault="005D555F" w:rsidP="003E06CF">
      <w:pPr>
        <w:pStyle w:val="Normal12a"/>
      </w:pPr>
      <w:r w:rsidRPr="001041C0">
        <w:t>Výbor pro občanské svobody, spravedlnost</w:t>
      </w:r>
      <w:r w:rsidR="00BD38CD" w:rsidRPr="001041C0">
        <w:t xml:space="preserve"> a </w:t>
      </w:r>
      <w:r w:rsidRPr="001041C0">
        <w:t>vnitřní věci vyzývá Výbor pro rozpočtovou kontrolu jako věcně příslušný výbor, aby do návrhu usnesení, který přijme, začlenil následující body:</w:t>
      </w:r>
    </w:p>
    <w:p w:rsidR="000048A8" w:rsidRPr="001041C0" w:rsidRDefault="000048A8" w:rsidP="003E06CF">
      <w:pPr>
        <w:pStyle w:val="Normal12a"/>
      </w:pPr>
    </w:p>
    <w:p w:rsidR="00832A7B" w:rsidRPr="001041C0" w:rsidRDefault="00832A7B" w:rsidP="00832A7B">
      <w:pPr>
        <w:pStyle w:val="Normal12a"/>
        <w:rPr>
          <w:b/>
          <w:bCs/>
          <w:i/>
          <w:iCs/>
        </w:rPr>
      </w:pPr>
      <w:r w:rsidRPr="001041C0">
        <w:rPr>
          <w:rStyle w:val="HideTWBExt"/>
        </w:rPr>
        <w:t>&lt;RepeatBlock-Dec&gt;</w:t>
      </w:r>
      <w:r w:rsidRPr="001041C0">
        <w:rPr>
          <w:b/>
        </w:rPr>
        <w:t>Část</w:t>
      </w:r>
      <w:r w:rsidR="00BD38CD" w:rsidRPr="001041C0">
        <w:rPr>
          <w:b/>
        </w:rPr>
        <w:t xml:space="preserve"> I </w:t>
      </w:r>
      <w:r w:rsidRPr="001041C0">
        <w:rPr>
          <w:b/>
        </w:rPr>
        <w:t xml:space="preserve">– Udělení absolutoria za plnění rozpočtu Agentury Evropské unie pro justiční </w:t>
      </w:r>
      <w:r w:rsidR="00F20203" w:rsidRPr="001041C0">
        <w:rPr>
          <w:b/>
        </w:rPr>
        <w:t>spolupráci</w:t>
      </w:r>
      <w:r w:rsidR="00BD38CD" w:rsidRPr="001041C0">
        <w:rPr>
          <w:b/>
        </w:rPr>
        <w:t xml:space="preserve"> v </w:t>
      </w:r>
      <w:r w:rsidR="00F20203" w:rsidRPr="001041C0">
        <w:rPr>
          <w:b/>
        </w:rPr>
        <w:t>trestních věcech na</w:t>
      </w:r>
      <w:r w:rsidRPr="001041C0">
        <w:rPr>
          <w:b/>
        </w:rPr>
        <w:t xml:space="preserve"> rozpočtový rok 2023</w:t>
      </w:r>
    </w:p>
    <w:p w:rsidR="00832A7B" w:rsidRPr="001041C0" w:rsidRDefault="00832A7B" w:rsidP="00832A7B"/>
    <w:p w:rsidR="002C2FBE" w:rsidRPr="001041C0" w:rsidRDefault="00832A7B" w:rsidP="002C2FBE">
      <w:pPr>
        <w:spacing w:after="240"/>
      </w:pPr>
      <w:r w:rsidRPr="001041C0">
        <w:t>1.</w:t>
      </w:r>
      <w:r w:rsidRPr="001041C0">
        <w:tab/>
        <w:t>Bere na vědomí, že Účetní dvůr uvedl</w:t>
      </w:r>
      <w:r w:rsidR="00BD38CD" w:rsidRPr="001041C0">
        <w:t xml:space="preserve"> v </w:t>
      </w:r>
      <w:r w:rsidRPr="001041C0">
        <w:t>souvislosti</w:t>
      </w:r>
      <w:r w:rsidR="00BD38CD" w:rsidRPr="001041C0">
        <w:t xml:space="preserve"> s </w:t>
      </w:r>
      <w:r w:rsidRPr="001041C0">
        <w:t>roční účetní závěrkou</w:t>
      </w:r>
      <w:r w:rsidR="00BD38CD" w:rsidRPr="001041C0">
        <w:t xml:space="preserve"> v </w:t>
      </w:r>
      <w:r w:rsidRPr="001041C0">
        <w:t>oddíle Zdůraznění skutečnosti určité informace; bere na vědomí odpověď Agentury Evropské unie pro justiční spolupráci</w:t>
      </w:r>
      <w:r w:rsidR="00BD38CD" w:rsidRPr="001041C0">
        <w:t xml:space="preserve"> v </w:t>
      </w:r>
      <w:r w:rsidRPr="001041C0">
        <w:t>trestních věcech (Eurojust), totiž že vysoká míra opožděných plateb byla způsobena technickými problémy při zpracování transakcí za použití nového rozpočtového, účetního</w:t>
      </w:r>
      <w:r w:rsidR="00BD38CD" w:rsidRPr="001041C0">
        <w:t xml:space="preserve"> a </w:t>
      </w:r>
      <w:r w:rsidRPr="001041C0">
        <w:t>finančního systému SUMMA, který se stále nachází</w:t>
      </w:r>
      <w:r w:rsidR="00BD38CD" w:rsidRPr="001041C0">
        <w:t xml:space="preserve"> v </w:t>
      </w:r>
      <w:r w:rsidRPr="001041C0">
        <w:t>pilotní fázi; vyzývá Eurojust, aby přijal konkrétní opatření</w:t>
      </w:r>
      <w:r w:rsidR="00BD38CD" w:rsidRPr="001041C0">
        <w:t xml:space="preserve"> s </w:t>
      </w:r>
      <w:r w:rsidRPr="001041C0">
        <w:t>cílem minimalizovat zpoždění plateb</w:t>
      </w:r>
      <w:r w:rsidR="00BD38CD" w:rsidRPr="001041C0">
        <w:t xml:space="preserve"> a </w:t>
      </w:r>
      <w:r w:rsidRPr="001041C0">
        <w:t>zajistit plné zavedení systému;</w:t>
      </w:r>
    </w:p>
    <w:p w:rsidR="002C2FBE" w:rsidRPr="001041C0" w:rsidRDefault="002C2FBE" w:rsidP="002C2FBE">
      <w:pPr>
        <w:spacing w:after="240"/>
      </w:pPr>
      <w:r w:rsidRPr="001041C0">
        <w:t>2.</w:t>
      </w:r>
      <w:r w:rsidRPr="001041C0">
        <w:tab/>
        <w:t>vítá navýšení rozpočtu Eurojustu</w:t>
      </w:r>
      <w:r w:rsidR="00BD38CD" w:rsidRPr="001041C0">
        <w:t xml:space="preserve"> v </w:t>
      </w:r>
      <w:r w:rsidRPr="001041C0">
        <w:t>roce 2023</w:t>
      </w:r>
      <w:r w:rsidR="00BD38CD" w:rsidRPr="001041C0">
        <w:t xml:space="preserve"> z </w:t>
      </w:r>
      <w:r w:rsidRPr="001041C0">
        <w:t>67 milionů EUR na 88 milionů EUR (+31 %)</w:t>
      </w:r>
      <w:r w:rsidR="00BD38CD" w:rsidRPr="001041C0">
        <w:t xml:space="preserve"> a </w:t>
      </w:r>
      <w:r w:rsidRPr="001041C0">
        <w:t>počtu jeho zaměstnanců</w:t>
      </w:r>
      <w:r w:rsidR="00BD38CD" w:rsidRPr="001041C0">
        <w:t xml:space="preserve"> z </w:t>
      </w:r>
      <w:r w:rsidRPr="001041C0">
        <w:t>285 na 298 (+5 %); zdůrazňuje, že</w:t>
      </w:r>
      <w:r w:rsidR="00BD38CD" w:rsidRPr="001041C0">
        <w:t xml:space="preserve"> v </w:t>
      </w:r>
      <w:r w:rsidRPr="001041C0">
        <w:t>roce 2023 došlo</w:t>
      </w:r>
      <w:r w:rsidR="00BD38CD" w:rsidRPr="001041C0">
        <w:t xml:space="preserve"> k </w:t>
      </w:r>
      <w:r w:rsidRPr="001041C0">
        <w:t>nárůstu počtu případů, které Eurojust prošetřoval, na více než 13 000, tj.</w:t>
      </w:r>
      <w:r w:rsidR="00BD38CD" w:rsidRPr="001041C0">
        <w:t xml:space="preserve"> k </w:t>
      </w:r>
      <w:r w:rsidRPr="001041C0">
        <w:t>nárůstu</w:t>
      </w:r>
      <w:r w:rsidR="00BD38CD" w:rsidRPr="001041C0">
        <w:t xml:space="preserve"> o </w:t>
      </w:r>
      <w:r w:rsidRPr="001041C0">
        <w:t>14 %; Eurojust kromě toho zorganizoval také 577 koordinačních schůzek</w:t>
      </w:r>
      <w:r w:rsidR="00BD38CD" w:rsidRPr="001041C0">
        <w:t xml:space="preserve"> a </w:t>
      </w:r>
      <w:r w:rsidRPr="001041C0">
        <w:t>vytvořil 21 koordinačních středisek, poskytl právní, odbornou, finanční</w:t>
      </w:r>
      <w:r w:rsidR="00BD38CD" w:rsidRPr="001041C0">
        <w:t xml:space="preserve"> a </w:t>
      </w:r>
      <w:r w:rsidRPr="001041C0">
        <w:t>operativní podporu 288 společným vyšetřovacím týmům, umožnil vykonání 1 259 evropských zatýkacích rozkazů, přispěl</w:t>
      </w:r>
      <w:r w:rsidR="00BD38CD" w:rsidRPr="001041C0">
        <w:t xml:space="preserve"> k </w:t>
      </w:r>
      <w:r w:rsidRPr="001041C0">
        <w:t>zatčení více než 4 200 podezřelých osob</w:t>
      </w:r>
      <w:r w:rsidR="00BD38CD" w:rsidRPr="001041C0">
        <w:t xml:space="preserve"> a k </w:t>
      </w:r>
      <w:r w:rsidRPr="001041C0">
        <w:t>zabavení či zmrazení majetku nabytého</w:t>
      </w:r>
      <w:r w:rsidR="00BD38CD" w:rsidRPr="001041C0">
        <w:t xml:space="preserve"> v </w:t>
      </w:r>
      <w:r w:rsidRPr="001041C0">
        <w:t>důsledku trestné činnosti</w:t>
      </w:r>
      <w:r w:rsidR="00BD38CD" w:rsidRPr="001041C0">
        <w:t xml:space="preserve"> v </w:t>
      </w:r>
      <w:r w:rsidRPr="001041C0">
        <w:t>hodnotě přesahující jednu miliardu EUR, vypracoval 1 013 operativních cílů na podporu příslušných případů (analýz, právních poznámek apod.)</w:t>
      </w:r>
      <w:r w:rsidR="00BD38CD" w:rsidRPr="001041C0">
        <w:t xml:space="preserve"> a </w:t>
      </w:r>
      <w:r w:rsidRPr="001041C0">
        <w:t>umožnil použití 6 299 evropských vyšetřovacích příkazů; bere na vědomí odpověď Eurojustu</w:t>
      </w:r>
      <w:r w:rsidR="00BD38CD" w:rsidRPr="001041C0">
        <w:t xml:space="preserve"> a </w:t>
      </w:r>
      <w:r w:rsidRPr="001041C0">
        <w:t>zdůrazňuje, že agentura přezkoumala postup pro registraci</w:t>
      </w:r>
      <w:r w:rsidR="00BD38CD" w:rsidRPr="001041C0">
        <w:t xml:space="preserve"> a </w:t>
      </w:r>
      <w:r w:rsidRPr="001041C0">
        <w:t xml:space="preserve">hlášení případů nedodržení předpisů; </w:t>
      </w:r>
    </w:p>
    <w:p w:rsidR="002C2FBE" w:rsidRPr="001041C0" w:rsidRDefault="002C2FBE" w:rsidP="002C2FBE">
      <w:pPr>
        <w:spacing w:after="240"/>
      </w:pPr>
      <w:r w:rsidRPr="001041C0">
        <w:t>3.</w:t>
      </w:r>
      <w:r w:rsidRPr="001041C0">
        <w:tab/>
        <w:t>oceňuje snahu Eurojustu</w:t>
      </w:r>
      <w:r w:rsidR="00BD38CD" w:rsidRPr="001041C0">
        <w:t xml:space="preserve"> o </w:t>
      </w:r>
      <w:r w:rsidRPr="001041C0">
        <w:t>digitalizaci justice, zejména</w:t>
      </w:r>
      <w:r w:rsidR="00BD38CD" w:rsidRPr="001041C0">
        <w:t xml:space="preserve"> o </w:t>
      </w:r>
      <w:r w:rsidRPr="001041C0">
        <w:t>zavedení nového systému pro správu případů</w:t>
      </w:r>
      <w:r w:rsidR="00BD38CD" w:rsidRPr="001041C0">
        <w:t xml:space="preserve"> v </w:t>
      </w:r>
      <w:r w:rsidRPr="001041C0">
        <w:t>návaznosti na poslední novelizaci nařízení</w:t>
      </w:r>
      <w:r w:rsidR="00BD38CD" w:rsidRPr="001041C0">
        <w:t xml:space="preserve"> o </w:t>
      </w:r>
      <w:r w:rsidRPr="001041C0">
        <w:t>Eurojustu</w:t>
      </w:r>
      <w:r w:rsidRPr="001041C0">
        <w:rPr>
          <w:vertAlign w:val="superscript"/>
        </w:rPr>
        <w:footnoteReference w:id="1"/>
      </w:r>
      <w:r w:rsidR="00BD38CD" w:rsidRPr="001041C0">
        <w:t xml:space="preserve"> a </w:t>
      </w:r>
      <w:r w:rsidRPr="001041C0">
        <w:t>na uplatňování nové platformy pro spolupráci společných vyšetřovacích týmů</w:t>
      </w:r>
      <w:r w:rsidRPr="001041C0">
        <w:rPr>
          <w:vertAlign w:val="superscript"/>
        </w:rPr>
        <w:footnoteReference w:id="2"/>
      </w:r>
      <w:r w:rsidRPr="001041C0">
        <w:t>, bere na vědomí úlohu Eurojustu coby kontaktního místa pro třetí země</w:t>
      </w:r>
      <w:r w:rsidR="00BD38CD" w:rsidRPr="001041C0">
        <w:t xml:space="preserve"> a </w:t>
      </w:r>
      <w:r w:rsidRPr="001041C0">
        <w:t>mezinárodní organizace, pokud jde</w:t>
      </w:r>
      <w:r w:rsidR="00BD38CD" w:rsidRPr="001041C0">
        <w:t xml:space="preserve"> o </w:t>
      </w:r>
      <w:r w:rsidRPr="001041C0">
        <w:t>žádosti</w:t>
      </w:r>
      <w:r w:rsidR="00BD38CD" w:rsidRPr="001041C0">
        <w:t xml:space="preserve"> o </w:t>
      </w:r>
      <w:r w:rsidRPr="001041C0">
        <w:t>informace ze systému ECRIS-TCN</w:t>
      </w:r>
      <w:r w:rsidR="00BD38CD" w:rsidRPr="001041C0">
        <w:t xml:space="preserve"> v </w:t>
      </w:r>
      <w:r w:rsidRPr="001041C0">
        <w:t>souvislosti</w:t>
      </w:r>
      <w:r w:rsidR="00BD38CD" w:rsidRPr="001041C0">
        <w:t xml:space="preserve"> s </w:t>
      </w:r>
      <w:r w:rsidRPr="001041C0">
        <w:t>trestním řízením;</w:t>
      </w:r>
    </w:p>
    <w:p w:rsidR="002C2FBE" w:rsidRPr="001041C0" w:rsidRDefault="002C2FBE" w:rsidP="002C2FBE">
      <w:pPr>
        <w:spacing w:after="240"/>
      </w:pPr>
      <w:r w:rsidRPr="001041C0">
        <w:t>4.</w:t>
      </w:r>
      <w:r w:rsidRPr="001041C0">
        <w:tab/>
        <w:t>zdůrazňuje, jak je důležité, že Eurojust poskytuje Ukrajině</w:t>
      </w:r>
      <w:r w:rsidR="00BD38CD" w:rsidRPr="001041C0">
        <w:t xml:space="preserve"> i </w:t>
      </w:r>
      <w:r w:rsidRPr="001041C0">
        <w:t>nadále svou podporu tím, že umožňuje společným vyšetřovacím týmům šetřit údajné nejzávažnější mezinárodní zločiny spáchané na Ukrajině, provozuje Databázi důkazů</w:t>
      </w:r>
      <w:r w:rsidR="00BD38CD" w:rsidRPr="001041C0">
        <w:t xml:space="preserve"> o </w:t>
      </w:r>
      <w:r w:rsidRPr="001041C0">
        <w:t>nejzávažnějších mezinárodních zločinech (CICED), která umožňuje ukládat, uchovávat</w:t>
      </w:r>
      <w:r w:rsidR="00BD38CD" w:rsidRPr="001041C0">
        <w:t xml:space="preserve"> a </w:t>
      </w:r>
      <w:r w:rsidRPr="001041C0">
        <w:t>analyzovat důkazy</w:t>
      </w:r>
      <w:r w:rsidR="00BD38CD" w:rsidRPr="001041C0">
        <w:t xml:space="preserve"> o </w:t>
      </w:r>
      <w:r w:rsidRPr="001041C0">
        <w:t>těchto zločinech</w:t>
      </w:r>
      <w:r w:rsidR="00BD38CD" w:rsidRPr="001041C0">
        <w:t xml:space="preserve"> v </w:t>
      </w:r>
      <w:r w:rsidRPr="001041C0">
        <w:t>rámci jediné zabezpečené centrální databáze,</w:t>
      </w:r>
      <w:r w:rsidR="00BD38CD" w:rsidRPr="001041C0">
        <w:t xml:space="preserve"> a </w:t>
      </w:r>
      <w:r w:rsidRPr="001041C0">
        <w:t>tím, že zajišťuje bezpečný způsob přenosu digitálních dat pro účely předávání důkazů</w:t>
      </w:r>
      <w:r w:rsidR="00BD38CD" w:rsidRPr="001041C0">
        <w:t xml:space="preserve"> a </w:t>
      </w:r>
      <w:r w:rsidRPr="001041C0">
        <w:t>jejich analýzy; vítá dále vytvoření Mezinárodního střediska pro stíhání zločinu agrese vůči Ukrajině (ICPA)</w:t>
      </w:r>
      <w:r w:rsidR="00BD38CD" w:rsidRPr="001041C0">
        <w:t xml:space="preserve"> v </w:t>
      </w:r>
      <w:r w:rsidRPr="001041C0">
        <w:t>rámci Eurojustu, jehož cílem je podpořit vnitrostátní vyšetřování</w:t>
      </w:r>
      <w:r w:rsidR="00BD38CD" w:rsidRPr="001041C0">
        <w:t xml:space="preserve"> a </w:t>
      </w:r>
      <w:r w:rsidRPr="001041C0">
        <w:t>dohodnout se na společné strategii pro vyšetřování</w:t>
      </w:r>
      <w:r w:rsidR="00BD38CD" w:rsidRPr="001041C0">
        <w:t xml:space="preserve"> a </w:t>
      </w:r>
      <w:r w:rsidRPr="001041C0">
        <w:t>stíhání</w:t>
      </w:r>
      <w:r w:rsidR="00BD38CD" w:rsidRPr="001041C0">
        <w:t xml:space="preserve"> a </w:t>
      </w:r>
      <w:r w:rsidRPr="001041C0">
        <w:t>aktivně přispět</w:t>
      </w:r>
      <w:r w:rsidR="00BD38CD" w:rsidRPr="001041C0">
        <w:t xml:space="preserve"> k </w:t>
      </w:r>
      <w:r w:rsidRPr="001041C0">
        <w:t>činnosti pracovní skupiny „Freeze and Seize“, aby bylo možné účinně uplatňovat sankce EU</w:t>
      </w:r>
      <w:r w:rsidR="00BD38CD" w:rsidRPr="001041C0">
        <w:t xml:space="preserve"> v </w:t>
      </w:r>
      <w:r w:rsidRPr="001041C0">
        <w:t>celé Evropské unii;</w:t>
      </w:r>
    </w:p>
    <w:p w:rsidR="002C2FBE" w:rsidRPr="001041C0" w:rsidRDefault="002C2FBE" w:rsidP="002C2FBE">
      <w:pPr>
        <w:spacing w:after="240"/>
      </w:pPr>
      <w:r w:rsidRPr="001041C0">
        <w:t>5.</w:t>
      </w:r>
      <w:r w:rsidRPr="001041C0">
        <w:tab/>
        <w:t>s potěšením bere na vědomí intenzivní spolupráci</w:t>
      </w:r>
      <w:r w:rsidR="00BD38CD" w:rsidRPr="001041C0">
        <w:t xml:space="preserve"> s </w:t>
      </w:r>
      <w:r w:rsidRPr="001041C0">
        <w:t>agenturami</w:t>
      </w:r>
      <w:r w:rsidR="00BD38CD" w:rsidRPr="001041C0">
        <w:t xml:space="preserve"> v </w:t>
      </w:r>
      <w:r w:rsidRPr="001041C0">
        <w:t>oblasti spravedlnosti</w:t>
      </w:r>
      <w:r w:rsidR="00BD38CD" w:rsidRPr="001041C0">
        <w:t xml:space="preserve"> a </w:t>
      </w:r>
      <w:r w:rsidRPr="001041C0">
        <w:t>vnitřních věcí, zejména uzavření nového pracovního ujednání</w:t>
      </w:r>
      <w:r w:rsidR="00BD38CD" w:rsidRPr="001041C0">
        <w:t xml:space="preserve"> s </w:t>
      </w:r>
      <w:r w:rsidRPr="001041C0">
        <w:t>Evropským úřadem pro boj proti podvodům (OLAF), otevření 15 nových případů, kdy Eurojust poskytl podporu Úřadu evropského veřejného žalobce (EPPO),</w:t>
      </w:r>
      <w:r w:rsidR="00BD38CD" w:rsidRPr="001041C0">
        <w:t xml:space="preserve"> a </w:t>
      </w:r>
      <w:r w:rsidRPr="001041C0">
        <w:t>spolupráci na 42 případech</w:t>
      </w:r>
      <w:r w:rsidR="00BD38CD" w:rsidRPr="001041C0">
        <w:t xml:space="preserve"> s </w:t>
      </w:r>
      <w:r w:rsidRPr="001041C0">
        <w:t>Agenturou Evropské unie pro spolupráci</w:t>
      </w:r>
      <w:r w:rsidR="00BD38CD" w:rsidRPr="001041C0">
        <w:t xml:space="preserve"> v </w:t>
      </w:r>
      <w:r w:rsidRPr="001041C0">
        <w:t>oblasti prosazování práva (Europol); zdůrazňuje, že Eurojust</w:t>
      </w:r>
      <w:r w:rsidR="00BD38CD" w:rsidRPr="001041C0">
        <w:t xml:space="preserve"> a </w:t>
      </w:r>
      <w:r w:rsidRPr="001041C0">
        <w:t>Europol zahájily pilotní projekt zaměřený na systematickou strukturální výměnu dat pro účely odhalování vazeb, který bude</w:t>
      </w:r>
      <w:r w:rsidR="00BD38CD" w:rsidRPr="001041C0">
        <w:t xml:space="preserve"> v </w:t>
      </w:r>
      <w:r w:rsidRPr="001041C0">
        <w:t>první polovině roku 2024 přezkoumán; vítá akční plán Eurojustu</w:t>
      </w:r>
      <w:r w:rsidR="00BD38CD" w:rsidRPr="001041C0">
        <w:t xml:space="preserve"> a </w:t>
      </w:r>
      <w:r w:rsidRPr="001041C0">
        <w:t>úřadu OLAF na období 2022–2023 pro boj proti trestným činům poškozujícím finanční zájmy Evropské unie;</w:t>
      </w:r>
    </w:p>
    <w:p w:rsidR="002C2FBE" w:rsidRPr="001041C0" w:rsidRDefault="002C2FBE" w:rsidP="002C2FBE">
      <w:pPr>
        <w:spacing w:after="240"/>
      </w:pPr>
      <w:r w:rsidRPr="001041C0">
        <w:t>6.</w:t>
      </w:r>
      <w:r w:rsidRPr="001041C0">
        <w:tab/>
        <w:t>s potěšením bere na vědomí, že Eurojust nadále podporuje Komisi při přezkumu jednání</w:t>
      </w:r>
      <w:r w:rsidR="00BD38CD" w:rsidRPr="001041C0">
        <w:t xml:space="preserve"> o </w:t>
      </w:r>
      <w:r w:rsidRPr="001041C0">
        <w:t>mezinárodních dohodách</w:t>
      </w:r>
      <w:r w:rsidR="00BD38CD" w:rsidRPr="001041C0">
        <w:t xml:space="preserve"> o </w:t>
      </w:r>
      <w:r w:rsidRPr="001041C0">
        <w:t>spolupráci</w:t>
      </w:r>
      <w:r w:rsidR="00BD38CD" w:rsidRPr="001041C0">
        <w:t xml:space="preserve"> s </w:t>
      </w:r>
      <w:r w:rsidRPr="001041C0">
        <w:t>Eurojustem uzavřených mezi Unií</w:t>
      </w:r>
      <w:r w:rsidR="00BD38CD" w:rsidRPr="001041C0">
        <w:t xml:space="preserve"> a </w:t>
      </w:r>
      <w:r w:rsidRPr="001041C0">
        <w:t>13 třetími zeměmi, které Komise vyjednává jménem Unie.</w:t>
      </w:r>
    </w:p>
    <w:p w:rsidR="002C2FBE" w:rsidRPr="001041C0" w:rsidRDefault="002C2FBE" w:rsidP="002C2FBE">
      <w:pPr>
        <w:spacing w:after="240"/>
        <w:rPr>
          <w:b/>
        </w:rPr>
      </w:pPr>
      <w:r w:rsidRPr="001041C0">
        <w:rPr>
          <w:b/>
        </w:rPr>
        <w:t>Část II – Udělení absolutoria za plnění rozpočtu Agentury Evropské unie pro základní práva na rozpočtový rok 2023</w:t>
      </w:r>
    </w:p>
    <w:p w:rsidR="002C2FBE" w:rsidRPr="001041C0" w:rsidRDefault="002C2FBE" w:rsidP="002C2FBE">
      <w:pPr>
        <w:spacing w:after="240"/>
      </w:pPr>
      <w:r w:rsidRPr="001041C0">
        <w:t>1.</w:t>
      </w:r>
      <w:r w:rsidRPr="001041C0">
        <w:tab/>
        <w:t>Bere na vědomí připomínku Účetního dvora, že agentura opakovaně ve vysoké míře přenáší prostředky na operační činnost, konkrétně</w:t>
      </w:r>
      <w:r w:rsidR="00BD38CD" w:rsidRPr="001041C0">
        <w:t xml:space="preserve"> z </w:t>
      </w:r>
      <w:r w:rsidRPr="001041C0">
        <w:t>roku 2023 do roku 2024 přenesla dostupné prostředky na závazky ve výši 6,4 milionu EUR (23 %); konstatuje, že tato částka je nižší než</w:t>
      </w:r>
      <w:r w:rsidR="00BD38CD" w:rsidRPr="001041C0">
        <w:t xml:space="preserve"> v </w:t>
      </w:r>
      <w:r w:rsidRPr="001041C0">
        <w:t>roce 2022, kdy představovala 26 %; vítá skutečnost, že Účetní dvůr oznámil, že operace, na nichž se zakládá účetní závěrka Agentury Evropské unie pro základní práva (FRA) za rozpočtový rok 2023, byly ve všech významných ohledech legální</w:t>
      </w:r>
      <w:r w:rsidR="00BD38CD" w:rsidRPr="001041C0">
        <w:t xml:space="preserve"> a </w:t>
      </w:r>
      <w:r w:rsidRPr="001041C0">
        <w:t>správné; zdůrazňuje, že rozpočet na rok 2023 činil 34 milionů EUR; konstatuje</w:t>
      </w:r>
      <w:r w:rsidR="00BD38CD" w:rsidRPr="001041C0">
        <w:t xml:space="preserve"> a </w:t>
      </w:r>
      <w:r w:rsidRPr="001041C0">
        <w:t>opakuje své znepokojení nad tím, že agentura FRA se</w:t>
      </w:r>
      <w:r w:rsidR="00BD38CD" w:rsidRPr="001041C0">
        <w:t xml:space="preserve"> i </w:t>
      </w:r>
      <w:r w:rsidRPr="001041C0">
        <w:t>nadále potýká</w:t>
      </w:r>
      <w:r w:rsidR="00BD38CD" w:rsidRPr="001041C0">
        <w:t xml:space="preserve"> s </w:t>
      </w:r>
      <w:r w:rsidRPr="001041C0">
        <w:t>finančními</w:t>
      </w:r>
      <w:r w:rsidR="00BD38CD" w:rsidRPr="001041C0">
        <w:t xml:space="preserve"> a </w:t>
      </w:r>
      <w:r w:rsidRPr="001041C0">
        <w:t>personálními omezeními; vítá, že agentura FRA byla schopna plnit své cíle</w:t>
      </w:r>
      <w:r w:rsidR="00BD38CD" w:rsidRPr="001041C0">
        <w:t xml:space="preserve"> a </w:t>
      </w:r>
      <w:r w:rsidRPr="001041C0">
        <w:t>realizovat činnosti stanovené</w:t>
      </w:r>
      <w:r w:rsidR="00BD38CD" w:rsidRPr="001041C0">
        <w:t xml:space="preserve"> v </w:t>
      </w:r>
      <w:r w:rsidRPr="001041C0">
        <w:t>jejím ročním pracovním programu navzdory trvalému nedostatku lidských</w:t>
      </w:r>
      <w:r w:rsidR="00BD38CD" w:rsidRPr="001041C0">
        <w:t xml:space="preserve"> a </w:t>
      </w:r>
      <w:r w:rsidRPr="001041C0">
        <w:t>finančních zdrojů; konstatuje, že počet pořádaných nebo spolupořádaných schůzí</w:t>
      </w:r>
      <w:r w:rsidR="00BD38CD" w:rsidRPr="001041C0">
        <w:t xml:space="preserve"> a </w:t>
      </w:r>
      <w:r w:rsidRPr="001041C0">
        <w:t>akcí činil 421 oproti stanovenému cíli 260</w:t>
      </w:r>
      <w:r w:rsidR="00BD38CD" w:rsidRPr="001041C0">
        <w:t xml:space="preserve"> a </w:t>
      </w:r>
      <w:r w:rsidRPr="001041C0">
        <w:t>že počet komunikačních materiálů činil 1 809 oproti stanovenému cíli 250;</w:t>
      </w:r>
      <w:r w:rsidR="00BD38CD" w:rsidRPr="001041C0">
        <w:t xml:space="preserve"> s </w:t>
      </w:r>
      <w:r w:rsidRPr="001041C0">
        <w:t>uspokojením konstatuje, že agentura vykazuje velmi vysokou míru plnění rozpočtu, která přesahuje 99 %; považuje ji za důležitý ukazatel řádného finančního řízení</w:t>
      </w:r>
      <w:r w:rsidR="00BD38CD" w:rsidRPr="001041C0">
        <w:t xml:space="preserve"> a </w:t>
      </w:r>
      <w:r w:rsidRPr="001041C0">
        <w:t>dodržování rozpočtových zásad; vítá spolupráci</w:t>
      </w:r>
      <w:r w:rsidR="00BD38CD" w:rsidRPr="001041C0">
        <w:t xml:space="preserve"> s </w:t>
      </w:r>
      <w:r w:rsidRPr="001041C0">
        <w:t>dalšími agenturami EU, subjekty EU</w:t>
      </w:r>
      <w:r w:rsidR="00BD38CD" w:rsidRPr="001041C0">
        <w:t xml:space="preserve"> a </w:t>
      </w:r>
      <w:r w:rsidRPr="001041C0">
        <w:t>občanskou společností</w:t>
      </w:r>
      <w:r w:rsidR="00BD38CD" w:rsidRPr="001041C0">
        <w:t xml:space="preserve"> s </w:t>
      </w:r>
      <w:r w:rsidRPr="001041C0">
        <w:t>cílem zajistit dodržování základních práv;</w:t>
      </w:r>
    </w:p>
    <w:p w:rsidR="002C2FBE" w:rsidRPr="001041C0" w:rsidRDefault="002C2FBE" w:rsidP="002C2FBE">
      <w:pPr>
        <w:spacing w:after="240"/>
      </w:pPr>
      <w:r w:rsidRPr="001041C0">
        <w:t>2.</w:t>
      </w:r>
      <w:r w:rsidRPr="001041C0">
        <w:tab/>
        <w:t>zdůrazňuje úlohu agentury FRA jako jednoho</w:t>
      </w:r>
      <w:r w:rsidR="00BD38CD" w:rsidRPr="001041C0">
        <w:t xml:space="preserve"> z </w:t>
      </w:r>
      <w:r w:rsidRPr="001041C0">
        <w:t>hlavních strážců základních práv</w:t>
      </w:r>
      <w:r w:rsidR="00BD38CD" w:rsidRPr="001041C0">
        <w:t xml:space="preserve"> a </w:t>
      </w:r>
      <w:r w:rsidRPr="001041C0">
        <w:t>právního státu, jak je zakotveno</w:t>
      </w:r>
      <w:r w:rsidR="00BD38CD" w:rsidRPr="001041C0">
        <w:t xml:space="preserve"> v </w:t>
      </w:r>
      <w:r w:rsidRPr="001041C0">
        <w:t>Listině základních práv,</w:t>
      </w:r>
      <w:r w:rsidR="00BD38CD" w:rsidRPr="001041C0">
        <w:t xml:space="preserve"> a </w:t>
      </w:r>
      <w:r w:rsidRPr="001041C0">
        <w:t>oceňuje, že agentura podporuje zajišťování dodržování, ochrany</w:t>
      </w:r>
      <w:r w:rsidR="00BD38CD" w:rsidRPr="001041C0">
        <w:t xml:space="preserve"> a </w:t>
      </w:r>
      <w:r w:rsidRPr="001041C0">
        <w:t>naplňování základních práv ve stávajících právních předpisech</w:t>
      </w:r>
      <w:r w:rsidR="00BD38CD" w:rsidRPr="001041C0">
        <w:t xml:space="preserve"> a </w:t>
      </w:r>
      <w:r w:rsidRPr="001041C0">
        <w:t>politikách EU</w:t>
      </w:r>
      <w:r w:rsidR="00BD38CD" w:rsidRPr="001041C0">
        <w:t xml:space="preserve"> v </w:t>
      </w:r>
      <w:r w:rsidRPr="001041C0">
        <w:t>oblasti rovnosti</w:t>
      </w:r>
      <w:r w:rsidR="00BD38CD" w:rsidRPr="001041C0">
        <w:t xml:space="preserve"> a </w:t>
      </w:r>
      <w:r w:rsidRPr="001041C0">
        <w:t>boje proti diskriminaci, jako jsou právní předpisy</w:t>
      </w:r>
      <w:r w:rsidR="00BD38CD" w:rsidRPr="001041C0">
        <w:t xml:space="preserve"> a </w:t>
      </w:r>
      <w:r w:rsidRPr="001041C0">
        <w:t>politiky EU pro boj proti rasismu, antisemitismu</w:t>
      </w:r>
      <w:r w:rsidR="00BD38CD" w:rsidRPr="001041C0">
        <w:t xml:space="preserve"> a </w:t>
      </w:r>
      <w:r w:rsidRPr="001041C0">
        <w:t>islamofobii, že podporuje shromažďování údajů</w:t>
      </w:r>
      <w:r w:rsidR="00BD38CD" w:rsidRPr="001041C0">
        <w:t xml:space="preserve"> o </w:t>
      </w:r>
      <w:r w:rsidRPr="001041C0">
        <w:t>rovnosti</w:t>
      </w:r>
      <w:r w:rsidR="00BD38CD" w:rsidRPr="001041C0">
        <w:t xml:space="preserve"> a </w:t>
      </w:r>
      <w:r w:rsidRPr="001041C0">
        <w:t>provádění strategií pro rovnost</w:t>
      </w:r>
      <w:r w:rsidR="00BD38CD" w:rsidRPr="001041C0">
        <w:t xml:space="preserve"> a </w:t>
      </w:r>
      <w:r w:rsidRPr="001041C0">
        <w:t>boj proti rasismu, jako jsou vnitrostátní strategické rámce pro Romy,</w:t>
      </w:r>
      <w:r w:rsidR="00BD38CD" w:rsidRPr="001041C0">
        <w:t xml:space="preserve"> a </w:t>
      </w:r>
      <w:r w:rsidRPr="001041C0">
        <w:t>poskytuje vstupní informace pro přezkum strategie pro rovnost LGBTIQ osob na období 2020–2025</w:t>
      </w:r>
      <w:r w:rsidR="00BD38CD" w:rsidRPr="001041C0">
        <w:t xml:space="preserve"> v </w:t>
      </w:r>
      <w:r w:rsidRPr="001041C0">
        <w:t>polovině období, chrání občanskou společnost</w:t>
      </w:r>
      <w:r w:rsidR="00BD38CD" w:rsidRPr="001041C0">
        <w:t xml:space="preserve"> a </w:t>
      </w:r>
      <w:r w:rsidRPr="001041C0">
        <w:t>ohrožené obránce lidských práv, podporuje revizi směrnice</w:t>
      </w:r>
      <w:r w:rsidR="00BD38CD" w:rsidRPr="001041C0">
        <w:t xml:space="preserve"> o </w:t>
      </w:r>
      <w:r w:rsidRPr="001041C0">
        <w:t>právech obětí, akčního plánu proti rasismu</w:t>
      </w:r>
      <w:r w:rsidR="00BD38CD" w:rsidRPr="001041C0">
        <w:t xml:space="preserve"> a </w:t>
      </w:r>
      <w:r w:rsidRPr="001041C0">
        <w:t>Strategie EU pro boj proti antisemitismu</w:t>
      </w:r>
      <w:r w:rsidR="00BD38CD" w:rsidRPr="001041C0">
        <w:t xml:space="preserve"> a </w:t>
      </w:r>
      <w:r w:rsidRPr="001041C0">
        <w:t>podporu židovského života</w:t>
      </w:r>
      <w:r w:rsidR="00BD38CD" w:rsidRPr="001041C0">
        <w:t xml:space="preserve"> a </w:t>
      </w:r>
      <w:r w:rsidRPr="001041C0">
        <w:t>poskytuje poradenství ohledně dodržování základních práv, pokud jde</w:t>
      </w:r>
      <w:r w:rsidR="00BD38CD" w:rsidRPr="001041C0">
        <w:t xml:space="preserve"> o </w:t>
      </w:r>
      <w:r w:rsidRPr="001041C0">
        <w:t>vývoj</w:t>
      </w:r>
      <w:r w:rsidR="00BD38CD" w:rsidRPr="001041C0">
        <w:t xml:space="preserve"> a </w:t>
      </w:r>
      <w:r w:rsidRPr="001041C0">
        <w:t>využívání systémů umělé inteligence</w:t>
      </w:r>
      <w:r w:rsidR="00BD38CD" w:rsidRPr="001041C0">
        <w:t xml:space="preserve"> a </w:t>
      </w:r>
      <w:r w:rsidRPr="001041C0">
        <w:t>čerpání</w:t>
      </w:r>
      <w:r w:rsidR="00BD38CD" w:rsidRPr="001041C0">
        <w:t xml:space="preserve"> a </w:t>
      </w:r>
      <w:r w:rsidRPr="001041C0">
        <w:t>využívání finančních prostředků EU;</w:t>
      </w:r>
    </w:p>
    <w:p w:rsidR="002C2FBE" w:rsidRPr="001041C0" w:rsidRDefault="002C2FBE" w:rsidP="002C2FBE">
      <w:pPr>
        <w:spacing w:after="240"/>
      </w:pPr>
      <w:r w:rsidRPr="001041C0">
        <w:t>3.</w:t>
      </w:r>
      <w:r w:rsidRPr="001041C0">
        <w:tab/>
        <w:t>poukazuje na pokyny agentury FRA</w:t>
      </w:r>
      <w:r w:rsidR="00BD38CD" w:rsidRPr="001041C0">
        <w:t xml:space="preserve"> a </w:t>
      </w:r>
      <w:r w:rsidRPr="001041C0">
        <w:t>na její angažovanost</w:t>
      </w:r>
      <w:r w:rsidR="00BD38CD" w:rsidRPr="001041C0">
        <w:t xml:space="preserve"> v </w:t>
      </w:r>
      <w:r w:rsidRPr="001041C0">
        <w:t>oblasti azylu</w:t>
      </w:r>
      <w:r w:rsidR="00BD38CD" w:rsidRPr="001041C0">
        <w:t xml:space="preserve"> a </w:t>
      </w:r>
      <w:r w:rsidRPr="001041C0">
        <w:t>migrace, správy hranic</w:t>
      </w:r>
      <w:r w:rsidR="00BD38CD" w:rsidRPr="001041C0">
        <w:t xml:space="preserve"> a </w:t>
      </w:r>
      <w:r w:rsidRPr="001041C0">
        <w:t>interoperability</w:t>
      </w:r>
      <w:r w:rsidR="00BD38CD" w:rsidRPr="001041C0">
        <w:t xml:space="preserve"> a </w:t>
      </w:r>
      <w:r w:rsidRPr="001041C0">
        <w:t>její důležité zaměření na základní práva, mezinárodní závazky členských států</w:t>
      </w:r>
      <w:r w:rsidR="00BD38CD" w:rsidRPr="001041C0">
        <w:t xml:space="preserve"> a </w:t>
      </w:r>
      <w:r w:rsidRPr="001041C0">
        <w:t>právo EU</w:t>
      </w:r>
      <w:r w:rsidR="00BD38CD" w:rsidRPr="001041C0">
        <w:t xml:space="preserve"> v </w:t>
      </w:r>
      <w:r w:rsidRPr="001041C0">
        <w:t>oblasti lidských práv</w:t>
      </w:r>
      <w:r w:rsidR="00BD38CD" w:rsidRPr="001041C0">
        <w:t xml:space="preserve"> v </w:t>
      </w:r>
      <w:r w:rsidRPr="001041C0">
        <w:t>této oblasti, mj. na její spolupráci</w:t>
      </w:r>
      <w:r w:rsidR="00BD38CD" w:rsidRPr="001041C0">
        <w:t xml:space="preserve"> s </w:t>
      </w:r>
      <w:r w:rsidRPr="001041C0">
        <w:t>Agenturou Evropské unie pro otázky azylu (EUAA) při rozšiřování povědomí</w:t>
      </w:r>
      <w:r w:rsidR="00BD38CD" w:rsidRPr="001041C0">
        <w:t xml:space="preserve"> o </w:t>
      </w:r>
      <w:r w:rsidRPr="001041C0">
        <w:t>důležitosti opatrovníků</w:t>
      </w:r>
      <w:r w:rsidR="00BD38CD" w:rsidRPr="001041C0">
        <w:t xml:space="preserve"> a </w:t>
      </w:r>
      <w:r w:rsidRPr="001041C0">
        <w:t>právních zástupců pomáhajících dětem bez doprovodu, které žádají</w:t>
      </w:r>
      <w:r w:rsidR="00BD38CD" w:rsidRPr="001041C0">
        <w:t xml:space="preserve"> o </w:t>
      </w:r>
      <w:r w:rsidRPr="001041C0">
        <w:t>mezinárodní ochranu</w:t>
      </w:r>
      <w:r w:rsidR="00BD38CD" w:rsidRPr="001041C0">
        <w:t xml:space="preserve"> v </w:t>
      </w:r>
      <w:r w:rsidRPr="001041C0">
        <w:t>Unii,</w:t>
      </w:r>
      <w:r w:rsidR="00BD38CD" w:rsidRPr="001041C0">
        <w:t xml:space="preserve"> a </w:t>
      </w:r>
      <w:r w:rsidRPr="001041C0">
        <w:t>poukazuje také na to, že agentura zajišťuje proškolování zaměstnanců Europolu, které je zaměřeno na rozšiřování povědomí</w:t>
      </w:r>
      <w:r w:rsidR="00BD38CD" w:rsidRPr="001041C0">
        <w:t xml:space="preserve"> o </w:t>
      </w:r>
      <w:r w:rsidRPr="001041C0">
        <w:t>problematice základních práv</w:t>
      </w:r>
      <w:r w:rsidR="00BD38CD" w:rsidRPr="001041C0">
        <w:t xml:space="preserve"> v </w:t>
      </w:r>
      <w:r w:rsidRPr="001041C0">
        <w:t>příslušném operativním kontextu</w:t>
      </w:r>
      <w:r w:rsidR="00BD38CD" w:rsidRPr="001041C0">
        <w:t xml:space="preserve"> a </w:t>
      </w:r>
      <w:r w:rsidRPr="001041C0">
        <w:t>na získávání poznatků</w:t>
      </w:r>
      <w:r w:rsidR="00BD38CD" w:rsidRPr="001041C0">
        <w:t xml:space="preserve"> v </w:t>
      </w:r>
      <w:r w:rsidRPr="001041C0">
        <w:t>této oblasti; vítá, že agentura včas přispěla</w:t>
      </w:r>
      <w:r w:rsidR="00BD38CD" w:rsidRPr="001041C0">
        <w:t xml:space="preserve"> k </w:t>
      </w:r>
      <w:r w:rsidRPr="001041C0">
        <w:t>provádění směrnice</w:t>
      </w:r>
      <w:r w:rsidR="00BD38CD" w:rsidRPr="001041C0">
        <w:t xml:space="preserve"> o </w:t>
      </w:r>
      <w:r w:rsidRPr="001041C0">
        <w:t>dočasné ochraně</w:t>
      </w:r>
      <w:r w:rsidR="00BD38CD" w:rsidRPr="001041C0">
        <w:t xml:space="preserve"> v </w:t>
      </w:r>
      <w:r w:rsidRPr="001041C0">
        <w:t>souvislosti</w:t>
      </w:r>
      <w:r w:rsidR="00BD38CD" w:rsidRPr="001041C0">
        <w:t xml:space="preserve"> s </w:t>
      </w:r>
      <w:r w:rsidRPr="001041C0">
        <w:t>uprchlíky</w:t>
      </w:r>
      <w:r w:rsidR="00BD38CD" w:rsidRPr="001041C0">
        <w:t xml:space="preserve"> z </w:t>
      </w:r>
      <w:r w:rsidRPr="001041C0">
        <w:t>Ukrajiny</w:t>
      </w:r>
      <w:r w:rsidR="00BD38CD" w:rsidRPr="001041C0">
        <w:t xml:space="preserve"> a </w:t>
      </w:r>
      <w:r w:rsidRPr="001041C0">
        <w:t>že pomohla identifikovat problémy, pokud jde</w:t>
      </w:r>
      <w:r w:rsidR="00BD38CD" w:rsidRPr="001041C0">
        <w:t xml:space="preserve"> o </w:t>
      </w:r>
      <w:r w:rsidRPr="001041C0">
        <w:t>provádění právních předpisů Unie týkajících se dlouhodobého pobytu,</w:t>
      </w:r>
      <w:r w:rsidR="00BD38CD" w:rsidRPr="001041C0">
        <w:t xml:space="preserve"> a </w:t>
      </w:r>
      <w:r w:rsidRPr="001041C0">
        <w:t>dále vítá, že přispěla ke zjištění nedostatků ve vízovém kodexu</w:t>
      </w:r>
      <w:r w:rsidR="00BD38CD" w:rsidRPr="001041C0">
        <w:t xml:space="preserve"> a </w:t>
      </w:r>
      <w:r w:rsidRPr="001041C0">
        <w:t>vypracovala seznam kroků, které může Unie</w:t>
      </w:r>
      <w:r w:rsidR="00BD38CD" w:rsidRPr="001041C0">
        <w:t xml:space="preserve"> a </w:t>
      </w:r>
      <w:r w:rsidRPr="001041C0">
        <w:t>její členské státy přijmout</w:t>
      </w:r>
      <w:r w:rsidR="00BD38CD" w:rsidRPr="001041C0">
        <w:t xml:space="preserve"> k </w:t>
      </w:r>
      <w:r w:rsidRPr="001041C0">
        <w:t xml:space="preserve">omezení smrtelných nehod na moři; </w:t>
      </w:r>
    </w:p>
    <w:p w:rsidR="002C2FBE" w:rsidRPr="001041C0" w:rsidRDefault="002C2FBE" w:rsidP="002C2FBE">
      <w:pPr>
        <w:spacing w:after="240"/>
      </w:pPr>
      <w:r w:rsidRPr="001041C0">
        <w:t>4.</w:t>
      </w:r>
      <w:r w:rsidRPr="001041C0">
        <w:tab/>
        <w:t>vítá příspěvek agentury</w:t>
      </w:r>
      <w:r w:rsidR="00BD38CD" w:rsidRPr="001041C0">
        <w:t xml:space="preserve"> k </w:t>
      </w:r>
      <w:r w:rsidRPr="001041C0">
        <w:t>hodnocení nařízení</w:t>
      </w:r>
      <w:r w:rsidR="00BD38CD" w:rsidRPr="001041C0">
        <w:t xml:space="preserve"> o </w:t>
      </w:r>
      <w:r w:rsidRPr="001041C0">
        <w:t>Evropské pohraniční</w:t>
      </w:r>
      <w:r w:rsidR="00BD38CD" w:rsidRPr="001041C0">
        <w:t xml:space="preserve"> a </w:t>
      </w:r>
      <w:r w:rsidRPr="001041C0">
        <w:t>pobřežní stráži</w:t>
      </w:r>
      <w:r w:rsidRPr="001041C0">
        <w:rPr>
          <w:rStyle w:val="FootnoteReference"/>
        </w:rPr>
        <w:footnoteReference w:id="3"/>
      </w:r>
      <w:r w:rsidRPr="001041C0">
        <w:t>, její účast na zasedáních řídicí rady Evropské agentury pro pohraniční</w:t>
      </w:r>
      <w:r w:rsidR="00BD38CD" w:rsidRPr="001041C0">
        <w:t xml:space="preserve"> a </w:t>
      </w:r>
      <w:r w:rsidRPr="001041C0">
        <w:t>pobřežní stráž (Frontex)</w:t>
      </w:r>
      <w:r w:rsidR="00BD38CD" w:rsidRPr="001041C0">
        <w:t xml:space="preserve"> a </w:t>
      </w:r>
      <w:r w:rsidRPr="001041C0">
        <w:t>skutečnost, že spolupředsedá poradnímu fóru agentury Frontex pro základní práva</w:t>
      </w:r>
      <w:r w:rsidR="00BD38CD" w:rsidRPr="001041C0">
        <w:t xml:space="preserve"> a </w:t>
      </w:r>
      <w:r w:rsidRPr="001041C0">
        <w:t>spolupracuje</w:t>
      </w:r>
      <w:r w:rsidR="00BD38CD" w:rsidRPr="001041C0">
        <w:t xml:space="preserve"> s </w:t>
      </w:r>
      <w:r w:rsidRPr="001041C0">
        <w:t xml:space="preserve">oddělením agentury Frontex pro otázky základních práv; </w:t>
      </w:r>
    </w:p>
    <w:p w:rsidR="002C2FBE" w:rsidRPr="001041C0" w:rsidRDefault="002C2FBE" w:rsidP="002C2FBE">
      <w:pPr>
        <w:spacing w:after="240"/>
      </w:pPr>
      <w:r w:rsidRPr="001041C0">
        <w:t>5.</w:t>
      </w:r>
      <w:r w:rsidRPr="001041C0">
        <w:tab/>
        <w:t>s uspokojením konstatuje, že agentura FRA poskytla na podporu činnosti dalších agentur EU působících</w:t>
      </w:r>
      <w:r w:rsidR="00BD38CD" w:rsidRPr="001041C0">
        <w:t xml:space="preserve"> v </w:t>
      </w:r>
      <w:r w:rsidRPr="001041C0">
        <w:t>oblasti spravedlnosti</w:t>
      </w:r>
      <w:r w:rsidR="00BD38CD" w:rsidRPr="001041C0">
        <w:t xml:space="preserve"> a </w:t>
      </w:r>
      <w:r w:rsidRPr="001041C0">
        <w:t>vnitřních věcí, mj. Agentury EU pro azyl, agentury Frontex, Europolu, Agentury Evropské unie pro provozní řízení rozsáhlých informačních systémů</w:t>
      </w:r>
      <w:r w:rsidR="00BD38CD" w:rsidRPr="001041C0">
        <w:t xml:space="preserve"> v </w:t>
      </w:r>
      <w:r w:rsidRPr="001041C0">
        <w:t>prostoru svobody, bezpečnosti</w:t>
      </w:r>
      <w:r w:rsidR="00BD38CD" w:rsidRPr="001041C0">
        <w:t xml:space="preserve"> a </w:t>
      </w:r>
      <w:r w:rsidRPr="001041C0">
        <w:t>práva (eu-LISA)</w:t>
      </w:r>
      <w:r w:rsidR="00BD38CD" w:rsidRPr="001041C0">
        <w:t xml:space="preserve"> a </w:t>
      </w:r>
      <w:r w:rsidRPr="001041C0">
        <w:t>Agentury Evropské unie pro vzdělávání</w:t>
      </w:r>
      <w:r w:rsidR="00BD38CD" w:rsidRPr="001041C0">
        <w:t xml:space="preserve"> a </w:t>
      </w:r>
      <w:r w:rsidRPr="001041C0">
        <w:t>výcvik</w:t>
      </w:r>
      <w:r w:rsidR="00BD38CD" w:rsidRPr="001041C0">
        <w:t xml:space="preserve"> v </w:t>
      </w:r>
      <w:r w:rsidRPr="001041C0">
        <w:t>oblasti prosazování práva (CEPOL), analýzu problematiky základních práv</w:t>
      </w:r>
      <w:r w:rsidR="00BD38CD" w:rsidRPr="001041C0">
        <w:t xml:space="preserve"> a </w:t>
      </w:r>
      <w:r w:rsidRPr="001041C0">
        <w:t>své odborné zkušenosti; vítá, že agentura FRA</w:t>
      </w:r>
      <w:r w:rsidR="00BD38CD" w:rsidRPr="001041C0">
        <w:t xml:space="preserve"> v </w:t>
      </w:r>
      <w:r w:rsidRPr="001041C0">
        <w:t>roce 2023</w:t>
      </w:r>
      <w:r w:rsidR="00F20203" w:rsidRPr="001041C0">
        <w:t> </w:t>
      </w:r>
      <w:r w:rsidRPr="001041C0">
        <w:t>přispěla</w:t>
      </w:r>
      <w:r w:rsidR="00BD38CD" w:rsidRPr="001041C0">
        <w:t xml:space="preserve"> k </w:t>
      </w:r>
      <w:r w:rsidRPr="001041C0">
        <w:t>důslednějšímu dodržování základních práv, mimo jiné tím, že poskytovala poradenství ohledně fondů EU</w:t>
      </w:r>
      <w:r w:rsidR="00BD38CD" w:rsidRPr="001041C0">
        <w:t xml:space="preserve"> a </w:t>
      </w:r>
      <w:r w:rsidRPr="001041C0">
        <w:t>řešila výzvy, které představují nové technologie; vyzývá agenturu FRA, aby zjistila, jakým způsobem jsou právní stát</w:t>
      </w:r>
      <w:r w:rsidR="00BD38CD" w:rsidRPr="001041C0">
        <w:t xml:space="preserve"> a </w:t>
      </w:r>
      <w:r w:rsidRPr="001041C0">
        <w:t>základní práva neoddělitelně spjaty</w:t>
      </w:r>
      <w:r w:rsidR="00BD38CD" w:rsidRPr="001041C0">
        <w:t xml:space="preserve"> a </w:t>
      </w:r>
      <w:r w:rsidRPr="001041C0">
        <w:t>jak by její práce mohla být začleněna nebo rozvíjena</w:t>
      </w:r>
      <w:r w:rsidR="00BD38CD" w:rsidRPr="001041C0">
        <w:t xml:space="preserve"> v </w:t>
      </w:r>
      <w:r w:rsidRPr="001041C0">
        <w:t>součinnosti</w:t>
      </w:r>
      <w:r w:rsidR="00BD38CD" w:rsidRPr="001041C0">
        <w:t xml:space="preserve"> s </w:t>
      </w:r>
      <w:r w:rsidRPr="001041C0">
        <w:t>prací Evropské komise</w:t>
      </w:r>
      <w:r w:rsidR="00BD38CD" w:rsidRPr="001041C0">
        <w:t xml:space="preserve"> v </w:t>
      </w:r>
      <w:r w:rsidRPr="001041C0">
        <w:t>rámci výroční zprávy</w:t>
      </w:r>
      <w:r w:rsidR="00BD38CD" w:rsidRPr="001041C0">
        <w:t xml:space="preserve"> o </w:t>
      </w:r>
      <w:r w:rsidRPr="001041C0">
        <w:t xml:space="preserve">právním státu; </w:t>
      </w:r>
    </w:p>
    <w:p w:rsidR="002C2FBE" w:rsidRPr="001041C0" w:rsidRDefault="002C2FBE" w:rsidP="002C2FBE">
      <w:pPr>
        <w:spacing w:after="240"/>
      </w:pPr>
      <w:r w:rsidRPr="001041C0">
        <w:t>6.</w:t>
      </w:r>
      <w:r w:rsidRPr="001041C0">
        <w:tab/>
        <w:t>vítá spolupráci agentury</w:t>
      </w:r>
      <w:r w:rsidR="00BD38CD" w:rsidRPr="001041C0">
        <w:t xml:space="preserve"> s </w:t>
      </w:r>
      <w:r w:rsidRPr="001041C0">
        <w:t>Agenturou Evropské unie pro kybernetickou bezpečnost (ENISA), pokud jde</w:t>
      </w:r>
      <w:r w:rsidR="00BD38CD" w:rsidRPr="001041C0">
        <w:t xml:space="preserve"> o </w:t>
      </w:r>
      <w:r w:rsidRPr="001041C0">
        <w:t>ochranu soukromí</w:t>
      </w:r>
      <w:r w:rsidR="00BD38CD" w:rsidRPr="001041C0">
        <w:t xml:space="preserve"> a </w:t>
      </w:r>
      <w:r w:rsidRPr="001041C0">
        <w:t>osobních údajů při vypracovávání</w:t>
      </w:r>
      <w:r w:rsidR="00BD38CD" w:rsidRPr="001041C0">
        <w:t xml:space="preserve"> a </w:t>
      </w:r>
      <w:r w:rsidRPr="001041C0">
        <w:t>realizaci iniciativ</w:t>
      </w:r>
      <w:r w:rsidR="00BD38CD" w:rsidRPr="001041C0">
        <w:t xml:space="preserve"> v </w:t>
      </w:r>
      <w:r w:rsidRPr="001041C0">
        <w:t>oblasti kybernetické bezpečnosti,</w:t>
      </w:r>
      <w:r w:rsidR="00BD38CD" w:rsidRPr="001041C0">
        <w:t xml:space="preserve"> a </w:t>
      </w:r>
      <w:r w:rsidRPr="001041C0">
        <w:t>její spolupráci</w:t>
      </w:r>
      <w:r w:rsidR="00BD38CD" w:rsidRPr="001041C0">
        <w:t xml:space="preserve"> s </w:t>
      </w:r>
      <w:r w:rsidRPr="001041C0">
        <w:t>agenturou eu-LISA, pokud jde</w:t>
      </w:r>
      <w:r w:rsidR="00BD38CD" w:rsidRPr="001041C0">
        <w:t xml:space="preserve"> o </w:t>
      </w:r>
      <w:r w:rsidRPr="001041C0">
        <w:t>záruku toho, že se při navrhování</w:t>
      </w:r>
      <w:r w:rsidR="00BD38CD" w:rsidRPr="001041C0">
        <w:t xml:space="preserve"> a </w:t>
      </w:r>
      <w:r w:rsidRPr="001041C0">
        <w:t>používání systémů IT dodržují normy týkající se základních práv.</w:t>
      </w:r>
    </w:p>
    <w:p w:rsidR="002C2FBE" w:rsidRPr="001041C0" w:rsidRDefault="002C2FBE" w:rsidP="002C2FBE">
      <w:pPr>
        <w:spacing w:after="240"/>
        <w:rPr>
          <w:b/>
        </w:rPr>
      </w:pPr>
      <w:r w:rsidRPr="001041C0">
        <w:rPr>
          <w:b/>
        </w:rPr>
        <w:t>Část III – Udělení absolutoria za plnění rozpočtu Agentury Evropské unie pro otázky azylu na rozpočtový rok 2023</w:t>
      </w:r>
    </w:p>
    <w:p w:rsidR="002C2FBE" w:rsidRPr="001041C0" w:rsidRDefault="002C2FBE" w:rsidP="002C2FBE">
      <w:pPr>
        <w:spacing w:after="240"/>
      </w:pPr>
      <w:r w:rsidRPr="001041C0">
        <w:t>1.</w:t>
      </w:r>
      <w:r w:rsidRPr="001041C0">
        <w:tab/>
        <w:t>Konstatuje, že</w:t>
      </w:r>
      <w:r w:rsidR="00BD38CD" w:rsidRPr="001041C0">
        <w:t xml:space="preserve"> v </w:t>
      </w:r>
      <w:r w:rsidRPr="001041C0">
        <w:t>roce 2023 bylo ve 29 zemích EU+ podáno více než 1,1 milionu žádostí</w:t>
      </w:r>
      <w:r w:rsidR="00BD38CD" w:rsidRPr="001041C0">
        <w:t xml:space="preserve"> o </w:t>
      </w:r>
      <w:r w:rsidRPr="001041C0">
        <w:t>mezinárodní ochranu (ve srovnání</w:t>
      </w:r>
      <w:r w:rsidR="00BD38CD" w:rsidRPr="001041C0">
        <w:t xml:space="preserve"> s </w:t>
      </w:r>
      <w:r w:rsidRPr="001041C0">
        <w:t>rokem 2022 jde</w:t>
      </w:r>
      <w:r w:rsidR="00BD38CD" w:rsidRPr="001041C0">
        <w:t xml:space="preserve"> o </w:t>
      </w:r>
      <w:r w:rsidRPr="001041C0">
        <w:t>nárůst</w:t>
      </w:r>
      <w:r w:rsidR="00BD38CD" w:rsidRPr="001041C0">
        <w:t xml:space="preserve"> o </w:t>
      </w:r>
      <w:r w:rsidRPr="001041C0">
        <w:t>18 %)</w:t>
      </w:r>
      <w:r w:rsidR="00BD38CD" w:rsidRPr="001041C0">
        <w:t xml:space="preserve"> a </w:t>
      </w:r>
      <w:r w:rsidRPr="001041C0">
        <w:t>vydán více než 1 milion rozhodnutí</w:t>
      </w:r>
      <w:r w:rsidR="00BD38CD" w:rsidRPr="001041C0">
        <w:t xml:space="preserve"> o </w:t>
      </w:r>
      <w:r w:rsidRPr="001041C0">
        <w:t>poskytnutí dočasné ochrany; poukazuje na významnou podporu, kterou</w:t>
      </w:r>
      <w:r w:rsidR="00BD38CD" w:rsidRPr="001041C0">
        <w:t xml:space="preserve"> v </w:t>
      </w:r>
      <w:r w:rsidRPr="001041C0">
        <w:t>této souvislosti Agentura EU pro otázky azylu (EUAA) poskytla členským státům;</w:t>
      </w:r>
      <w:r w:rsidRPr="001041C0">
        <w:rPr>
          <w:vertAlign w:val="superscript"/>
        </w:rPr>
        <w:footnoteReference w:id="4"/>
      </w:r>
      <w:r w:rsidRPr="001041C0">
        <w:t xml:space="preserve"> vyzývá</w:t>
      </w:r>
      <w:r w:rsidR="00BD38CD" w:rsidRPr="001041C0">
        <w:t xml:space="preserve"> k </w:t>
      </w:r>
      <w:r w:rsidRPr="001041C0">
        <w:t>odpovídajícímu financování agentury EUAA, zejména pokud dojde</w:t>
      </w:r>
      <w:r w:rsidR="00BD38CD" w:rsidRPr="001041C0">
        <w:t xml:space="preserve"> k </w:t>
      </w:r>
      <w:r w:rsidRPr="001041C0">
        <w:t>výraznému nárůstu úkolů svěřených agentuře</w:t>
      </w:r>
      <w:r w:rsidR="00BD38CD" w:rsidRPr="001041C0">
        <w:t xml:space="preserve"> v </w:t>
      </w:r>
      <w:r w:rsidRPr="001041C0">
        <w:t>souvislosti</w:t>
      </w:r>
      <w:r w:rsidR="00BD38CD" w:rsidRPr="001041C0">
        <w:t xml:space="preserve"> s </w:t>
      </w:r>
      <w:r w:rsidRPr="001041C0">
        <w:t>prováděním Paktu</w:t>
      </w:r>
      <w:r w:rsidR="00BD38CD" w:rsidRPr="001041C0">
        <w:t xml:space="preserve"> o </w:t>
      </w:r>
      <w:r w:rsidRPr="001041C0">
        <w:t>migraci</w:t>
      </w:r>
      <w:r w:rsidR="00BD38CD" w:rsidRPr="001041C0">
        <w:t xml:space="preserve"> a </w:t>
      </w:r>
      <w:r w:rsidRPr="001041C0">
        <w:t>azylu;</w:t>
      </w:r>
    </w:p>
    <w:p w:rsidR="002C2FBE" w:rsidRPr="001041C0" w:rsidRDefault="002C2FBE" w:rsidP="002C2FBE">
      <w:pPr>
        <w:spacing w:after="240"/>
      </w:pPr>
      <w:r w:rsidRPr="001041C0">
        <w:t>2.</w:t>
      </w:r>
      <w:r w:rsidRPr="001041C0">
        <w:tab/>
        <w:t>bere na vědomí zvýšení rozpočtu agentury EUAA</w:t>
      </w:r>
      <w:r w:rsidR="00BD38CD" w:rsidRPr="001041C0">
        <w:t xml:space="preserve"> v </w:t>
      </w:r>
      <w:r w:rsidRPr="001041C0">
        <w:t>roce 2023</w:t>
      </w:r>
      <w:r w:rsidR="00BD38CD" w:rsidRPr="001041C0">
        <w:t xml:space="preserve"> z </w:t>
      </w:r>
      <w:r w:rsidRPr="001041C0">
        <w:t>208 milionů EUR na 228 milionů EUR (+10 %)</w:t>
      </w:r>
      <w:r w:rsidR="00BD38CD" w:rsidRPr="001041C0">
        <w:t xml:space="preserve"> a </w:t>
      </w:r>
      <w:r w:rsidRPr="001041C0">
        <w:t>počtu zaměstnanců</w:t>
      </w:r>
      <w:r w:rsidR="00BD38CD" w:rsidRPr="001041C0">
        <w:t xml:space="preserve"> z </w:t>
      </w:r>
      <w:r w:rsidRPr="001041C0">
        <w:t>519 na 529 (+2 %); poukazuje na to, že Účetní dvůr ve svých zprávách za roky 2017</w:t>
      </w:r>
      <w:r w:rsidR="00BD38CD" w:rsidRPr="001041C0">
        <w:t xml:space="preserve"> a </w:t>
      </w:r>
      <w:r w:rsidRPr="001041C0">
        <w:t>2020 konstatoval, že smlouvy agentury EUAA</w:t>
      </w:r>
      <w:r w:rsidR="00BD38CD" w:rsidRPr="001041C0">
        <w:t xml:space="preserve"> o </w:t>
      </w:r>
      <w:r w:rsidRPr="001041C0">
        <w:t>pronájmu prostor na ostrově Lesbos</w:t>
      </w:r>
      <w:r w:rsidR="00BD38CD" w:rsidRPr="001041C0">
        <w:t xml:space="preserve"> a v </w:t>
      </w:r>
      <w:r w:rsidRPr="001041C0">
        <w:t>Římě byly protiprávní</w:t>
      </w:r>
      <w:r w:rsidR="00BD38CD" w:rsidRPr="001041C0">
        <w:t xml:space="preserve"> z </w:t>
      </w:r>
      <w:r w:rsidRPr="001041C0">
        <w:t>důvodu nedostatečné hospodářské soutěže</w:t>
      </w:r>
      <w:r w:rsidR="00BD38CD" w:rsidRPr="001041C0">
        <w:t xml:space="preserve"> a </w:t>
      </w:r>
      <w:r w:rsidRPr="001041C0">
        <w:t>nedodržení zásady hospodárnosti, což znamená, že všechny následné platby podle těchto smluv byly protiprávní; připomíná zjištění auditorů, že do roku 2023 byly provedeny takové neoprávněné platby</w:t>
      </w:r>
      <w:r w:rsidR="00BD38CD" w:rsidRPr="001041C0">
        <w:t xml:space="preserve"> v </w:t>
      </w:r>
      <w:r w:rsidRPr="001041C0">
        <w:t>celkové výši 123 800 EUR;</w:t>
      </w:r>
    </w:p>
    <w:p w:rsidR="002C2FBE" w:rsidRPr="001041C0" w:rsidRDefault="002C2FBE" w:rsidP="002C2FBE">
      <w:pPr>
        <w:spacing w:after="240"/>
      </w:pPr>
      <w:r w:rsidRPr="001041C0">
        <w:t>3.</w:t>
      </w:r>
      <w:r w:rsidRPr="001041C0">
        <w:tab/>
        <w:t>vítá, že začala fungovat rezervní skupina pro otázky azylu, která koncem roku čítala téměř 350 osob;</w:t>
      </w:r>
      <w:r w:rsidR="00BD38CD" w:rsidRPr="001041C0">
        <w:t xml:space="preserve"> s </w:t>
      </w:r>
      <w:r w:rsidRPr="001041C0">
        <w:t>politováním konstatuje, že</w:t>
      </w:r>
      <w:r w:rsidR="00BD38CD" w:rsidRPr="001041C0">
        <w:t xml:space="preserve"> v </w:t>
      </w:r>
      <w:r w:rsidRPr="001041C0">
        <w:t>důsledku průtahů při jmenování příslušných odborníků</w:t>
      </w:r>
      <w:r w:rsidR="00BD38CD" w:rsidRPr="001041C0">
        <w:t xml:space="preserve"> z </w:t>
      </w:r>
      <w:r w:rsidRPr="001041C0">
        <w:t>některých členských států se zatím nepodařilo dosáhnout plánovaného počtu, tj. 500 osob; vyzývá členské státy, aby splnily své povinnosti týkající se národních odborníků,</w:t>
      </w:r>
      <w:r w:rsidR="00BD38CD" w:rsidRPr="001041C0">
        <w:t xml:space="preserve"> a </w:t>
      </w:r>
      <w:r w:rsidRPr="001041C0">
        <w:t>agentura se tak nemusela spoléhat na externí smluvní partnery;</w:t>
      </w:r>
    </w:p>
    <w:p w:rsidR="002C2FBE" w:rsidRPr="001041C0" w:rsidRDefault="002C2FBE" w:rsidP="002C2FBE">
      <w:pPr>
        <w:spacing w:after="240"/>
      </w:pPr>
      <w:r w:rsidRPr="001041C0">
        <w:t>4.</w:t>
      </w:r>
      <w:r w:rsidRPr="001041C0">
        <w:tab/>
        <w:t>vítá, že se dne 16. května 2023 ujal funkce vůbec první úředník agentury EUAA pro otázky základních práv; oceňuje vytvoření viditelného</w:t>
      </w:r>
      <w:r w:rsidR="00BD38CD" w:rsidRPr="001041C0">
        <w:t xml:space="preserve"> a </w:t>
      </w:r>
      <w:r w:rsidRPr="001041C0">
        <w:t>snadno dostupného mechanismu pro podávání stížností, který úředník pro otázky základních práv vypracoval ve spolupráci</w:t>
      </w:r>
      <w:r w:rsidR="00BD38CD" w:rsidRPr="001041C0">
        <w:t xml:space="preserve"> s </w:t>
      </w:r>
      <w:r w:rsidRPr="001041C0">
        <w:t>Komisí</w:t>
      </w:r>
      <w:r w:rsidR="00BD38CD" w:rsidRPr="001041C0">
        <w:t xml:space="preserve"> a </w:t>
      </w:r>
      <w:r w:rsidRPr="001041C0">
        <w:t>poradním fórem;</w:t>
      </w:r>
    </w:p>
    <w:p w:rsidR="002C2FBE" w:rsidRPr="001041C0" w:rsidRDefault="002C2FBE" w:rsidP="002C2FBE">
      <w:pPr>
        <w:spacing w:after="240"/>
      </w:pPr>
      <w:r w:rsidRPr="001041C0">
        <w:t>5.</w:t>
      </w:r>
      <w:r w:rsidRPr="001041C0">
        <w:tab/>
        <w:t>vítá, že Agentura EU pro otázky azylu přijala přepracovanou strategii</w:t>
      </w:r>
      <w:r w:rsidR="00BD38CD" w:rsidRPr="001041C0">
        <w:t xml:space="preserve"> v </w:t>
      </w:r>
      <w:r w:rsidRPr="001041C0">
        <w:t>oblasti vnější spolupráce</w:t>
      </w:r>
      <w:r w:rsidRPr="001041C0">
        <w:rPr>
          <w:rStyle w:val="FootnoteReference"/>
        </w:rPr>
        <w:footnoteReference w:id="5"/>
      </w:r>
      <w:r w:rsidR="00BD38CD" w:rsidRPr="001041C0">
        <w:t xml:space="preserve"> a </w:t>
      </w:r>
      <w:r w:rsidRPr="001041C0">
        <w:t>strategii týkající se zranitelnosti</w:t>
      </w:r>
      <w:r w:rsidRPr="001041C0">
        <w:rPr>
          <w:rStyle w:val="FootnoteReference"/>
        </w:rPr>
        <w:footnoteReference w:id="6"/>
      </w:r>
      <w:r w:rsidRPr="001041C0">
        <w:t>; zdůrazňuje, že obě tyto strategie by měly sloužit jako záruka ochrany základních práv</w:t>
      </w:r>
      <w:r w:rsidR="00BD38CD" w:rsidRPr="001041C0">
        <w:t xml:space="preserve"> v </w:t>
      </w:r>
      <w:r w:rsidRPr="001041C0">
        <w:t>rámci azylového</w:t>
      </w:r>
      <w:r w:rsidR="00BD38CD" w:rsidRPr="001041C0">
        <w:t xml:space="preserve"> a </w:t>
      </w:r>
      <w:r w:rsidRPr="001041C0">
        <w:t xml:space="preserve">přijímacího systému zemí EU+; </w:t>
      </w:r>
    </w:p>
    <w:p w:rsidR="002C2FBE" w:rsidRPr="001041C0" w:rsidRDefault="002C2FBE" w:rsidP="002C2FBE">
      <w:pPr>
        <w:spacing w:after="240"/>
      </w:pPr>
      <w:r w:rsidRPr="001041C0">
        <w:t>6.</w:t>
      </w:r>
      <w:r w:rsidRPr="001041C0">
        <w:tab/>
        <w:t>oceňuje snahu Agentury EU pro otázky azylu</w:t>
      </w:r>
      <w:r w:rsidR="00BD38CD" w:rsidRPr="001041C0">
        <w:t xml:space="preserve"> o </w:t>
      </w:r>
      <w:r w:rsidRPr="001041C0">
        <w:t>dosažení pokroku</w:t>
      </w:r>
      <w:r w:rsidR="00BD38CD" w:rsidRPr="001041C0">
        <w:t xml:space="preserve"> v </w:t>
      </w:r>
      <w:r w:rsidRPr="001041C0">
        <w:t>digitalizaci, mj. na základě přijetí strategie</w:t>
      </w:r>
      <w:r w:rsidR="00BD38CD" w:rsidRPr="001041C0">
        <w:t xml:space="preserve"> o </w:t>
      </w:r>
      <w:r w:rsidRPr="001041C0">
        <w:t>digitálních inovacích</w:t>
      </w:r>
      <w:r w:rsidR="00BD38CD" w:rsidRPr="001041C0">
        <w:t xml:space="preserve"> v </w:t>
      </w:r>
      <w:r w:rsidRPr="001041C0">
        <w:t>azylovém řízení</w:t>
      </w:r>
      <w:r w:rsidR="00BD38CD" w:rsidRPr="001041C0">
        <w:t xml:space="preserve"> a </w:t>
      </w:r>
      <w:r w:rsidRPr="001041C0">
        <w:t>přijímacích systémech</w:t>
      </w:r>
      <w:r w:rsidRPr="001041C0">
        <w:rPr>
          <w:rStyle w:val="FootnoteReference"/>
        </w:rPr>
        <w:footnoteReference w:id="7"/>
      </w:r>
      <w:r w:rsidRPr="001041C0">
        <w:t>;</w:t>
      </w:r>
    </w:p>
    <w:p w:rsidR="002C2FBE" w:rsidRPr="001041C0" w:rsidRDefault="002C2FBE" w:rsidP="002C2FBE">
      <w:pPr>
        <w:spacing w:after="240"/>
      </w:pPr>
      <w:r w:rsidRPr="001041C0">
        <w:t>7.</w:t>
      </w:r>
      <w:r w:rsidRPr="001041C0">
        <w:tab/>
        <w:t>s uspokojením konstatuje, že agentura EUAA zorganizovala 1 000 školení</w:t>
      </w:r>
      <w:r w:rsidR="00BD38CD" w:rsidRPr="001041C0">
        <w:t xml:space="preserve"> a </w:t>
      </w:r>
      <w:r w:rsidRPr="001041C0">
        <w:t>že neustále roste počet proškolených azylových</w:t>
      </w:r>
      <w:r w:rsidR="00BD38CD" w:rsidRPr="001041C0">
        <w:t xml:space="preserve"> a </w:t>
      </w:r>
      <w:r w:rsidRPr="001041C0">
        <w:t>přijímacích úředníků</w:t>
      </w:r>
      <w:r w:rsidR="00BD38CD" w:rsidRPr="001041C0">
        <w:t xml:space="preserve"> a </w:t>
      </w:r>
      <w:r w:rsidRPr="001041C0">
        <w:t>osob</w:t>
      </w:r>
      <w:r w:rsidR="00BD38CD" w:rsidRPr="001041C0">
        <w:t xml:space="preserve"> z </w:t>
      </w:r>
      <w:r w:rsidRPr="001041C0">
        <w:t>řad občanské společnosti (ve srovnání</w:t>
      </w:r>
      <w:r w:rsidR="00BD38CD" w:rsidRPr="001041C0">
        <w:t xml:space="preserve"> s </w:t>
      </w:r>
      <w:r w:rsidRPr="001041C0">
        <w:t>rokem 2022 jde</w:t>
      </w:r>
      <w:r w:rsidR="00BD38CD" w:rsidRPr="001041C0">
        <w:t xml:space="preserve"> o </w:t>
      </w:r>
      <w:r w:rsidRPr="001041C0">
        <w:t>nárůst</w:t>
      </w:r>
      <w:r w:rsidR="00BD38CD" w:rsidRPr="001041C0">
        <w:t xml:space="preserve"> o </w:t>
      </w:r>
      <w:r w:rsidRPr="001041C0">
        <w:t>6 %); vítá další rozvoj evropských osnov pro vzdělávání odborníků</w:t>
      </w:r>
      <w:r w:rsidR="00BD38CD" w:rsidRPr="001041C0">
        <w:t xml:space="preserve"> v </w:t>
      </w:r>
      <w:r w:rsidRPr="001041C0">
        <w:t>oblasti azylu, které obsahují takové školící moduly, jako jsou například moduly zabývající se genderově podmíněným násilím, zranitelností</w:t>
      </w:r>
      <w:r w:rsidR="00BD38CD" w:rsidRPr="001041C0">
        <w:t xml:space="preserve"> a </w:t>
      </w:r>
      <w:r w:rsidRPr="001041C0">
        <w:t>situací dětí</w:t>
      </w:r>
      <w:r w:rsidR="00BD38CD" w:rsidRPr="001041C0">
        <w:t xml:space="preserve"> v </w:t>
      </w:r>
      <w:r w:rsidRPr="001041C0">
        <w:t>průběhu azylového řízení;</w:t>
      </w:r>
    </w:p>
    <w:p w:rsidR="002C2FBE" w:rsidRPr="001041C0" w:rsidRDefault="002C2FBE" w:rsidP="002C2FBE">
      <w:pPr>
        <w:spacing w:after="240"/>
      </w:pPr>
      <w:r w:rsidRPr="001041C0">
        <w:t>8.</w:t>
      </w:r>
      <w:r w:rsidRPr="001041C0">
        <w:tab/>
        <w:t>znovu opakuje svou výzvu</w:t>
      </w:r>
      <w:r w:rsidR="00BD38CD" w:rsidRPr="001041C0">
        <w:t xml:space="preserve"> z </w:t>
      </w:r>
      <w:r w:rsidRPr="001041C0">
        <w:t>minulého roku</w:t>
      </w:r>
      <w:r w:rsidR="00BD38CD" w:rsidRPr="001041C0">
        <w:t xml:space="preserve"> k </w:t>
      </w:r>
      <w:r w:rsidRPr="001041C0">
        <w:t>tomu, aby Agentura EU pro otázky azylu poskytovala Parlamentu pravidelné informace</w:t>
      </w:r>
      <w:r w:rsidR="00BD38CD" w:rsidRPr="001041C0">
        <w:t xml:space="preserve"> o </w:t>
      </w:r>
      <w:r w:rsidRPr="001041C0">
        <w:t>veškerém vyšetřování, které provádí úřad OLAF.</w:t>
      </w:r>
    </w:p>
    <w:p w:rsidR="002C2FBE" w:rsidRPr="001041C0" w:rsidRDefault="002C2FBE" w:rsidP="002C2FBE">
      <w:pPr>
        <w:spacing w:after="240"/>
        <w:rPr>
          <w:b/>
        </w:rPr>
      </w:pPr>
      <w:r w:rsidRPr="001041C0">
        <w:rPr>
          <w:b/>
        </w:rPr>
        <w:t>Část IV – Udělení absolutoria za plnění rozpočtu Agentury Evropské unie pro provozní řízení rozsáhlých informačních systémů</w:t>
      </w:r>
      <w:r w:rsidR="00BD38CD" w:rsidRPr="001041C0">
        <w:rPr>
          <w:b/>
        </w:rPr>
        <w:t xml:space="preserve"> v </w:t>
      </w:r>
      <w:r w:rsidRPr="001041C0">
        <w:rPr>
          <w:b/>
        </w:rPr>
        <w:t>prostoru svobody, bezpečnosti</w:t>
      </w:r>
      <w:r w:rsidR="00BD38CD" w:rsidRPr="001041C0">
        <w:rPr>
          <w:b/>
        </w:rPr>
        <w:t xml:space="preserve"> a </w:t>
      </w:r>
      <w:r w:rsidRPr="001041C0">
        <w:rPr>
          <w:b/>
        </w:rPr>
        <w:t>práva na rozpočtový rok 2023</w:t>
      </w:r>
    </w:p>
    <w:p w:rsidR="002C2FBE" w:rsidRPr="001041C0" w:rsidRDefault="002C2FBE" w:rsidP="002C2FBE">
      <w:pPr>
        <w:spacing w:after="240"/>
      </w:pPr>
      <w:r w:rsidRPr="001041C0">
        <w:t>1.</w:t>
      </w:r>
      <w:r w:rsidRPr="001041C0">
        <w:tab/>
        <w:t>Vyjadřuje politování nad tím, že</w:t>
      </w:r>
      <w:r w:rsidR="00BD38CD" w:rsidRPr="001041C0">
        <w:t xml:space="preserve"> v </w:t>
      </w:r>
      <w:r w:rsidRPr="001041C0">
        <w:t>roce 2023 tvořila částka 12,6 milionu EUR, která představuje 3,2 % celkových dostupných prostředků na platby, výdaje vynaložené</w:t>
      </w:r>
      <w:r w:rsidR="00BD38CD" w:rsidRPr="001041C0">
        <w:t xml:space="preserve"> v </w:t>
      </w:r>
      <w:r w:rsidRPr="001041C0">
        <w:t>rozporu</w:t>
      </w:r>
      <w:r w:rsidR="00BD38CD" w:rsidRPr="001041C0">
        <w:t xml:space="preserve"> s </w:t>
      </w:r>
      <w:r w:rsidRPr="001041C0">
        <w:t>předpisy, které překročily práh významnosti stanovený pro audit, což vedlo Účetní dvůr</w:t>
      </w:r>
      <w:r w:rsidR="00BD38CD" w:rsidRPr="001041C0">
        <w:t xml:space="preserve"> k </w:t>
      </w:r>
      <w:r w:rsidRPr="001041C0">
        <w:t>tomu, že ohledně legality</w:t>
      </w:r>
      <w:r w:rsidR="00BD38CD" w:rsidRPr="001041C0">
        <w:t xml:space="preserve"> a </w:t>
      </w:r>
      <w:r w:rsidRPr="001041C0">
        <w:t>správnosti plateb vydal výrok</w:t>
      </w:r>
      <w:r w:rsidR="00BD38CD" w:rsidRPr="001041C0">
        <w:t xml:space="preserve"> s </w:t>
      </w:r>
      <w:r w:rsidRPr="001041C0">
        <w:t>výhradou; vyzývá agenturu eu-LISA, aby vypracovala podrobný plán nápravných opatření, který bude obsahovat časový plán</w:t>
      </w:r>
      <w:r w:rsidR="00BD38CD" w:rsidRPr="001041C0">
        <w:t xml:space="preserve"> a </w:t>
      </w:r>
      <w:r w:rsidRPr="001041C0">
        <w:t>odpovědnost za odstranění neoprávněných výdajů; vyzývá agenturu, aby pravidelně informovala Účetní dvůr</w:t>
      </w:r>
      <w:r w:rsidR="00BD38CD" w:rsidRPr="001041C0">
        <w:t xml:space="preserve"> o </w:t>
      </w:r>
      <w:r w:rsidRPr="001041C0">
        <w:t>pokroku při provádění plánu nápravných opatření;</w:t>
      </w:r>
    </w:p>
    <w:p w:rsidR="002C2FBE" w:rsidRPr="001041C0" w:rsidRDefault="002C2FBE" w:rsidP="002C2FBE">
      <w:pPr>
        <w:spacing w:after="240"/>
      </w:pPr>
      <w:r w:rsidRPr="001041C0">
        <w:t>2.</w:t>
      </w:r>
      <w:r w:rsidRPr="001041C0">
        <w:tab/>
        <w:t>se znepokojením konstatuje, že Účetní dvůr uvedl</w:t>
      </w:r>
      <w:r w:rsidR="00BD38CD" w:rsidRPr="001041C0">
        <w:t xml:space="preserve"> v </w:t>
      </w:r>
      <w:r w:rsidRPr="001041C0">
        <w:t>souvislosti</w:t>
      </w:r>
      <w:r w:rsidR="00BD38CD" w:rsidRPr="001041C0">
        <w:t xml:space="preserve"> s </w:t>
      </w:r>
      <w:r w:rsidRPr="001041C0">
        <w:t>roční účetní závěrkou</w:t>
      </w:r>
      <w:r w:rsidR="00BD38CD" w:rsidRPr="001041C0">
        <w:t xml:space="preserve"> v </w:t>
      </w:r>
      <w:r w:rsidRPr="001041C0">
        <w:t>oddíle Zdůraznění skutečnosti</w:t>
      </w:r>
      <w:r w:rsidR="00BD38CD" w:rsidRPr="001041C0">
        <w:t xml:space="preserve"> v </w:t>
      </w:r>
      <w:r w:rsidRPr="001041C0">
        <w:t>důsledku dvou aktivních rámcových smluv určité informace; vyjadřuje znovu politování nad tím, že několik připomínek Účetního dvora</w:t>
      </w:r>
      <w:r w:rsidR="00BD38CD" w:rsidRPr="001041C0">
        <w:t xml:space="preserve"> z </w:t>
      </w:r>
      <w:r w:rsidRPr="001041C0">
        <w:t>minulých let nebylo dosud vyřešeno; vyzývá agenturu eu-LISA, aby se řídila připomínkami Účetního dvora</w:t>
      </w:r>
      <w:r w:rsidR="00BD38CD" w:rsidRPr="001041C0">
        <w:t xml:space="preserve"> a </w:t>
      </w:r>
      <w:r w:rsidRPr="001041C0">
        <w:t>ve všech zbývajících případech nesouladu intenzivněji usilovala</w:t>
      </w:r>
      <w:r w:rsidR="00BD38CD" w:rsidRPr="001041C0">
        <w:t xml:space="preserve"> o </w:t>
      </w:r>
      <w:r w:rsidRPr="001041C0">
        <w:t>provedení nápravných opatření</w:t>
      </w:r>
      <w:r w:rsidR="00BD38CD" w:rsidRPr="001041C0">
        <w:t xml:space="preserve"> a </w:t>
      </w:r>
      <w:r w:rsidRPr="001041C0">
        <w:t>aby orgán příslušný</w:t>
      </w:r>
      <w:r w:rsidR="00BD38CD" w:rsidRPr="001041C0">
        <w:t xml:space="preserve"> k </w:t>
      </w:r>
      <w:r w:rsidRPr="001041C0">
        <w:t>udělení absolutoria informovala</w:t>
      </w:r>
      <w:r w:rsidR="00BD38CD" w:rsidRPr="001041C0">
        <w:t xml:space="preserve"> o </w:t>
      </w:r>
      <w:r w:rsidRPr="001041C0">
        <w:t>dosaženém pokroku;</w:t>
      </w:r>
    </w:p>
    <w:p w:rsidR="002C2FBE" w:rsidRPr="001041C0" w:rsidRDefault="002C2FBE" w:rsidP="002C2FBE">
      <w:pPr>
        <w:spacing w:after="240"/>
      </w:pPr>
      <w:r w:rsidRPr="001041C0">
        <w:t>3.</w:t>
      </w:r>
      <w:r w:rsidRPr="001041C0">
        <w:tab/>
        <w:t>bere na vědomí snahu agentury eu-LISA</w:t>
      </w:r>
      <w:r w:rsidR="00BD38CD" w:rsidRPr="001041C0">
        <w:t xml:space="preserve"> o </w:t>
      </w:r>
      <w:r w:rsidRPr="001041C0">
        <w:t>dosažení cílů stanovených na rok 2023</w:t>
      </w:r>
      <w:r w:rsidR="00BD38CD" w:rsidRPr="001041C0">
        <w:t xml:space="preserve"> v </w:t>
      </w:r>
      <w:r w:rsidRPr="001041C0">
        <w:t>jednotném programovém dokumentu na období 2023–2025;</w:t>
      </w:r>
      <w:r w:rsidR="00BD38CD" w:rsidRPr="001041C0">
        <w:t xml:space="preserve"> s </w:t>
      </w:r>
      <w:r w:rsidRPr="001041C0">
        <w:t>potěšením konstatuje, že</w:t>
      </w:r>
      <w:r w:rsidR="00BD38CD" w:rsidRPr="001041C0">
        <w:t xml:space="preserve"> v </w:t>
      </w:r>
      <w:r w:rsidRPr="001041C0">
        <w:t>březnu bylo dokončeno zavedení obnoveného Schengenského informačního systému (SIS), že</w:t>
      </w:r>
      <w:r w:rsidR="00BD38CD" w:rsidRPr="001041C0">
        <w:t xml:space="preserve"> v </w:t>
      </w:r>
      <w:r w:rsidRPr="001041C0">
        <w:t>červenci 2023 byl do tohoto systému bez problému začleněn Kypr</w:t>
      </w:r>
      <w:r w:rsidR="00BD38CD" w:rsidRPr="001041C0">
        <w:t xml:space="preserve"> a </w:t>
      </w:r>
      <w:r w:rsidRPr="001041C0">
        <w:t>že došlo</w:t>
      </w:r>
      <w:r w:rsidR="00BD38CD" w:rsidRPr="001041C0">
        <w:t xml:space="preserve"> k </w:t>
      </w:r>
      <w:r w:rsidRPr="001041C0">
        <w:t>začlenění Chorvatska do Vízového informačního systému (VIS);</w:t>
      </w:r>
    </w:p>
    <w:p w:rsidR="002C2FBE" w:rsidRPr="001041C0" w:rsidRDefault="002C2FBE" w:rsidP="002C2FBE">
      <w:pPr>
        <w:spacing w:after="240"/>
      </w:pPr>
      <w:r w:rsidRPr="001041C0">
        <w:t>4.</w:t>
      </w:r>
      <w:r w:rsidRPr="001041C0">
        <w:tab/>
        <w:t>bere na vědomí nový plán interoperability;</w:t>
      </w:r>
      <w:r w:rsidR="00BD38CD" w:rsidRPr="001041C0">
        <w:t xml:space="preserve"> s </w:t>
      </w:r>
      <w:r w:rsidRPr="001041C0">
        <w:t>politováním konstatuje, že</w:t>
      </w:r>
      <w:r w:rsidR="00BD38CD" w:rsidRPr="001041C0">
        <w:t xml:space="preserve"> k </w:t>
      </w:r>
      <w:r w:rsidRPr="001041C0">
        <w:t>zavedení</w:t>
      </w:r>
      <w:r w:rsidR="00BD38CD" w:rsidRPr="001041C0">
        <w:t xml:space="preserve"> a </w:t>
      </w:r>
      <w:r w:rsidRPr="001041C0">
        <w:t>zajištění interoperability informačních systémů EU bylo</w:t>
      </w:r>
      <w:r w:rsidR="00BD38CD" w:rsidRPr="001041C0">
        <w:t xml:space="preserve"> v </w:t>
      </w:r>
      <w:r w:rsidRPr="001041C0">
        <w:t>důsledku zpoždění při vývoji Systému vstupu/výstupu (EES), Evropského systému pro cestovní informace</w:t>
      </w:r>
      <w:r w:rsidR="00BD38CD" w:rsidRPr="001041C0">
        <w:t xml:space="preserve"> a </w:t>
      </w:r>
      <w:r w:rsidRPr="001041C0">
        <w:t>povolení (ETIAS)</w:t>
      </w:r>
      <w:r w:rsidR="00BD38CD" w:rsidRPr="001041C0">
        <w:t xml:space="preserve"> a </w:t>
      </w:r>
      <w:r w:rsidRPr="001041C0">
        <w:t>Evropského informačního systému rejstříků trestů pro státní příslušníky třetích zemí (ECRIS-TCN) nutné stanovit nový harmonogram; vyzývá agenturu eu-LISA, aby upřednostnila rychlé zavedení těchto informačních systémů</w:t>
      </w:r>
      <w:r w:rsidR="00BD38CD" w:rsidRPr="001041C0">
        <w:t xml:space="preserve"> a </w:t>
      </w:r>
      <w:r w:rsidRPr="001041C0">
        <w:t>stanovila nové konkrétní datum zahájení provozu; zdůrazňuje, že</w:t>
      </w:r>
      <w:r w:rsidR="00BD38CD" w:rsidRPr="001041C0">
        <w:t xml:space="preserve"> k </w:t>
      </w:r>
      <w:r w:rsidRPr="001041C0">
        <w:t>zachování</w:t>
      </w:r>
      <w:r w:rsidR="00BD38CD" w:rsidRPr="001041C0">
        <w:t xml:space="preserve"> a </w:t>
      </w:r>
      <w:r w:rsidRPr="001041C0">
        <w:t>posílení unijního prostoru svobody, bezpečnosti</w:t>
      </w:r>
      <w:r w:rsidR="00BD38CD" w:rsidRPr="001041C0">
        <w:t xml:space="preserve"> a </w:t>
      </w:r>
      <w:r w:rsidRPr="001041C0">
        <w:t>práva je naprosto nezbytné zajistit rychlou, účinnou</w:t>
      </w:r>
      <w:r w:rsidR="00BD38CD" w:rsidRPr="001041C0">
        <w:t xml:space="preserve"> a </w:t>
      </w:r>
      <w:r w:rsidRPr="001041C0">
        <w:t>spolehlivou výměnu informací;</w:t>
      </w:r>
    </w:p>
    <w:p w:rsidR="002C2FBE" w:rsidRPr="001041C0" w:rsidRDefault="002C2FBE" w:rsidP="002C2FBE">
      <w:pPr>
        <w:spacing w:after="240"/>
      </w:pPr>
      <w:r w:rsidRPr="001041C0">
        <w:t>5.</w:t>
      </w:r>
      <w:r w:rsidRPr="001041C0">
        <w:tab/>
        <w:t>oceňuje, že agentura eu-LISA se zaměřuje také na kybernetickou bezpečnost</w:t>
      </w:r>
      <w:r w:rsidR="00BD38CD" w:rsidRPr="001041C0">
        <w:t xml:space="preserve"> a </w:t>
      </w:r>
      <w:r w:rsidRPr="001041C0">
        <w:t>boj</w:t>
      </w:r>
      <w:r w:rsidR="00BD38CD" w:rsidRPr="001041C0">
        <w:t xml:space="preserve"> s </w:t>
      </w:r>
      <w:r w:rsidRPr="001041C0">
        <w:t>hrozbami</w:t>
      </w:r>
      <w:r w:rsidR="00BD38CD" w:rsidRPr="001041C0">
        <w:t xml:space="preserve"> v </w:t>
      </w:r>
      <w:r w:rsidRPr="001041C0">
        <w:t>kybernetickém prostoru, zejména tím, že zajišťuje nezbytnou přípravu na plnění povinností vyplývajících</w:t>
      </w:r>
      <w:r w:rsidR="00BD38CD" w:rsidRPr="001041C0">
        <w:t xml:space="preserve"> z </w:t>
      </w:r>
      <w:r w:rsidRPr="001041C0">
        <w:t>nových právních předpisů Unie</w:t>
      </w:r>
      <w:r w:rsidR="00BD38CD" w:rsidRPr="001041C0">
        <w:t xml:space="preserve"> v </w:t>
      </w:r>
      <w:r w:rsidRPr="001041C0">
        <w:t>oblasti informační</w:t>
      </w:r>
      <w:r w:rsidR="00BD38CD" w:rsidRPr="001041C0">
        <w:t xml:space="preserve"> a </w:t>
      </w:r>
      <w:r w:rsidRPr="001041C0">
        <w:t>kybernetické bezpečnosti; poukazuje na to, že</w:t>
      </w:r>
      <w:r w:rsidR="00BD38CD" w:rsidRPr="001041C0">
        <w:t xml:space="preserve"> s </w:t>
      </w:r>
      <w:r w:rsidRPr="001041C0">
        <w:t>cílem zajistit včasnou identifikaci kybernetických hrozeb</w:t>
      </w:r>
      <w:r w:rsidR="00BD38CD" w:rsidRPr="001041C0">
        <w:t xml:space="preserve"> a </w:t>
      </w:r>
      <w:r w:rsidRPr="001041C0">
        <w:t>reakci na ně agentura eu-LISA provozuje</w:t>
      </w:r>
      <w:r w:rsidR="00BD38CD" w:rsidRPr="001041C0">
        <w:t xml:space="preserve"> a </w:t>
      </w:r>
      <w:r w:rsidRPr="001041C0">
        <w:t>udržuje platformu ke sledování bezpečnosti, plán opatření pro případ incidentů ohrožujících kybernetickou bezpečnost, manuály pro reakci na tyto incidenty</w:t>
      </w:r>
      <w:r w:rsidR="00BD38CD" w:rsidRPr="001041C0">
        <w:t xml:space="preserve"> a </w:t>
      </w:r>
      <w:r w:rsidRPr="001041C0">
        <w:t>24hodinovou pohotovostní službu; oceňuje úlohu agentury eu-LISA při podpoře cvičení</w:t>
      </w:r>
      <w:r w:rsidR="00BD38CD" w:rsidRPr="001041C0">
        <w:t xml:space="preserve"> v </w:t>
      </w:r>
      <w:r w:rsidRPr="001041C0">
        <w:t>oblasti kybernetické bezpečnosti, která probíhají mezi agenturami ve spolupráci se sítí agentur působících</w:t>
      </w:r>
      <w:r w:rsidR="00BD38CD" w:rsidRPr="001041C0">
        <w:t xml:space="preserve"> v </w:t>
      </w:r>
      <w:r w:rsidRPr="001041C0">
        <w:t>oblasti spravedlnosti</w:t>
      </w:r>
      <w:r w:rsidR="00BD38CD" w:rsidRPr="001041C0">
        <w:t xml:space="preserve"> a </w:t>
      </w:r>
      <w:r w:rsidRPr="001041C0">
        <w:t xml:space="preserve">vnitřních věcí (JHAAN); </w:t>
      </w:r>
    </w:p>
    <w:p w:rsidR="002C2FBE" w:rsidRPr="001041C0" w:rsidRDefault="002C2FBE" w:rsidP="002C2FBE">
      <w:r w:rsidRPr="001041C0">
        <w:t>6.</w:t>
      </w:r>
      <w:r w:rsidRPr="001041C0">
        <w:tab/>
        <w:t>s potěšením konstatuje, že agentura eu-LISA zahájila přípravu na převzetí operačního řízení systému e-CODEX (systému komunikace</w:t>
      </w:r>
      <w:r w:rsidR="00BD38CD" w:rsidRPr="001041C0">
        <w:t xml:space="preserve"> v </w:t>
      </w:r>
      <w:r w:rsidRPr="001041C0">
        <w:t>oblasti e-justice prostřednictvím on-line výměny údajů)</w:t>
      </w:r>
      <w:r w:rsidR="00BD38CD" w:rsidRPr="001041C0">
        <w:t xml:space="preserve"> a </w:t>
      </w:r>
      <w:r w:rsidRPr="001041C0">
        <w:t>také na navržení</w:t>
      </w:r>
      <w:r w:rsidR="00BD38CD" w:rsidRPr="001041C0">
        <w:t xml:space="preserve"> a </w:t>
      </w:r>
      <w:r w:rsidRPr="001041C0">
        <w:t>rozvoj platformy pro spolupráci společných vyšetřovacích týmů, aby byla při přeshraničním vyšetřování trestných činů zajištěna bezpečná elektronická výměna informací; bere na vědomí přezkum pravidel pro předcházení střetům zájmů</w:t>
      </w:r>
      <w:r w:rsidR="00BD38CD" w:rsidRPr="001041C0">
        <w:t xml:space="preserve"> a </w:t>
      </w:r>
      <w:r w:rsidRPr="001041C0">
        <w:t>jejich řešení, pokud jde</w:t>
      </w:r>
      <w:r w:rsidR="00BD38CD" w:rsidRPr="001041C0">
        <w:t xml:space="preserve"> o </w:t>
      </w:r>
      <w:r w:rsidRPr="001041C0">
        <w:t>zástupce správní rady</w:t>
      </w:r>
      <w:r w:rsidR="00BD38CD" w:rsidRPr="001041C0">
        <w:t xml:space="preserve"> a </w:t>
      </w:r>
      <w:r w:rsidRPr="001041C0">
        <w:t>poradních skupin.</w:t>
      </w:r>
    </w:p>
    <w:p w:rsidR="002C2FBE" w:rsidRPr="001041C0" w:rsidRDefault="002C2FBE" w:rsidP="002C2FBE"/>
    <w:p w:rsidR="002C2FBE" w:rsidRPr="001041C0" w:rsidRDefault="002C2FBE" w:rsidP="002C2FBE">
      <w:pPr>
        <w:spacing w:after="240"/>
        <w:rPr>
          <w:b/>
        </w:rPr>
      </w:pPr>
      <w:r w:rsidRPr="001041C0">
        <w:rPr>
          <w:b/>
        </w:rPr>
        <w:t>Část</w:t>
      </w:r>
      <w:r w:rsidR="00BD38CD" w:rsidRPr="001041C0">
        <w:rPr>
          <w:b/>
        </w:rPr>
        <w:t xml:space="preserve"> V </w:t>
      </w:r>
      <w:r w:rsidRPr="001041C0">
        <w:rPr>
          <w:b/>
        </w:rPr>
        <w:t>– Udělení absolutoria za plnění rozpočtu Evropské agentury pro pohraniční</w:t>
      </w:r>
      <w:r w:rsidR="00BD38CD" w:rsidRPr="001041C0">
        <w:rPr>
          <w:b/>
        </w:rPr>
        <w:t xml:space="preserve"> a </w:t>
      </w:r>
      <w:r w:rsidRPr="001041C0">
        <w:rPr>
          <w:b/>
        </w:rPr>
        <w:t>pobřežní stráž na rozpočtový rok 2023</w:t>
      </w:r>
    </w:p>
    <w:p w:rsidR="002C2FBE" w:rsidRPr="001041C0" w:rsidRDefault="002C2FBE" w:rsidP="002C2FBE">
      <w:pPr>
        <w:spacing w:after="240"/>
      </w:pPr>
      <w:r w:rsidRPr="001041C0">
        <w:t>1.</w:t>
      </w:r>
      <w:r w:rsidRPr="001041C0">
        <w:tab/>
        <w:t>Bere na vědomí, že došlo</w:t>
      </w:r>
      <w:r w:rsidR="00BD38CD" w:rsidRPr="001041C0">
        <w:t xml:space="preserve"> k </w:t>
      </w:r>
      <w:r w:rsidRPr="001041C0">
        <w:t>významnému nárůstu počtu navrácených osob, kdy agentura Frontex, která pomohla vrátit celkem 39 239 osob, včetně impozantního nárůstu počtu dobrovolně navrácených osob</w:t>
      </w:r>
      <w:r w:rsidR="00BD38CD" w:rsidRPr="001041C0">
        <w:t xml:space="preserve"> o </w:t>
      </w:r>
      <w:r w:rsidRPr="001041C0">
        <w:t>87 %</w:t>
      </w:r>
      <w:r w:rsidR="00BD38CD" w:rsidRPr="001041C0">
        <w:t xml:space="preserve"> a </w:t>
      </w:r>
      <w:r w:rsidRPr="001041C0">
        <w:t>20% nárůstu nuceně navrácených osob ve srovnání</w:t>
      </w:r>
      <w:r w:rsidR="00BD38CD" w:rsidRPr="001041C0">
        <w:t xml:space="preserve"> s </w:t>
      </w:r>
      <w:r w:rsidRPr="001041C0">
        <w:t>rokem 2022, překonala svůj cíl, kterým bylo navrácení 20 000 osob; oceňuje širší pomoc poskytovanou členským státům po návratu</w:t>
      </w:r>
      <w:r w:rsidR="00BD38CD" w:rsidRPr="001041C0">
        <w:t xml:space="preserve"> a </w:t>
      </w:r>
      <w:r w:rsidRPr="001041C0">
        <w:t>po příjezdu žadatelů</w:t>
      </w:r>
      <w:r w:rsidR="00BD38CD" w:rsidRPr="001041C0">
        <w:t xml:space="preserve"> o </w:t>
      </w:r>
      <w:r w:rsidRPr="001041C0">
        <w:t>azyl, přičemž agentura Frontex překonala</w:t>
      </w:r>
      <w:r w:rsidR="00BD38CD" w:rsidRPr="001041C0">
        <w:t xml:space="preserve"> v </w:t>
      </w:r>
      <w:r w:rsidRPr="001041C0">
        <w:t>roce 2023 svůj cíl, kterým bylo poskytnutí pomoci</w:t>
      </w:r>
      <w:r w:rsidR="00BD38CD" w:rsidRPr="001041C0">
        <w:t xml:space="preserve"> v </w:t>
      </w:r>
      <w:r w:rsidRPr="001041C0">
        <w:t>5 000 případů</w:t>
      </w:r>
      <w:r w:rsidR="00BD38CD" w:rsidRPr="001041C0">
        <w:t xml:space="preserve"> v </w:t>
      </w:r>
      <w:r w:rsidRPr="001041C0">
        <w:t>rámci společného systému opětovného začlenění navrácených osob do společnosti,</w:t>
      </w:r>
      <w:r w:rsidR="00BD38CD" w:rsidRPr="001041C0">
        <w:t xml:space="preserve"> a </w:t>
      </w:r>
      <w:r w:rsidRPr="001041C0">
        <w:t>úspěšně zpracovala 6 438 případů;</w:t>
      </w:r>
    </w:p>
    <w:p w:rsidR="002C2FBE" w:rsidRPr="001041C0" w:rsidRDefault="002C2FBE" w:rsidP="002C2FBE">
      <w:pPr>
        <w:pStyle w:val="NormalWeb"/>
        <w:jc w:val="both"/>
      </w:pPr>
      <w:r w:rsidRPr="001041C0">
        <w:t>2.</w:t>
      </w:r>
      <w:r w:rsidRPr="001041C0">
        <w:tab/>
        <w:t>bere na vědomí neustále se prohlubující spolupráci se třetími zeměmi</w:t>
      </w:r>
      <w:r w:rsidR="00BD38CD" w:rsidRPr="001041C0">
        <w:t xml:space="preserve"> v </w:t>
      </w:r>
      <w:r w:rsidRPr="001041C0">
        <w:t>roce 2023, která se vyznačovala nejrůznější činností, jako jsou například seznamovací návštěvy, identifikační mise</w:t>
      </w:r>
      <w:r w:rsidR="00BD38CD" w:rsidRPr="001041C0">
        <w:t xml:space="preserve"> a </w:t>
      </w:r>
      <w:r w:rsidRPr="001041C0">
        <w:t>pracovní semináře, tj. celkem 36 iniciativ zaměřených na prohloubení spolupráce;</w:t>
      </w:r>
    </w:p>
    <w:p w:rsidR="002C2FBE" w:rsidRPr="001041C0" w:rsidRDefault="002C2FBE" w:rsidP="002C2FBE">
      <w:pPr>
        <w:pStyle w:val="NormalWeb"/>
        <w:jc w:val="both"/>
      </w:pPr>
      <w:r w:rsidRPr="001041C0">
        <w:t>3.</w:t>
      </w:r>
      <w:r w:rsidRPr="001041C0">
        <w:tab/>
        <w:t>zdůrazňuje, že hlavním úkolem agentury Frontex je ochrana vnějších hranic Unie, při níž je její činnost zcela zásadní; oceňuje významnou úlohu, kterou hraje agentura Frontex také</w:t>
      </w:r>
      <w:r w:rsidR="00BD38CD" w:rsidRPr="001041C0">
        <w:t xml:space="preserve"> v </w:t>
      </w:r>
      <w:r w:rsidRPr="001041C0">
        <w:t>pátracích</w:t>
      </w:r>
      <w:r w:rsidR="00BD38CD" w:rsidRPr="001041C0">
        <w:t xml:space="preserve"> a </w:t>
      </w:r>
      <w:r w:rsidRPr="001041C0">
        <w:t>záchranných operacích, kdy se do společných operací</w:t>
      </w:r>
      <w:r w:rsidR="00BD38CD" w:rsidRPr="001041C0">
        <w:t xml:space="preserve"> v </w:t>
      </w:r>
      <w:r w:rsidRPr="001041C0">
        <w:t>reakci na 785 incidentů zahrnujících 43 508 migrantů zapojily námořní</w:t>
      </w:r>
      <w:r w:rsidR="00BD38CD" w:rsidRPr="001041C0">
        <w:t xml:space="preserve"> i </w:t>
      </w:r>
      <w:r w:rsidRPr="001041C0">
        <w:t>letecké jednotky, což podtrhuje, nakolik důležitý je příspěvek agentury Frontex</w:t>
      </w:r>
      <w:r w:rsidR="00BD38CD" w:rsidRPr="001041C0">
        <w:t xml:space="preserve"> k </w:t>
      </w:r>
      <w:r w:rsidRPr="001041C0">
        <w:t>humanitárnímu úsilí; se znepokojením konstatuje, že podle odhadů platformy Statista zemřelo</w:t>
      </w:r>
      <w:r w:rsidR="00BD38CD" w:rsidRPr="001041C0">
        <w:t xml:space="preserve"> v </w:t>
      </w:r>
      <w:r w:rsidRPr="001041C0">
        <w:t>roce 2023 při plavbě přes Středozemní moře 3 105 migrantů; zdůrazňuje, že je třeba zvýšit úsilí</w:t>
      </w:r>
      <w:r w:rsidR="00BD38CD" w:rsidRPr="001041C0">
        <w:t xml:space="preserve"> v </w:t>
      </w:r>
      <w:r w:rsidRPr="001041C0">
        <w:t>oblasti prevence převaděčství</w:t>
      </w:r>
      <w:r w:rsidR="00BD38CD" w:rsidRPr="001041C0">
        <w:t xml:space="preserve"> a </w:t>
      </w:r>
      <w:r w:rsidRPr="001041C0">
        <w:t>obchodování</w:t>
      </w:r>
      <w:r w:rsidR="00BD38CD" w:rsidRPr="001041C0">
        <w:t xml:space="preserve"> s </w:t>
      </w:r>
      <w:r w:rsidRPr="001041C0">
        <w:t>lidmi;</w:t>
      </w:r>
    </w:p>
    <w:p w:rsidR="002C2FBE" w:rsidRPr="001041C0" w:rsidRDefault="002C2FBE" w:rsidP="002C2FBE">
      <w:pPr>
        <w:pStyle w:val="NormalWeb"/>
        <w:jc w:val="both"/>
      </w:pPr>
      <w:r w:rsidRPr="001041C0">
        <w:t>4.</w:t>
      </w:r>
      <w:r w:rsidRPr="001041C0">
        <w:tab/>
        <w:t>poukazuje na pozitivní pokrok dosažený při plnění cílů</w:t>
      </w:r>
      <w:r w:rsidR="00BD38CD" w:rsidRPr="001041C0">
        <w:t xml:space="preserve"> v </w:t>
      </w:r>
      <w:r w:rsidRPr="001041C0">
        <w:t>oblasti základních práv, mj. na probíhající plnění akčního plánu</w:t>
      </w:r>
      <w:r w:rsidR="00BD38CD" w:rsidRPr="001041C0">
        <w:t xml:space="preserve"> v </w:t>
      </w:r>
      <w:r w:rsidRPr="001041C0">
        <w:t>oblasti základních práv</w:t>
      </w:r>
      <w:r w:rsidR="00BD38CD" w:rsidRPr="001041C0">
        <w:t xml:space="preserve"> a </w:t>
      </w:r>
      <w:r w:rsidRPr="001041C0">
        <w:t>na nezávislé posouzení toho, jak agentura dodržuje</w:t>
      </w:r>
      <w:r w:rsidR="00BD38CD" w:rsidRPr="001041C0">
        <w:t xml:space="preserve"> v </w:t>
      </w:r>
      <w:r w:rsidRPr="001041C0">
        <w:t>souladu</w:t>
      </w:r>
      <w:r w:rsidR="00BD38CD" w:rsidRPr="001041C0">
        <w:t xml:space="preserve"> s </w:t>
      </w:r>
      <w:r w:rsidRPr="001041C0">
        <w:t>nařízením</w:t>
      </w:r>
      <w:r w:rsidR="00BD38CD" w:rsidRPr="001041C0">
        <w:t xml:space="preserve"> o </w:t>
      </w:r>
      <w:r w:rsidRPr="001041C0">
        <w:t>Evropské pohraniční</w:t>
      </w:r>
      <w:r w:rsidR="00BD38CD" w:rsidRPr="001041C0">
        <w:t xml:space="preserve"> a </w:t>
      </w:r>
      <w:r w:rsidRPr="001041C0">
        <w:t>pobřežní stráži rámec základních práv; vítá, že agentura Frontex proaktivně sleduje vyřizování stížností týkajících se základních práv,</w:t>
      </w:r>
      <w:r w:rsidR="00BD38CD" w:rsidRPr="001041C0">
        <w:t xml:space="preserve"> z </w:t>
      </w:r>
      <w:r w:rsidRPr="001041C0">
        <w:t>nichž byla většina označena za nepřípustné; zdůrazňuje význam úzké spolupráce</w:t>
      </w:r>
      <w:r w:rsidR="00BD38CD" w:rsidRPr="001041C0">
        <w:t xml:space="preserve"> s </w:t>
      </w:r>
      <w:r w:rsidRPr="001041C0">
        <w:t>vnitrostátními orgány, aby se zajistila odpovídající následná opatření</w:t>
      </w:r>
      <w:r w:rsidR="00BD38CD" w:rsidRPr="001041C0">
        <w:t xml:space="preserve"> v </w:t>
      </w:r>
      <w:r w:rsidRPr="001041C0">
        <w:t>případě obvinění</w:t>
      </w:r>
      <w:r w:rsidR="00BD38CD" w:rsidRPr="001041C0">
        <w:t xml:space="preserve"> z </w:t>
      </w:r>
      <w:r w:rsidRPr="001041C0">
        <w:t>porušování základních práv</w:t>
      </w:r>
      <w:r w:rsidR="00BD38CD" w:rsidRPr="001041C0">
        <w:t xml:space="preserve"> v </w:t>
      </w:r>
      <w:r w:rsidRPr="001041C0">
        <w:t>souladu</w:t>
      </w:r>
      <w:r w:rsidR="00BD38CD" w:rsidRPr="001041C0">
        <w:t xml:space="preserve"> s </w:t>
      </w:r>
      <w:r w:rsidRPr="001041C0">
        <w:t>vnitrostátními mechanismy</w:t>
      </w:r>
      <w:r w:rsidR="00BD38CD" w:rsidRPr="001041C0">
        <w:t xml:space="preserve"> v </w:t>
      </w:r>
      <w:r w:rsidRPr="001041C0">
        <w:t>oblasti základních práv; zdůrazňuje, že příslušníci agentury Frontex se musí vyvarovat jakýchkoli kroků, kterými by mohli přímo či nepřímo porušit základní práva; oceňuje, že se agentura Frontex ve stále větší míře zasazuje</w:t>
      </w:r>
      <w:r w:rsidR="00BD38CD" w:rsidRPr="001041C0">
        <w:t xml:space="preserve"> o </w:t>
      </w:r>
      <w:r w:rsidRPr="001041C0">
        <w:t>transparentnost</w:t>
      </w:r>
      <w:r w:rsidR="00BD38CD" w:rsidRPr="001041C0">
        <w:t xml:space="preserve"> a </w:t>
      </w:r>
      <w:r w:rsidRPr="001041C0">
        <w:t>odpovědnost; zdůrazňuje, že je třeba poskytovat podrobnější informace</w:t>
      </w:r>
      <w:r w:rsidR="00BD38CD" w:rsidRPr="001041C0">
        <w:t xml:space="preserve"> o </w:t>
      </w:r>
      <w:r w:rsidRPr="001041C0">
        <w:t>dokončených operacích;</w:t>
      </w:r>
    </w:p>
    <w:p w:rsidR="002C2FBE" w:rsidRPr="001041C0" w:rsidRDefault="002C2FBE" w:rsidP="002C2FBE">
      <w:pPr>
        <w:pStyle w:val="NormalWeb"/>
        <w:jc w:val="both"/>
      </w:pPr>
      <w:r w:rsidRPr="001041C0">
        <w:t>5.</w:t>
      </w:r>
      <w:r w:rsidRPr="001041C0">
        <w:tab/>
        <w:t>podporuje pokračující úsilí agentury Frontex</w:t>
      </w:r>
      <w:r w:rsidR="00BD38CD" w:rsidRPr="001041C0">
        <w:t xml:space="preserve"> o </w:t>
      </w:r>
      <w:r w:rsidRPr="001041C0">
        <w:t>posílení činnosti svého úředníka pro otázky základních práv</w:t>
      </w:r>
      <w:r w:rsidR="00BD38CD" w:rsidRPr="001041C0">
        <w:t xml:space="preserve"> a </w:t>
      </w:r>
      <w:r w:rsidRPr="001041C0">
        <w:t>bere na vědomí, že</w:t>
      </w:r>
      <w:r w:rsidR="00BD38CD" w:rsidRPr="001041C0">
        <w:t xml:space="preserve"> v </w:t>
      </w:r>
      <w:r w:rsidRPr="001041C0">
        <w:t>roce 2023 bylo zaměstnáno 46 osob pověřených sledováním základních práv; zdůrazňuje, že je důležité, aby byly všechny tyto osoby nabírány</w:t>
      </w:r>
      <w:r w:rsidR="00BD38CD" w:rsidRPr="001041C0">
        <w:t xml:space="preserve"> v </w:t>
      </w:r>
      <w:r w:rsidRPr="001041C0">
        <w:t>platové třídě AD, aby bylo možné dále zvyšovat jejich schopnosti</w:t>
      </w:r>
      <w:r w:rsidR="00BD38CD" w:rsidRPr="001041C0">
        <w:t xml:space="preserve"> a </w:t>
      </w:r>
      <w:r w:rsidRPr="001041C0">
        <w:t>nezávislost; bere na vědomí, že agentura Frontex podnikla významné kroky</w:t>
      </w:r>
      <w:r w:rsidR="00BD38CD" w:rsidRPr="001041C0">
        <w:t xml:space="preserve"> k </w:t>
      </w:r>
      <w:r w:rsidRPr="001041C0">
        <w:t>tomu, aby reagovala na stanoviska úředníka pro otázky základních práv týkající se takové problematiky, jako je začleňování hlediska rovnosti žen</w:t>
      </w:r>
      <w:r w:rsidR="00BD38CD" w:rsidRPr="001041C0">
        <w:t xml:space="preserve"> a </w:t>
      </w:r>
      <w:r w:rsidRPr="001041C0">
        <w:t>mužů</w:t>
      </w:r>
      <w:r w:rsidR="00BD38CD" w:rsidRPr="001041C0">
        <w:t xml:space="preserve"> a </w:t>
      </w:r>
      <w:r w:rsidRPr="001041C0">
        <w:t>obchodování</w:t>
      </w:r>
      <w:r w:rsidR="00BD38CD" w:rsidRPr="001041C0">
        <w:t xml:space="preserve"> s </w:t>
      </w:r>
      <w:r w:rsidRPr="001041C0">
        <w:t>lidmi;</w:t>
      </w:r>
    </w:p>
    <w:p w:rsidR="002C2FBE" w:rsidRPr="001041C0" w:rsidRDefault="002C2FBE" w:rsidP="002C2FBE">
      <w:pPr>
        <w:pStyle w:val="NormalWeb"/>
        <w:jc w:val="both"/>
      </w:pPr>
      <w:r w:rsidRPr="001041C0">
        <w:t>6.</w:t>
      </w:r>
      <w:r w:rsidRPr="001041C0">
        <w:tab/>
        <w:t>s uspokojením konstatuje, že</w:t>
      </w:r>
      <w:r w:rsidR="00BD38CD" w:rsidRPr="001041C0">
        <w:t xml:space="preserve"> v </w:t>
      </w:r>
      <w:r w:rsidRPr="001041C0">
        <w:t>roce 2023 byla splněna většina cílů</w:t>
      </w:r>
      <w:r w:rsidR="00BD38CD" w:rsidRPr="001041C0">
        <w:t xml:space="preserve"> v </w:t>
      </w:r>
      <w:r w:rsidRPr="001041C0">
        <w:t>oblasti základních práv, což přispělo</w:t>
      </w:r>
      <w:r w:rsidR="00BD38CD" w:rsidRPr="001041C0">
        <w:t xml:space="preserve"> k </w:t>
      </w:r>
      <w:r w:rsidRPr="001041C0">
        <w:t>tomu, že operace agentury Frontex jsou propracovanější</w:t>
      </w:r>
      <w:r w:rsidR="00BD38CD" w:rsidRPr="001041C0">
        <w:t xml:space="preserve"> a </w:t>
      </w:r>
      <w:r w:rsidRPr="001041C0">
        <w:t>více se zaměřují na dodržování lidských práv; lituje, že navzdory oficiálním odpovědím výkonného ředitele agentury Frontex nebyla přijata konkrétní opatření</w:t>
      </w:r>
      <w:r w:rsidR="00BD38CD" w:rsidRPr="001041C0">
        <w:t xml:space="preserve"> k </w:t>
      </w:r>
      <w:r w:rsidRPr="001041C0">
        <w:t>některým stanoviskům vydaným úředníkem pro otázky základních práv,</w:t>
      </w:r>
      <w:r w:rsidR="00BD38CD" w:rsidRPr="001041C0">
        <w:t xml:space="preserve"> a </w:t>
      </w:r>
      <w:r w:rsidRPr="001041C0">
        <w:t>vyzývá proto</w:t>
      </w:r>
      <w:r w:rsidR="00BD38CD" w:rsidRPr="001041C0">
        <w:t xml:space="preserve"> k </w:t>
      </w:r>
      <w:r w:rsidRPr="001041C0">
        <w:t>tomu, aby se agentura</w:t>
      </w:r>
      <w:r w:rsidR="00BD38CD" w:rsidRPr="001041C0">
        <w:t xml:space="preserve"> i </w:t>
      </w:r>
      <w:r w:rsidRPr="001041C0">
        <w:t>nadále zaměřovala na provádění těchto konkrétních opatření na základě doporučení úředníka pro otázky základních práv</w:t>
      </w:r>
      <w:r w:rsidR="00BD38CD" w:rsidRPr="001041C0">
        <w:t xml:space="preserve"> a </w:t>
      </w:r>
      <w:r w:rsidRPr="001041C0">
        <w:t>dále upevnila svůj rámec pro oblast lidských práv;</w:t>
      </w:r>
    </w:p>
    <w:p w:rsidR="002C2FBE" w:rsidRPr="001041C0" w:rsidRDefault="002C2FBE" w:rsidP="002C2FBE">
      <w:pPr>
        <w:spacing w:after="240"/>
      </w:pPr>
      <w:r w:rsidRPr="001041C0">
        <w:t>7.</w:t>
      </w:r>
      <w:r w:rsidRPr="001041C0">
        <w:tab/>
        <w:t>bere na vědomí, že</w:t>
      </w:r>
      <w:r w:rsidR="00BD38CD" w:rsidRPr="001041C0">
        <w:t xml:space="preserve"> v </w:t>
      </w:r>
      <w:r w:rsidRPr="001041C0">
        <w:t>roce 2023 bylo přijato 217 hlášení</w:t>
      </w:r>
      <w:r w:rsidR="00BD38CD" w:rsidRPr="001041C0">
        <w:t xml:space="preserve"> o </w:t>
      </w:r>
      <w:r w:rsidRPr="001041C0">
        <w:t>údajném porušení základních práv, že bylo předloženo 104 zpráv</w:t>
      </w:r>
      <w:r w:rsidR="00BD38CD" w:rsidRPr="001041C0">
        <w:t xml:space="preserve"> o </w:t>
      </w:r>
      <w:r w:rsidRPr="001041C0">
        <w:t>závažných incidentech,</w:t>
      </w:r>
      <w:r w:rsidR="00BD38CD" w:rsidRPr="001041C0">
        <w:t xml:space="preserve"> z </w:t>
      </w:r>
      <w:r w:rsidRPr="001041C0">
        <w:t>nichž 48 se týkalo základních práv, že bylo přijato 67 stížností prostřednictvím mechanismu agentury Frontex pro podávání stížností, bylo zahájeno 55 šetření závažných incidentů</w:t>
      </w:r>
      <w:r w:rsidR="00BD38CD" w:rsidRPr="001041C0">
        <w:t xml:space="preserve"> a </w:t>
      </w:r>
      <w:r w:rsidRPr="001041C0">
        <w:t>bylo uzavřeno 39 závažných incidentů, přičemž</w:t>
      </w:r>
      <w:r w:rsidR="00BD38CD" w:rsidRPr="001041C0">
        <w:t xml:space="preserve"> v </w:t>
      </w:r>
      <w:r w:rsidRPr="001041C0">
        <w:t>téměř 50 % uzavřených případů bylo zjištěno pravděpodobné porušení základních práv; poukazuje na to, že provedená šetření rovněž zdůrazňují, že se agentura Frontex zavázala</w:t>
      </w:r>
      <w:r w:rsidR="00BD38CD" w:rsidRPr="001041C0">
        <w:t xml:space="preserve"> k </w:t>
      </w:r>
      <w:r w:rsidRPr="001041C0">
        <w:t>prosazování transparentnosti</w:t>
      </w:r>
      <w:r w:rsidR="00BD38CD" w:rsidRPr="001041C0">
        <w:t xml:space="preserve"> a </w:t>
      </w:r>
      <w:r w:rsidRPr="001041C0">
        <w:t>odpovědnosti</w:t>
      </w:r>
      <w:r w:rsidR="00BD38CD" w:rsidRPr="001041C0">
        <w:t xml:space="preserve"> a k </w:t>
      </w:r>
      <w:r w:rsidRPr="001041C0">
        <w:t>neustálému zdokonalování;</w:t>
      </w:r>
    </w:p>
    <w:p w:rsidR="002C2FBE" w:rsidRPr="001041C0" w:rsidRDefault="002C2FBE" w:rsidP="002C2FBE">
      <w:pPr>
        <w:spacing w:after="240"/>
      </w:pPr>
      <w:r w:rsidRPr="001041C0">
        <w:t>8.</w:t>
      </w:r>
      <w:r w:rsidRPr="001041C0">
        <w:tab/>
        <w:t>naléhavé žádá agenturu Frontex, aby bezodkladně zajistila splnění veškerých doporučení evropských auditních</w:t>
      </w:r>
      <w:r w:rsidR="00BD38CD" w:rsidRPr="001041C0">
        <w:t xml:space="preserve"> a </w:t>
      </w:r>
      <w:r w:rsidRPr="001041C0">
        <w:t>kontrolních orgánů, zejména doporučení úřadu OLAF</w:t>
      </w:r>
      <w:r w:rsidR="00BD38CD" w:rsidRPr="001041C0">
        <w:t xml:space="preserve"> a </w:t>
      </w:r>
      <w:r w:rsidRPr="001041C0">
        <w:t>pracovní skupiny Evropského parlamentu pro kontrolu agentury Frontex, evropské veřejné ochránkyně práv, Účetního dvora</w:t>
      </w:r>
      <w:r w:rsidR="00BD38CD" w:rsidRPr="001041C0">
        <w:t xml:space="preserve"> a </w:t>
      </w:r>
      <w:r w:rsidRPr="001041C0">
        <w:t>pracovní skupiny agentury Frontex pro základní práva</w:t>
      </w:r>
      <w:r w:rsidR="00BD38CD" w:rsidRPr="001041C0">
        <w:t xml:space="preserve"> a </w:t>
      </w:r>
      <w:r w:rsidRPr="001041C0">
        <w:t>právní</w:t>
      </w:r>
      <w:r w:rsidR="00BD38CD" w:rsidRPr="001041C0">
        <w:t xml:space="preserve"> a </w:t>
      </w:r>
      <w:r w:rsidRPr="001041C0">
        <w:t>provozní aspekty operací;</w:t>
      </w:r>
    </w:p>
    <w:p w:rsidR="002C2FBE" w:rsidRPr="001041C0" w:rsidRDefault="002C2FBE" w:rsidP="002C2FBE">
      <w:pPr>
        <w:pStyle w:val="NormalWeb"/>
        <w:jc w:val="both"/>
      </w:pPr>
      <w:r w:rsidRPr="001041C0">
        <w:t>9.</w:t>
      </w:r>
      <w:r w:rsidRPr="001041C0">
        <w:tab/>
        <w:t>se znepokojením konstatuje, že Účetní dvůr od roku 2018 upozorňuje na vysokou míru opakovaně přenášených</w:t>
      </w:r>
      <w:r w:rsidR="00BD38CD" w:rsidRPr="001041C0">
        <w:t xml:space="preserve"> a </w:t>
      </w:r>
      <w:r w:rsidRPr="001041C0">
        <w:t>rušených prostředků ze strany agentury Frontex</w:t>
      </w:r>
      <w:r w:rsidR="00BD38CD" w:rsidRPr="001041C0">
        <w:t xml:space="preserve"> a </w:t>
      </w:r>
      <w:r w:rsidRPr="001041C0">
        <w:t>že tento problém přetrvával</w:t>
      </w:r>
      <w:r w:rsidR="00BD38CD" w:rsidRPr="001041C0">
        <w:t xml:space="preserve"> i v </w:t>
      </w:r>
      <w:r w:rsidRPr="001041C0">
        <w:t>roce 2023; dále konstatuje, že agentura Frontex má</w:t>
      </w:r>
      <w:r w:rsidR="00BD38CD" w:rsidRPr="001041C0">
        <w:t xml:space="preserve"> i </w:t>
      </w:r>
      <w:r w:rsidRPr="001041C0">
        <w:t>nadále potíže</w:t>
      </w:r>
      <w:r w:rsidR="00BD38CD" w:rsidRPr="001041C0">
        <w:t xml:space="preserve"> s </w:t>
      </w:r>
      <w:r w:rsidRPr="001041C0">
        <w:t>naplněním požadovaného počtu zaměstnanců, jak je stanoveno</w:t>
      </w:r>
      <w:r w:rsidR="00BD38CD" w:rsidRPr="001041C0">
        <w:t xml:space="preserve"> v </w:t>
      </w:r>
      <w:r w:rsidRPr="001041C0">
        <w:t>jejím plánu pracovních míst,</w:t>
      </w:r>
      <w:r w:rsidR="00BD38CD" w:rsidRPr="001041C0">
        <w:t xml:space="preserve"> a </w:t>
      </w:r>
      <w:r w:rsidRPr="001041C0">
        <w:t>že tento problém trvá přinejmenším od roku 2018; upozorňuje na přetrvávající znepokojení Účetního dvora ohledně chybějících pravidel týkajících se oznámených střetů zájmů</w:t>
      </w:r>
      <w:r w:rsidR="00BD38CD" w:rsidRPr="001041C0">
        <w:t xml:space="preserve"> v </w:t>
      </w:r>
      <w:r w:rsidRPr="001041C0">
        <w:t>souvislosti</w:t>
      </w:r>
      <w:r w:rsidR="00BD38CD" w:rsidRPr="001041C0">
        <w:t xml:space="preserve"> s </w:t>
      </w:r>
      <w:r w:rsidRPr="001041C0">
        <w:t>náborem zaměstnanců</w:t>
      </w:r>
      <w:r w:rsidR="00BD38CD" w:rsidRPr="001041C0">
        <w:t xml:space="preserve"> v </w:t>
      </w:r>
      <w:r w:rsidRPr="001041C0">
        <w:t>agentuře Frontex;</w:t>
      </w:r>
    </w:p>
    <w:p w:rsidR="002C2FBE" w:rsidRPr="001041C0" w:rsidRDefault="002C2FBE" w:rsidP="002C2FBE">
      <w:pPr>
        <w:pStyle w:val="NormalWeb"/>
        <w:jc w:val="both"/>
      </w:pPr>
      <w:r w:rsidRPr="001041C0">
        <w:t>10.</w:t>
      </w:r>
      <w:r w:rsidRPr="001041C0">
        <w:tab/>
        <w:t>bere na vědomí, že Účetní dvůr uvedl</w:t>
      </w:r>
      <w:r w:rsidR="00BD38CD" w:rsidRPr="001041C0">
        <w:t xml:space="preserve"> v </w:t>
      </w:r>
      <w:r w:rsidRPr="001041C0">
        <w:t>souvislosti</w:t>
      </w:r>
      <w:r w:rsidR="00BD38CD" w:rsidRPr="001041C0">
        <w:t xml:space="preserve"> s </w:t>
      </w:r>
      <w:r w:rsidRPr="001041C0">
        <w:t>roční účetní závěrkou</w:t>
      </w:r>
      <w:r w:rsidR="00BD38CD" w:rsidRPr="001041C0">
        <w:t xml:space="preserve"> v </w:t>
      </w:r>
      <w:r w:rsidRPr="001041C0">
        <w:t>oddíle Zdůraznění skutečnosti informace</w:t>
      </w:r>
      <w:r w:rsidR="00BD38CD" w:rsidRPr="001041C0">
        <w:t xml:space="preserve"> k </w:t>
      </w:r>
      <w:r w:rsidRPr="001041C0">
        <w:t>výpočtu příspěvků zemí přidružených</w:t>
      </w:r>
      <w:r w:rsidR="00BD38CD" w:rsidRPr="001041C0">
        <w:t xml:space="preserve"> k </w:t>
      </w:r>
      <w:r w:rsidRPr="001041C0">
        <w:t>Schengenu vybraných</w:t>
      </w:r>
      <w:r w:rsidR="00BD38CD" w:rsidRPr="001041C0">
        <w:t xml:space="preserve"> v </w:t>
      </w:r>
      <w:r w:rsidRPr="001041C0">
        <w:t>roce 2022; bere na vědomí odpověď agentury Frontex, že se tyto výpočty provádějí na základě zavedené praxe, kterou podpořila správní rada</w:t>
      </w:r>
      <w:r w:rsidR="00BD38CD" w:rsidRPr="001041C0">
        <w:t xml:space="preserve"> a </w:t>
      </w:r>
      <w:r w:rsidRPr="001041C0">
        <w:t>Komise; vyzývá Komisi, aby tyto dohody přehodnotila</w:t>
      </w:r>
      <w:r w:rsidR="00BD38CD" w:rsidRPr="001041C0">
        <w:t xml:space="preserve"> a </w:t>
      </w:r>
      <w:r w:rsidRPr="001041C0">
        <w:t>zajistila větší důslednost metody používané ke stanovování příspěvků pro Unii</w:t>
      </w:r>
      <w:r w:rsidR="00BD38CD" w:rsidRPr="001041C0">
        <w:t xml:space="preserve"> a </w:t>
      </w:r>
      <w:r w:rsidRPr="001041C0">
        <w:t>její agentury;</w:t>
      </w:r>
    </w:p>
    <w:p w:rsidR="002C2FBE" w:rsidRPr="001041C0" w:rsidRDefault="002C2FBE" w:rsidP="002C2FBE">
      <w:pPr>
        <w:pStyle w:val="NormalWeb"/>
        <w:jc w:val="both"/>
      </w:pPr>
      <w:r w:rsidRPr="001041C0">
        <w:t>11.</w:t>
      </w:r>
      <w:r w:rsidRPr="001041C0">
        <w:tab/>
        <w:t>vyzývá Komisi, aby</w:t>
      </w:r>
      <w:r w:rsidR="00BD38CD" w:rsidRPr="001041C0">
        <w:t xml:space="preserve"> s </w:t>
      </w:r>
      <w:r w:rsidRPr="001041C0">
        <w:t>ohledem na náročnou migrační krizi</w:t>
      </w:r>
      <w:r w:rsidR="00BD38CD" w:rsidRPr="001041C0">
        <w:t xml:space="preserve"> a </w:t>
      </w:r>
      <w:r w:rsidRPr="001041C0">
        <w:t>zejména poté, co vstoupil</w:t>
      </w:r>
      <w:r w:rsidR="00BD38CD" w:rsidRPr="001041C0">
        <w:t xml:space="preserve"> v </w:t>
      </w:r>
      <w:r w:rsidRPr="001041C0">
        <w:t>platnost Pakt</w:t>
      </w:r>
      <w:r w:rsidR="00BD38CD" w:rsidRPr="001041C0">
        <w:t xml:space="preserve"> o </w:t>
      </w:r>
      <w:r w:rsidRPr="001041C0">
        <w:t>migraci</w:t>
      </w:r>
      <w:r w:rsidR="00BD38CD" w:rsidRPr="001041C0">
        <w:t xml:space="preserve"> a </w:t>
      </w:r>
      <w:r w:rsidRPr="001041C0">
        <w:t>azylu</w:t>
      </w:r>
      <w:r w:rsidR="00BD38CD" w:rsidRPr="001041C0">
        <w:t xml:space="preserve"> a </w:t>
      </w:r>
      <w:r w:rsidRPr="001041C0">
        <w:t>co Rusko</w:t>
      </w:r>
      <w:r w:rsidR="00BD38CD" w:rsidRPr="001041C0">
        <w:t xml:space="preserve"> a </w:t>
      </w:r>
      <w:r w:rsidRPr="001041C0">
        <w:t>Bělorusko zahájily své hybridní operace, navázala na prohlášení předsedkyně Komise Ursuly von der Leyenové</w:t>
      </w:r>
      <w:r w:rsidR="00BD38CD" w:rsidRPr="001041C0">
        <w:t xml:space="preserve"> z </w:t>
      </w:r>
      <w:r w:rsidRPr="001041C0">
        <w:t>července 2024,</w:t>
      </w:r>
      <w:r w:rsidR="00BD38CD" w:rsidRPr="001041C0">
        <w:t xml:space="preserve"> v </w:t>
      </w:r>
      <w:r w:rsidRPr="001041C0">
        <w:t>němž uvádí, že agentura Frontex je na dobré cestě</w:t>
      </w:r>
      <w:r w:rsidR="00BD38CD" w:rsidRPr="001041C0">
        <w:t xml:space="preserve"> k </w:t>
      </w:r>
      <w:r w:rsidRPr="001041C0">
        <w:t>dalšímu navýšení počtu svých zaměstnanců až na 30 000 osob; zdůrazňuje, že toto navýšení by významně zvýšilo schopnost této agentury zvládat</w:t>
      </w:r>
      <w:r w:rsidR="00BD38CD" w:rsidRPr="001041C0">
        <w:t xml:space="preserve"> a </w:t>
      </w:r>
      <w:r w:rsidRPr="001041C0">
        <w:t>řídit migrační toky</w:t>
      </w:r>
      <w:r w:rsidR="00BD38CD" w:rsidRPr="001041C0">
        <w:t xml:space="preserve"> a </w:t>
      </w:r>
      <w:r w:rsidRPr="001041C0">
        <w:t>zajistit bezpečnost</w:t>
      </w:r>
      <w:r w:rsidR="00BD38CD" w:rsidRPr="001041C0">
        <w:t xml:space="preserve"> a </w:t>
      </w:r>
      <w:r w:rsidRPr="001041C0">
        <w:t>dodržování základních práv na vnějších hranicích Unie, což posílí její mimořádně důležitou úlohu</w:t>
      </w:r>
      <w:r w:rsidR="00BD38CD" w:rsidRPr="001041C0">
        <w:t xml:space="preserve"> v </w:t>
      </w:r>
      <w:r w:rsidRPr="001041C0">
        <w:t>rámci širší migrační strategie Unie; vyzývá Komisi, aby přijala nezbytná opatření</w:t>
      </w:r>
      <w:r w:rsidR="00BD38CD" w:rsidRPr="001041C0">
        <w:t xml:space="preserve"> s </w:t>
      </w:r>
      <w:r w:rsidRPr="001041C0">
        <w:t>cílem poskytnout agentuře Frontex zdroje odpovídající současné geopolitické situaci</w:t>
      </w:r>
      <w:r w:rsidR="00BD38CD" w:rsidRPr="001041C0">
        <w:t xml:space="preserve"> a k </w:t>
      </w:r>
      <w:r w:rsidRPr="001041C0">
        <w:t>boji proti převaděčství.</w:t>
      </w:r>
    </w:p>
    <w:p w:rsidR="002C2FBE" w:rsidRPr="001041C0" w:rsidRDefault="002C2FBE" w:rsidP="002C2FBE">
      <w:pPr>
        <w:spacing w:after="240"/>
        <w:rPr>
          <w:b/>
        </w:rPr>
      </w:pPr>
      <w:r w:rsidRPr="001041C0">
        <w:rPr>
          <w:b/>
        </w:rPr>
        <w:t>Část VI – Udělení absolutoria za plnění rozpočtu Agentury Evropské unie pro vzdělávání</w:t>
      </w:r>
      <w:r w:rsidR="00BD38CD" w:rsidRPr="001041C0">
        <w:rPr>
          <w:b/>
        </w:rPr>
        <w:t xml:space="preserve"> a </w:t>
      </w:r>
      <w:r w:rsidRPr="001041C0">
        <w:rPr>
          <w:b/>
        </w:rPr>
        <w:t>výcvik</w:t>
      </w:r>
      <w:r w:rsidR="00BD38CD" w:rsidRPr="001041C0">
        <w:rPr>
          <w:b/>
        </w:rPr>
        <w:t xml:space="preserve"> v </w:t>
      </w:r>
      <w:r w:rsidRPr="001041C0">
        <w:rPr>
          <w:b/>
        </w:rPr>
        <w:t>oblasti prosazování práva na rozpočtový rok 2023</w:t>
      </w:r>
    </w:p>
    <w:p w:rsidR="002C2FBE" w:rsidRPr="001041C0" w:rsidRDefault="002C2FBE" w:rsidP="002C2FBE">
      <w:pPr>
        <w:spacing w:after="240"/>
      </w:pPr>
      <w:r w:rsidRPr="001041C0">
        <w:t>1.</w:t>
      </w:r>
      <w:r w:rsidRPr="001041C0">
        <w:tab/>
        <w:t>Oceňuje intenzivnější snahu agentury CEPOL</w:t>
      </w:r>
      <w:r w:rsidR="00BD38CD" w:rsidRPr="001041C0">
        <w:t xml:space="preserve"> o </w:t>
      </w:r>
      <w:r w:rsidRPr="001041C0">
        <w:t>zajištění komplexního portfolia týkajícího se vzdělávání</w:t>
      </w:r>
      <w:r w:rsidR="00BD38CD" w:rsidRPr="001041C0">
        <w:t xml:space="preserve"> a </w:t>
      </w:r>
      <w:r w:rsidRPr="001041C0">
        <w:t>výcviku ve všech oblastech evropské multidisciplinární platformy pro boj proti hrozbám vyplývajícím</w:t>
      </w:r>
      <w:r w:rsidR="00BD38CD" w:rsidRPr="001041C0">
        <w:t xml:space="preserve"> z </w:t>
      </w:r>
      <w:r w:rsidRPr="001041C0">
        <w:t>trestné činnosti (EMPACT); konstatuje, že závažná</w:t>
      </w:r>
      <w:r w:rsidR="00BD38CD" w:rsidRPr="001041C0">
        <w:t xml:space="preserve"> a </w:t>
      </w:r>
      <w:r w:rsidRPr="001041C0">
        <w:t>organizovaná trestná činnost</w:t>
      </w:r>
      <w:r w:rsidR="00BD38CD" w:rsidRPr="001041C0">
        <w:t xml:space="preserve"> a </w:t>
      </w:r>
      <w:r w:rsidRPr="001041C0">
        <w:t>kybernetická kriminalita byly nejpopulárnějšími tématy,</w:t>
      </w:r>
      <w:r w:rsidR="00BD38CD" w:rsidRPr="001041C0">
        <w:t xml:space="preserve"> v </w:t>
      </w:r>
      <w:r w:rsidRPr="001041C0">
        <w:t>nichž se</w:t>
      </w:r>
      <w:r w:rsidR="00BD38CD" w:rsidRPr="001041C0">
        <w:t xml:space="preserve"> v </w:t>
      </w:r>
      <w:r w:rsidRPr="001041C0">
        <w:t>roce 2023 proškolilo téměř 62 %</w:t>
      </w:r>
      <w:r w:rsidR="00BD38CD" w:rsidRPr="001041C0">
        <w:t xml:space="preserve"> z </w:t>
      </w:r>
      <w:r w:rsidRPr="001041C0">
        <w:t>celkového počtu účastníků; zdůrazňuje, že při auditu plateb</w:t>
      </w:r>
      <w:r w:rsidR="00BD38CD" w:rsidRPr="001041C0">
        <w:t xml:space="preserve"> v </w:t>
      </w:r>
      <w:r w:rsidRPr="001041C0">
        <w:t>rámci rámcové smlouvy na služby spojené</w:t>
      </w:r>
      <w:r w:rsidR="00BD38CD" w:rsidRPr="001041C0">
        <w:t xml:space="preserve"> s </w:t>
      </w:r>
      <w:r w:rsidRPr="001041C0">
        <w:t>pořádáním cest</w:t>
      </w:r>
      <w:r w:rsidR="00BD38CD" w:rsidRPr="001041C0">
        <w:t xml:space="preserve"> a </w:t>
      </w:r>
      <w:r w:rsidRPr="001041C0">
        <w:t>akcí Účetní dvůr zjistil, že agentura CEPOL sledovala čerpání smlouvy spíše na úrovni plateb než rozpočtových závazků; souhlasí</w:t>
      </w:r>
      <w:r w:rsidR="00BD38CD" w:rsidRPr="001041C0">
        <w:t xml:space="preserve"> s </w:t>
      </w:r>
      <w:r w:rsidRPr="001041C0">
        <w:t>Účetním dvorem, že tento přístup není</w:t>
      </w:r>
      <w:r w:rsidR="00BD38CD" w:rsidRPr="001041C0">
        <w:t xml:space="preserve"> v </w:t>
      </w:r>
      <w:r w:rsidRPr="001041C0">
        <w:t>souladu</w:t>
      </w:r>
      <w:r w:rsidR="00BD38CD" w:rsidRPr="001041C0">
        <w:t xml:space="preserve"> s </w:t>
      </w:r>
      <w:r w:rsidRPr="001041C0">
        <w:t>článkem 111 finančního nařízení EU;</w:t>
      </w:r>
    </w:p>
    <w:p w:rsidR="002C2FBE" w:rsidRPr="001041C0" w:rsidRDefault="002C2FBE" w:rsidP="002C2FBE">
      <w:pPr>
        <w:spacing w:after="240"/>
      </w:pPr>
      <w:r w:rsidRPr="001041C0">
        <w:t>2.</w:t>
      </w:r>
      <w:r w:rsidRPr="001041C0">
        <w:tab/>
        <w:t>oceňuje, že agentura CEPOL zveřejnila přezkum unijního posouzení strategických potřeb odborné přípravy na období 2022–2025</w:t>
      </w:r>
      <w:r w:rsidR="00BD38CD" w:rsidRPr="001041C0">
        <w:t xml:space="preserve"> v </w:t>
      </w:r>
      <w:r w:rsidRPr="001041C0">
        <w:t>polovině období, při němž byly zjištěny nově vzniklé strategické potřeby</w:t>
      </w:r>
      <w:r w:rsidR="00BD38CD" w:rsidRPr="001041C0">
        <w:t xml:space="preserve"> v </w:t>
      </w:r>
      <w:r w:rsidRPr="001041C0">
        <w:t>oblasti odborné přípravy pracovníků donucovacích orgánů na úrovni EU;</w:t>
      </w:r>
    </w:p>
    <w:p w:rsidR="002C2FBE" w:rsidRPr="001041C0" w:rsidRDefault="002C2FBE" w:rsidP="002C2FBE">
      <w:pPr>
        <w:spacing w:after="240"/>
      </w:pPr>
      <w:r w:rsidRPr="001041C0">
        <w:t>3.</w:t>
      </w:r>
      <w:r w:rsidRPr="001041C0">
        <w:tab/>
        <w:t>vítá, že agentura CEPOL</w:t>
      </w:r>
      <w:r w:rsidR="00BD38CD" w:rsidRPr="001041C0">
        <w:t xml:space="preserve"> v </w:t>
      </w:r>
      <w:r w:rsidRPr="001041C0">
        <w:t>rámci své akademie pro boj proti kyberkriminalitě</w:t>
      </w:r>
      <w:r w:rsidR="00BD38CD" w:rsidRPr="001041C0">
        <w:t xml:space="preserve"> i </w:t>
      </w:r>
      <w:r w:rsidRPr="001041C0">
        <w:t>nadále zajišťovala portfolio odborné přípravy</w:t>
      </w:r>
      <w:r w:rsidR="00BD38CD" w:rsidRPr="001041C0">
        <w:t xml:space="preserve"> v </w:t>
      </w:r>
      <w:r w:rsidRPr="001041C0">
        <w:t>oblasti kybernetické kriminality;</w:t>
      </w:r>
      <w:r w:rsidR="00BD38CD" w:rsidRPr="001041C0">
        <w:t xml:space="preserve"> s </w:t>
      </w:r>
      <w:r w:rsidRPr="001041C0">
        <w:t>potěšením konstatuje, že úzce specializovaná školicí činnost vedla</w:t>
      </w:r>
      <w:r w:rsidR="00BD38CD" w:rsidRPr="001041C0">
        <w:t xml:space="preserve"> k </w:t>
      </w:r>
      <w:r w:rsidRPr="001041C0">
        <w:t>rozšíření znalostí</w:t>
      </w:r>
      <w:r w:rsidR="00BD38CD" w:rsidRPr="001041C0">
        <w:t xml:space="preserve"> v </w:t>
      </w:r>
      <w:r w:rsidRPr="001041C0">
        <w:t>oblasti kybernetické kriminality</w:t>
      </w:r>
      <w:r w:rsidR="00BD38CD" w:rsidRPr="001041C0">
        <w:t xml:space="preserve"> a </w:t>
      </w:r>
      <w:r w:rsidRPr="001041C0">
        <w:t>kybernetických kapacit</w:t>
      </w:r>
      <w:r w:rsidR="00BD38CD" w:rsidRPr="001041C0">
        <w:t xml:space="preserve"> v </w:t>
      </w:r>
      <w:r w:rsidRPr="001041C0">
        <w:t>Evropě</w:t>
      </w:r>
      <w:r w:rsidR="00BD38CD" w:rsidRPr="001041C0">
        <w:t xml:space="preserve"> v </w:t>
      </w:r>
      <w:r w:rsidRPr="001041C0">
        <w:t>oblasti boje proti sexuálnímu zneužívání dětí, internetovým podvodným systémům</w:t>
      </w:r>
      <w:r w:rsidR="00BD38CD" w:rsidRPr="001041C0">
        <w:t xml:space="preserve"> a </w:t>
      </w:r>
      <w:r w:rsidRPr="001041C0">
        <w:t>kybernetickým útokům</w:t>
      </w:r>
      <w:r w:rsidR="00BD38CD" w:rsidRPr="001041C0">
        <w:t xml:space="preserve"> a </w:t>
      </w:r>
      <w:r w:rsidRPr="001041C0">
        <w:t>že agentura CEPOL připravila své vůbec první zvláštní praktické školení týkající se umělé inteligence;</w:t>
      </w:r>
    </w:p>
    <w:p w:rsidR="002C2FBE" w:rsidRPr="001041C0" w:rsidRDefault="002C2FBE" w:rsidP="002C2FBE">
      <w:pPr>
        <w:spacing w:after="240"/>
      </w:pPr>
      <w:r w:rsidRPr="001041C0">
        <w:t>4.</w:t>
      </w:r>
      <w:r w:rsidRPr="001041C0">
        <w:tab/>
        <w:t>s politováním konstatuje, že</w:t>
      </w:r>
      <w:r w:rsidR="00BD38CD" w:rsidRPr="001041C0">
        <w:t xml:space="preserve"> v </w:t>
      </w:r>
      <w:r w:rsidRPr="001041C0">
        <w:t xml:space="preserve">roce 2023 (kdy </w:t>
      </w:r>
      <w:r w:rsidR="00F20203" w:rsidRPr="001041C0">
        <w:t>bylo zorganizováno 19 školení</w:t>
      </w:r>
      <w:r w:rsidR="00BD38CD" w:rsidRPr="001041C0">
        <w:t xml:space="preserve"> s </w:t>
      </w:r>
      <w:r w:rsidRPr="001041C0">
        <w:t>2 063 účastníky) došlo ve srovnání</w:t>
      </w:r>
      <w:r w:rsidR="00BD38CD" w:rsidRPr="001041C0">
        <w:t xml:space="preserve"> s </w:t>
      </w:r>
      <w:r w:rsidRPr="001041C0">
        <w:t>rokem 2022 (30 školení se 4 014 účastníky)</w:t>
      </w:r>
      <w:r w:rsidR="00BD38CD" w:rsidRPr="001041C0">
        <w:t xml:space="preserve"> k </w:t>
      </w:r>
      <w:r w:rsidRPr="001041C0">
        <w:t>omezení školicí činnosti</w:t>
      </w:r>
      <w:r w:rsidR="00BD38CD" w:rsidRPr="001041C0">
        <w:t xml:space="preserve"> v </w:t>
      </w:r>
      <w:r w:rsidRPr="001041C0">
        <w:t>oblasti základních práv</w:t>
      </w:r>
      <w:r w:rsidR="00BD38CD" w:rsidRPr="001041C0">
        <w:t xml:space="preserve"> a </w:t>
      </w:r>
      <w:r w:rsidRPr="001041C0">
        <w:t>ochrany údajů; zdůrazňuje, že základním cílem agentury CEPOL je podporovat, vypracovávat, zajišťovat</w:t>
      </w:r>
      <w:r w:rsidR="00BD38CD" w:rsidRPr="001041C0">
        <w:t xml:space="preserve"> a </w:t>
      </w:r>
      <w:r w:rsidRPr="001041C0">
        <w:t>koordinovat proškolování pracovníků donucovacích orgánů</w:t>
      </w:r>
      <w:r w:rsidR="00BD38CD" w:rsidRPr="001041C0">
        <w:t xml:space="preserve"> a </w:t>
      </w:r>
      <w:r w:rsidRPr="001041C0">
        <w:t>klást přitom důraz na ochranu lidských práv</w:t>
      </w:r>
      <w:r w:rsidR="00BD38CD" w:rsidRPr="001041C0">
        <w:t xml:space="preserve"> a </w:t>
      </w:r>
      <w:r w:rsidRPr="001041C0">
        <w:t>základních svobod</w:t>
      </w:r>
      <w:r w:rsidR="00BD38CD" w:rsidRPr="001041C0">
        <w:t xml:space="preserve"> v </w:t>
      </w:r>
      <w:r w:rsidRPr="001041C0">
        <w:t>souvislosti</w:t>
      </w:r>
      <w:r w:rsidR="00BD38CD" w:rsidRPr="001041C0">
        <w:t xml:space="preserve"> s </w:t>
      </w:r>
      <w:r w:rsidRPr="001041C0">
        <w:t>prosazováním práva; bere na vědomí, že zároveň došlo</w:t>
      </w:r>
      <w:r w:rsidR="00BD38CD" w:rsidRPr="001041C0">
        <w:t xml:space="preserve"> k </w:t>
      </w:r>
      <w:r w:rsidRPr="001041C0">
        <w:t>nárůstu celkového počtu účastníků na 46 431 osob; vyzývá agenturu CEPOL, aby zvýšila transparentnost při plánování</w:t>
      </w:r>
      <w:r w:rsidR="00BD38CD" w:rsidRPr="001041C0">
        <w:t xml:space="preserve"> a </w:t>
      </w:r>
      <w:r w:rsidRPr="001041C0">
        <w:t>monitorování realizace těchto vzdělávacích potřeb, zejména</w:t>
      </w:r>
      <w:r w:rsidR="00BD38CD" w:rsidRPr="001041C0">
        <w:t xml:space="preserve"> v </w:t>
      </w:r>
      <w:r w:rsidRPr="001041C0">
        <w:t>souvislosti</w:t>
      </w:r>
      <w:r w:rsidR="00BD38CD" w:rsidRPr="001041C0">
        <w:t xml:space="preserve"> s </w:t>
      </w:r>
      <w:r w:rsidRPr="001041C0">
        <w:t>novými výzvami, jako je rostoucí úloha technologií při prosazování práva.</w:t>
      </w:r>
    </w:p>
    <w:p w:rsidR="002C2FBE" w:rsidRPr="001041C0" w:rsidRDefault="002C2FBE" w:rsidP="002C2FBE">
      <w:pPr>
        <w:spacing w:after="240"/>
        <w:rPr>
          <w:b/>
        </w:rPr>
      </w:pPr>
      <w:r w:rsidRPr="001041C0">
        <w:rPr>
          <w:b/>
        </w:rPr>
        <w:t>Část VII – Udělení absolutoria za plnění rozpočtu Evropského monitorovacího centra pro drogy</w:t>
      </w:r>
      <w:r w:rsidR="00BD38CD" w:rsidRPr="001041C0">
        <w:rPr>
          <w:b/>
        </w:rPr>
        <w:t xml:space="preserve"> a </w:t>
      </w:r>
      <w:r w:rsidRPr="001041C0">
        <w:rPr>
          <w:b/>
        </w:rPr>
        <w:t>drogovou závislost na rozpočtový rok 2023</w:t>
      </w:r>
    </w:p>
    <w:p w:rsidR="002C2FBE" w:rsidRPr="001041C0" w:rsidRDefault="002C2FBE" w:rsidP="002C2FBE">
      <w:pPr>
        <w:spacing w:after="240"/>
      </w:pPr>
      <w:r w:rsidRPr="001041C0">
        <w:t>1.</w:t>
      </w:r>
      <w:r w:rsidRPr="001041C0">
        <w:tab/>
        <w:t>Konstatuje, že dne 1. července 2023 vstoupilo</w:t>
      </w:r>
      <w:r w:rsidR="00BD38CD" w:rsidRPr="001041C0">
        <w:t xml:space="preserve"> v </w:t>
      </w:r>
      <w:r w:rsidRPr="001041C0">
        <w:t>platnost nové nařízení</w:t>
      </w:r>
      <w:r w:rsidR="00BD38CD" w:rsidRPr="001041C0">
        <w:t xml:space="preserve"> o </w:t>
      </w:r>
      <w:r w:rsidRPr="001041C0">
        <w:t>Agentuře Evropské unie pro drogy (EUDA)</w:t>
      </w:r>
      <w:r w:rsidRPr="001041C0">
        <w:rPr>
          <w:rStyle w:val="FootnoteReference"/>
        </w:rPr>
        <w:footnoteReference w:id="8"/>
      </w:r>
      <w:r w:rsidRPr="001041C0">
        <w:t>, které nahradilo nařízení</w:t>
      </w:r>
      <w:r w:rsidR="00BD38CD" w:rsidRPr="001041C0">
        <w:t xml:space="preserve"> o </w:t>
      </w:r>
      <w:r w:rsidRPr="001041C0">
        <w:t>Evropském monitorovacím centru pro drogy</w:t>
      </w:r>
      <w:r w:rsidR="00BD38CD" w:rsidRPr="001041C0">
        <w:t xml:space="preserve"> a </w:t>
      </w:r>
      <w:r w:rsidRPr="001041C0">
        <w:t>drogovou závislost (EMCDDA)</w:t>
      </w:r>
      <w:r w:rsidRPr="001041C0">
        <w:rPr>
          <w:rStyle w:val="FootnoteReference"/>
        </w:rPr>
        <w:footnoteReference w:id="9"/>
      </w:r>
      <w:r w:rsidRPr="001041C0">
        <w:t>,</w:t>
      </w:r>
      <w:r w:rsidR="00BD38CD" w:rsidRPr="001041C0">
        <w:t xml:space="preserve"> a </w:t>
      </w:r>
      <w:r w:rsidRPr="001041C0">
        <w:t>oceňuje, že byl tomuto centru udělen nový, širší mandát; připomíná, že cílem nařízení</w:t>
      </w:r>
      <w:r w:rsidR="00BD38CD" w:rsidRPr="001041C0">
        <w:t xml:space="preserve"> o </w:t>
      </w:r>
      <w:r w:rsidRPr="001041C0">
        <w:t>EUDA je řešit fenomén drog na základě komplexního přístupu založeného na důkazech,</w:t>
      </w:r>
      <w:r w:rsidR="00BD38CD" w:rsidRPr="001041C0">
        <w:t xml:space="preserve"> a </w:t>
      </w:r>
      <w:r w:rsidRPr="001041C0">
        <w:t>vyzývá agenturu, aby zajistila plné provádění svého nového mandátu; bere na vědomí zvýšení rozpočtu agentury EMCDDA</w:t>
      </w:r>
      <w:r w:rsidR="00BD38CD" w:rsidRPr="001041C0">
        <w:t xml:space="preserve"> v </w:t>
      </w:r>
      <w:r w:rsidRPr="001041C0">
        <w:t>roce 2023</w:t>
      </w:r>
      <w:r w:rsidR="00BD38CD" w:rsidRPr="001041C0">
        <w:t xml:space="preserve"> z </w:t>
      </w:r>
      <w:r w:rsidRPr="001041C0">
        <w:t>26 milionů EUR na 29 milionů EUR (+13 %)</w:t>
      </w:r>
      <w:r w:rsidR="00BD38CD" w:rsidRPr="001041C0">
        <w:t xml:space="preserve"> a </w:t>
      </w:r>
      <w:r w:rsidRPr="001041C0">
        <w:t>snížení počtu zaměstnanců ze 110 na 101 (–1 %);</w:t>
      </w:r>
    </w:p>
    <w:p w:rsidR="002C2FBE" w:rsidRPr="001041C0" w:rsidRDefault="002C2FBE" w:rsidP="002C2FBE">
      <w:pPr>
        <w:spacing w:after="240"/>
      </w:pPr>
      <w:r w:rsidRPr="001041C0">
        <w:t>2.</w:t>
      </w:r>
      <w:r w:rsidRPr="001041C0">
        <w:tab/>
        <w:t>vítá příspěvek Evropského monitorovacího centra pro drogy</w:t>
      </w:r>
      <w:r w:rsidR="00BD38CD" w:rsidRPr="001041C0">
        <w:t xml:space="preserve"> a </w:t>
      </w:r>
      <w:r w:rsidRPr="001041C0">
        <w:t>drogovou závislost</w:t>
      </w:r>
      <w:r w:rsidR="00BD38CD" w:rsidRPr="001041C0">
        <w:t xml:space="preserve"> k </w:t>
      </w:r>
      <w:r w:rsidRPr="001041C0">
        <w:t>činnosti platformy EMPACT</w:t>
      </w:r>
      <w:r w:rsidR="00BD38CD" w:rsidRPr="001041C0">
        <w:t xml:space="preserve"> a </w:t>
      </w:r>
      <w:r w:rsidRPr="001041C0">
        <w:t>plnění operačních akčních plánů</w:t>
      </w:r>
      <w:r w:rsidR="00BD38CD" w:rsidRPr="001041C0">
        <w:t xml:space="preserve"> v </w:t>
      </w:r>
      <w:r w:rsidRPr="001041C0">
        <w:t>rámci politického cyklu EU pro boj proti organizované</w:t>
      </w:r>
      <w:r w:rsidR="00BD38CD" w:rsidRPr="001041C0">
        <w:t xml:space="preserve"> a </w:t>
      </w:r>
      <w:r w:rsidRPr="001041C0">
        <w:t>závažné mezinárodní trestné činnosti; oceňuje příspěvek tohoto centra</w:t>
      </w:r>
      <w:r w:rsidR="00BD38CD" w:rsidRPr="001041C0">
        <w:t xml:space="preserve"> k </w:t>
      </w:r>
      <w:r w:rsidRPr="001041C0">
        <w:t>novému plánu EU pro zintenzivnění boje proti obchodu</w:t>
      </w:r>
      <w:r w:rsidR="00BD38CD" w:rsidRPr="001041C0">
        <w:t xml:space="preserve"> s </w:t>
      </w:r>
      <w:r w:rsidRPr="001041C0">
        <w:t>drogami</w:t>
      </w:r>
      <w:r w:rsidR="00BD38CD" w:rsidRPr="001041C0">
        <w:t xml:space="preserve"> a </w:t>
      </w:r>
      <w:r w:rsidRPr="001041C0">
        <w:t>zločineckým sítím</w:t>
      </w:r>
      <w:r w:rsidRPr="001041C0">
        <w:rPr>
          <w:vertAlign w:val="superscript"/>
        </w:rPr>
        <w:footnoteReference w:id="10"/>
      </w:r>
      <w:r w:rsidRPr="001041C0">
        <w:t xml:space="preserve">; </w:t>
      </w:r>
    </w:p>
    <w:p w:rsidR="002C2FBE" w:rsidRPr="001041C0" w:rsidRDefault="002C2FBE" w:rsidP="002C2FBE">
      <w:pPr>
        <w:spacing w:after="240"/>
      </w:pPr>
      <w:r w:rsidRPr="001041C0">
        <w:t>3.</w:t>
      </w:r>
      <w:r w:rsidRPr="001041C0">
        <w:tab/>
        <w:t>vítá vytrvalé úsilí agentury EMCDDA</w:t>
      </w:r>
      <w:r w:rsidR="00BD38CD" w:rsidRPr="001041C0">
        <w:t xml:space="preserve"> o </w:t>
      </w:r>
      <w:r w:rsidRPr="001041C0">
        <w:t>provádění systému včasného varování EU ve spolupráci</w:t>
      </w:r>
      <w:r w:rsidR="00BD38CD" w:rsidRPr="001041C0">
        <w:t xml:space="preserve"> s </w:t>
      </w:r>
      <w:r w:rsidRPr="001041C0">
        <w:t>partnery</w:t>
      </w:r>
      <w:r w:rsidR="00BD38CD" w:rsidRPr="001041C0">
        <w:t xml:space="preserve"> v </w:t>
      </w:r>
      <w:r w:rsidRPr="001041C0">
        <w:t>členských státech; podotýká, že bylo nahlášeno 26 nových psychoaktivních látek</w:t>
      </w:r>
      <w:r w:rsidR="00BD38CD" w:rsidRPr="001041C0">
        <w:t xml:space="preserve"> a </w:t>
      </w:r>
      <w:r w:rsidRPr="001041C0">
        <w:t>že</w:t>
      </w:r>
      <w:r w:rsidR="00BD38CD" w:rsidRPr="001041C0">
        <w:t xml:space="preserve"> v </w:t>
      </w:r>
      <w:r w:rsidRPr="001041C0">
        <w:t>současnosti je celkově sledováno přibližně 950 psychoaktivních látek; oceňuje odborné zprávy, které agentura zveřejňuje;</w:t>
      </w:r>
    </w:p>
    <w:p w:rsidR="002C2FBE" w:rsidRPr="001041C0" w:rsidRDefault="002C2FBE" w:rsidP="002C2FBE">
      <w:pPr>
        <w:spacing w:after="240"/>
      </w:pPr>
      <w:r w:rsidRPr="001041C0">
        <w:t>4.</w:t>
      </w:r>
      <w:r w:rsidRPr="001041C0">
        <w:tab/>
        <w:t>bere na vědomí, že</w:t>
      </w:r>
      <w:r w:rsidR="00BD38CD" w:rsidRPr="001041C0">
        <w:t xml:space="preserve"> v </w:t>
      </w:r>
      <w:r w:rsidRPr="001041C0">
        <w:t>roce 2023 vydalo Evropské monitorovací centrum pro drogy</w:t>
      </w:r>
      <w:r w:rsidR="00BD38CD" w:rsidRPr="001041C0">
        <w:t xml:space="preserve"> a </w:t>
      </w:r>
      <w:r w:rsidRPr="001041C0">
        <w:t>drogovou závislost 30 vědeckých</w:t>
      </w:r>
      <w:r w:rsidR="00BD38CD" w:rsidRPr="001041C0">
        <w:t xml:space="preserve"> a </w:t>
      </w:r>
      <w:r w:rsidRPr="001041C0">
        <w:t>institucionálních publikací</w:t>
      </w:r>
      <w:r w:rsidR="00BD38CD" w:rsidRPr="001041C0">
        <w:t xml:space="preserve"> a </w:t>
      </w:r>
      <w:r w:rsidRPr="001041C0">
        <w:t>bylo autorem či spoluautorem 14 vědeckých článků</w:t>
      </w:r>
      <w:r w:rsidR="00BD38CD" w:rsidRPr="001041C0">
        <w:t xml:space="preserve"> a </w:t>
      </w:r>
      <w:r w:rsidRPr="001041C0">
        <w:t>kapitol</w:t>
      </w:r>
      <w:r w:rsidR="00BD38CD" w:rsidRPr="001041C0">
        <w:t xml:space="preserve"> v </w:t>
      </w:r>
      <w:r w:rsidRPr="001041C0">
        <w:t>odborných publikacích, oceňuje vědecké</w:t>
      </w:r>
      <w:r w:rsidR="00BD38CD" w:rsidRPr="001041C0">
        <w:t xml:space="preserve"> a </w:t>
      </w:r>
      <w:r w:rsidRPr="001041C0">
        <w:t>na důkazech založené odborné znalosti, které agentura poskytuje;</w:t>
      </w:r>
    </w:p>
    <w:p w:rsidR="002C2FBE" w:rsidRPr="001041C0" w:rsidRDefault="002C2FBE" w:rsidP="002C2FBE">
      <w:pPr>
        <w:spacing w:after="240"/>
      </w:pPr>
      <w:r w:rsidRPr="001041C0">
        <w:t>5.</w:t>
      </w:r>
      <w:r w:rsidRPr="001041C0">
        <w:tab/>
        <w:t>vítá modulární Evropskou zprávu</w:t>
      </w:r>
      <w:r w:rsidR="00BD38CD" w:rsidRPr="001041C0">
        <w:t xml:space="preserve"> o </w:t>
      </w:r>
      <w:r w:rsidRPr="001041C0">
        <w:t>drogách za rok 2023, která byla zveřejněna nejprve digitálně,</w:t>
      </w:r>
      <w:r w:rsidR="00BD38CD" w:rsidRPr="001041C0">
        <w:t xml:space="preserve"> a </w:t>
      </w:r>
      <w:r w:rsidRPr="001041C0">
        <w:t>vydání modulů týkajících se amfetaminu</w:t>
      </w:r>
      <w:r w:rsidR="00BD38CD" w:rsidRPr="001041C0">
        <w:t xml:space="preserve"> a </w:t>
      </w:r>
      <w:r w:rsidRPr="001041C0">
        <w:t>konopí</w:t>
      </w:r>
      <w:r w:rsidR="00BD38CD" w:rsidRPr="001041C0">
        <w:t xml:space="preserve"> v </w:t>
      </w:r>
      <w:r w:rsidRPr="001041C0">
        <w:t>rámci společné zprávy centra EMCDDA</w:t>
      </w:r>
      <w:r w:rsidR="00BD38CD" w:rsidRPr="001041C0">
        <w:t xml:space="preserve"> a </w:t>
      </w:r>
      <w:r w:rsidRPr="001041C0">
        <w:t>Europolu</w:t>
      </w:r>
      <w:r w:rsidR="00BD38CD" w:rsidRPr="001041C0">
        <w:t xml:space="preserve"> s </w:t>
      </w:r>
      <w:r w:rsidRPr="001041C0">
        <w:t>názvem „Drogové trhy</w:t>
      </w:r>
      <w:r w:rsidR="00BD38CD" w:rsidRPr="001041C0">
        <w:t xml:space="preserve"> v </w:t>
      </w:r>
      <w:r w:rsidRPr="001041C0">
        <w:t>EU: hloubková analýza“;</w:t>
      </w:r>
    </w:p>
    <w:p w:rsidR="002C2FBE" w:rsidRPr="001041C0" w:rsidRDefault="002C2FBE" w:rsidP="002C2FBE">
      <w:pPr>
        <w:spacing w:after="240"/>
      </w:pPr>
      <w:r w:rsidRPr="001041C0">
        <w:t>6.</w:t>
      </w:r>
      <w:r w:rsidRPr="001041C0">
        <w:tab/>
        <w:t>s uspokojením konstatuje, že centrum EMCDDA poskytovalo tvůrcům politiky</w:t>
      </w:r>
      <w:r w:rsidR="00BD38CD" w:rsidRPr="001041C0">
        <w:t xml:space="preserve"> v </w:t>
      </w:r>
      <w:r w:rsidRPr="001041C0">
        <w:t>členských státech pravidelnou cennou pomoc</w:t>
      </w:r>
      <w:r w:rsidR="00BD38CD" w:rsidRPr="001041C0">
        <w:t xml:space="preserve"> a </w:t>
      </w:r>
      <w:r w:rsidRPr="001041C0">
        <w:t>informace týkající se drogové politiky</w:t>
      </w:r>
      <w:r w:rsidR="00BD38CD" w:rsidRPr="001041C0">
        <w:t xml:space="preserve"> a </w:t>
      </w:r>
      <w:r w:rsidRPr="001041C0">
        <w:t>koordinovalo přípravné vědecké analýzy týkající se poškození zdraví způsobeného drogami, léčby</w:t>
      </w:r>
      <w:r w:rsidR="00BD38CD" w:rsidRPr="001041C0">
        <w:t xml:space="preserve"> a </w:t>
      </w:r>
      <w:r w:rsidRPr="001041C0">
        <w:t>postupů</w:t>
      </w:r>
      <w:r w:rsidR="00BD38CD" w:rsidRPr="001041C0">
        <w:t xml:space="preserve"> k </w:t>
      </w:r>
      <w:r w:rsidRPr="001041C0">
        <w:t>omezení tohoto poškození; zdůrazňuje, že je důležité pokračovat</w:t>
      </w:r>
      <w:r w:rsidR="00BD38CD" w:rsidRPr="001041C0">
        <w:t xml:space="preserve"> v </w:t>
      </w:r>
      <w:r w:rsidRPr="001041C0">
        <w:t>této zásadní práci</w:t>
      </w:r>
      <w:r w:rsidR="00BD38CD" w:rsidRPr="001041C0">
        <w:t xml:space="preserve"> s </w:t>
      </w:r>
      <w:r w:rsidRPr="001041C0">
        <w:t>cílem řešit vznikající trendy</w:t>
      </w:r>
      <w:r w:rsidR="00BD38CD" w:rsidRPr="001041C0">
        <w:t xml:space="preserve"> a </w:t>
      </w:r>
      <w:r w:rsidRPr="001041C0">
        <w:t>výzvy,</w:t>
      </w:r>
      <w:r w:rsidR="00BD38CD" w:rsidRPr="001041C0">
        <w:t xml:space="preserve"> a </w:t>
      </w:r>
      <w:r w:rsidRPr="001041C0">
        <w:t>vyzývá</w:t>
      </w:r>
      <w:r w:rsidR="00BD38CD" w:rsidRPr="001041C0">
        <w:t xml:space="preserve"> k </w:t>
      </w:r>
      <w:r w:rsidRPr="001041C0">
        <w:t>dalšímu posílení těchto činností podporou užší spolupráce</w:t>
      </w:r>
      <w:r w:rsidR="00BD38CD" w:rsidRPr="001041C0">
        <w:t xml:space="preserve"> s </w:t>
      </w:r>
      <w:r w:rsidRPr="001041C0">
        <w:t>členskými státy</w:t>
      </w:r>
      <w:r w:rsidR="00BD38CD" w:rsidRPr="001041C0">
        <w:t xml:space="preserve"> a </w:t>
      </w:r>
      <w:r w:rsidRPr="001041C0">
        <w:t>zajištěním řádného šíření poznatků mezi více lidí, včetně zdravotníků</w:t>
      </w:r>
      <w:r w:rsidR="00BD38CD" w:rsidRPr="001041C0">
        <w:t xml:space="preserve"> a </w:t>
      </w:r>
      <w:r w:rsidRPr="001041C0">
        <w:t>široké veřejnosti;</w:t>
      </w:r>
    </w:p>
    <w:p w:rsidR="002C2FBE" w:rsidRPr="001041C0" w:rsidRDefault="002C2FBE" w:rsidP="002C2FBE">
      <w:pPr>
        <w:spacing w:after="240"/>
      </w:pPr>
      <w:r w:rsidRPr="001041C0">
        <w:t>7.</w:t>
      </w:r>
      <w:r w:rsidRPr="001041C0">
        <w:tab/>
        <w:t>poukazuje na to, že centrum EMCDDA proškolilo více než 3 300 odborníků činných</w:t>
      </w:r>
      <w:r w:rsidR="00BD38CD" w:rsidRPr="001041C0">
        <w:t xml:space="preserve"> v </w:t>
      </w:r>
      <w:r w:rsidRPr="001041C0">
        <w:t>oblasti návykových látek, mj. zdravotnické pracovníky, pracovníky donucovacích orgánů</w:t>
      </w:r>
      <w:r w:rsidR="00BD38CD" w:rsidRPr="001041C0">
        <w:t xml:space="preserve"> a </w:t>
      </w:r>
      <w:r w:rsidRPr="001041C0">
        <w:t>tvůrce politiky</w:t>
      </w:r>
      <w:r w:rsidR="00BD38CD" w:rsidRPr="001041C0">
        <w:t xml:space="preserve"> v </w:t>
      </w:r>
      <w:r w:rsidRPr="001041C0">
        <w:t>Unii</w:t>
      </w:r>
      <w:r w:rsidR="00BD38CD" w:rsidRPr="001041C0">
        <w:t xml:space="preserve"> i </w:t>
      </w:r>
      <w:r w:rsidRPr="001041C0">
        <w:t>mimo ni,</w:t>
      </w:r>
      <w:r w:rsidR="00BD38CD" w:rsidRPr="001041C0">
        <w:t xml:space="preserve"> a </w:t>
      </w:r>
      <w:r w:rsidRPr="001041C0">
        <w:t>že se osmi webinářů, které centrum zorganizovalo, zúčastnilo přibližně 4 800 odborníků; vítá spolupráci</w:t>
      </w:r>
      <w:r w:rsidR="00BD38CD" w:rsidRPr="001041C0">
        <w:t xml:space="preserve"> s </w:t>
      </w:r>
      <w:r w:rsidRPr="001041C0">
        <w:t>dalšími agenturami EU.</w:t>
      </w:r>
    </w:p>
    <w:p w:rsidR="002C2FBE" w:rsidRPr="001041C0" w:rsidRDefault="002C2FBE" w:rsidP="002C2FBE">
      <w:pPr>
        <w:spacing w:after="240"/>
        <w:rPr>
          <w:b/>
        </w:rPr>
      </w:pPr>
      <w:r w:rsidRPr="001041C0">
        <w:rPr>
          <w:b/>
        </w:rPr>
        <w:t>Část VIII – Udělení absolutoria za plnění rozpočtu Agentury Evropské unie pro spolupráci</w:t>
      </w:r>
      <w:r w:rsidR="00BD38CD" w:rsidRPr="001041C0">
        <w:rPr>
          <w:b/>
        </w:rPr>
        <w:t xml:space="preserve"> v </w:t>
      </w:r>
      <w:r w:rsidRPr="001041C0">
        <w:rPr>
          <w:b/>
        </w:rPr>
        <w:t>oblasti prosazování práva na rozpočtový rok 2023</w:t>
      </w:r>
    </w:p>
    <w:p w:rsidR="002C2FBE" w:rsidRPr="001041C0" w:rsidRDefault="002C2FBE" w:rsidP="002C2FBE">
      <w:pPr>
        <w:pStyle w:val="NormalWeb"/>
        <w:jc w:val="both"/>
      </w:pPr>
      <w:r w:rsidRPr="001041C0">
        <w:t>1.</w:t>
      </w:r>
      <w:r w:rsidRPr="001041C0">
        <w:tab/>
        <w:t>Vyjadřuje znepokojení nad připomínkou Účetního dvora</w:t>
      </w:r>
      <w:r w:rsidR="00BD38CD" w:rsidRPr="001041C0">
        <w:t xml:space="preserve"> k </w:t>
      </w:r>
      <w:r w:rsidRPr="001041C0">
        <w:t>legalitě</w:t>
      </w:r>
      <w:r w:rsidR="00BD38CD" w:rsidRPr="001041C0">
        <w:t xml:space="preserve"> a </w:t>
      </w:r>
      <w:r w:rsidRPr="001041C0">
        <w:t>správnosti operací souvisejících</w:t>
      </w:r>
      <w:r w:rsidR="00BD38CD" w:rsidRPr="001041C0">
        <w:t xml:space="preserve"> s </w:t>
      </w:r>
      <w:r w:rsidRPr="001041C0">
        <w:t>provozním grantem na financování činnosti vnitrostátních policejních sil</w:t>
      </w:r>
      <w:r w:rsidR="00BD38CD" w:rsidRPr="001041C0">
        <w:t xml:space="preserve"> v </w:t>
      </w:r>
      <w:r w:rsidRPr="001041C0">
        <w:t>jednom</w:t>
      </w:r>
      <w:r w:rsidR="00BD38CD" w:rsidRPr="001041C0">
        <w:t xml:space="preserve"> z </w:t>
      </w:r>
      <w:r w:rsidRPr="001041C0">
        <w:t>členských států; konstatuje, že Účetní dvůr dospěl</w:t>
      </w:r>
      <w:r w:rsidR="00BD38CD" w:rsidRPr="001041C0">
        <w:t xml:space="preserve"> k </w:t>
      </w:r>
      <w:r w:rsidRPr="001041C0">
        <w:t>závěru, že část grantu ve výši 279 000 EUR byla použita</w:t>
      </w:r>
      <w:r w:rsidR="00BD38CD" w:rsidRPr="001041C0">
        <w:t xml:space="preserve"> v </w:t>
      </w:r>
      <w:r w:rsidRPr="001041C0">
        <w:t>rozporu</w:t>
      </w:r>
      <w:r w:rsidR="00BD38CD" w:rsidRPr="001041C0">
        <w:t xml:space="preserve"> s </w:t>
      </w:r>
      <w:r w:rsidRPr="001041C0">
        <w:t>předpisy; poukazuje na to, že na žádost Účetního dvora Europol identifikoval další granty, jejichž prostřednictvím byla</w:t>
      </w:r>
      <w:r w:rsidR="00BD38CD" w:rsidRPr="001041C0">
        <w:t xml:space="preserve"> v </w:t>
      </w:r>
      <w:r w:rsidRPr="001041C0">
        <w:t>roce 2023 vrácena DPH za podobné činnosti, což vedlo</w:t>
      </w:r>
      <w:r w:rsidR="00BD38CD" w:rsidRPr="001041C0">
        <w:t xml:space="preserve"> k </w:t>
      </w:r>
      <w:r w:rsidRPr="001041C0">
        <w:t>neoprávněným platbám; bere na vědomí odpověď Europolu, že Europol už nebude</w:t>
      </w:r>
      <w:r w:rsidR="00BD38CD" w:rsidRPr="001041C0">
        <w:t xml:space="preserve"> v </w:t>
      </w:r>
      <w:r w:rsidRPr="001041C0">
        <w:t>případě grantů na provozní náklady považovat DPH za způsobilý náklad, čímž zajistí soulad</w:t>
      </w:r>
      <w:r w:rsidR="00BD38CD" w:rsidRPr="001041C0">
        <w:t xml:space="preserve"> s </w:t>
      </w:r>
      <w:r w:rsidRPr="001041C0">
        <w:t>finančním nařízením 2018/1046;</w:t>
      </w:r>
    </w:p>
    <w:p w:rsidR="002C2FBE" w:rsidRPr="001041C0" w:rsidRDefault="002C2FBE" w:rsidP="002C2FBE">
      <w:pPr>
        <w:spacing w:after="240"/>
      </w:pPr>
      <w:r w:rsidRPr="001041C0">
        <w:t>2.</w:t>
      </w:r>
      <w:r w:rsidRPr="001041C0">
        <w:tab/>
        <w:t>s uspokojením konstatuje, že</w:t>
      </w:r>
      <w:r w:rsidR="00BD38CD" w:rsidRPr="001041C0">
        <w:t xml:space="preserve"> v </w:t>
      </w:r>
      <w:r w:rsidRPr="001041C0">
        <w:t>roce 2023 přijal Europol 107 856 provozních příspěvků, podpořil 3 155 operací, vytvořil 27 operativních pracovních skupin, poskytl 21 096 předběžných odpovědí</w:t>
      </w:r>
      <w:r w:rsidR="00BD38CD" w:rsidRPr="001041C0">
        <w:t xml:space="preserve"> v </w:t>
      </w:r>
      <w:r w:rsidRPr="001041C0">
        <w:t>rámci aplikace SIENA</w:t>
      </w:r>
      <w:r w:rsidR="00BD38CD" w:rsidRPr="001041C0">
        <w:t xml:space="preserve"> a </w:t>
      </w:r>
      <w:r w:rsidRPr="001041C0">
        <w:t>zajistil pro orgány členských států, členské státy</w:t>
      </w:r>
      <w:r w:rsidR="00BD38CD" w:rsidRPr="001041C0">
        <w:t xml:space="preserve"> a </w:t>
      </w:r>
      <w:r w:rsidRPr="001041C0">
        <w:t>třetí země širší kapacitu</w:t>
      </w:r>
      <w:r w:rsidR="00BD38CD" w:rsidRPr="001041C0">
        <w:t xml:space="preserve"> k </w:t>
      </w:r>
      <w:r w:rsidRPr="001041C0">
        <w:t>poskytování operativních informací;</w:t>
      </w:r>
    </w:p>
    <w:p w:rsidR="002C2FBE" w:rsidRPr="001041C0" w:rsidRDefault="002C2FBE" w:rsidP="002C2FBE">
      <w:pPr>
        <w:spacing w:after="240"/>
      </w:pPr>
      <w:r w:rsidRPr="001041C0">
        <w:t>3.</w:t>
      </w:r>
      <w:r w:rsidRPr="001041C0">
        <w:tab/>
        <w:t>oceňuje úspěšné spuštění platformy EU pro nelegální obsah online (PERCI), zejména</w:t>
      </w:r>
      <w:r w:rsidR="00BD38CD" w:rsidRPr="001041C0">
        <w:t xml:space="preserve"> s </w:t>
      </w:r>
      <w:r w:rsidRPr="001041C0">
        <w:t>ohledem na splnění veškerých doporučení evropského inspektora ochrany údajů (EIOÚ); oceňuje úzkou spolupráci</w:t>
      </w:r>
      <w:r w:rsidR="00BD38CD" w:rsidRPr="001041C0">
        <w:t xml:space="preserve"> s </w:t>
      </w:r>
      <w:r w:rsidRPr="001041C0">
        <w:t>evropským inspektorem ochrany údajů</w:t>
      </w:r>
      <w:r w:rsidR="00BD38CD" w:rsidRPr="001041C0">
        <w:t xml:space="preserve"> a </w:t>
      </w:r>
      <w:r w:rsidRPr="001041C0">
        <w:t>společnou pracovní skupinou vytvořenou spolu</w:t>
      </w:r>
      <w:r w:rsidR="00BD38CD" w:rsidRPr="001041C0">
        <w:t xml:space="preserve"> s </w:t>
      </w:r>
      <w:r w:rsidRPr="001041C0">
        <w:t>agenturou Frontex za účelem plnění doporučení EIOÚ</w:t>
      </w:r>
      <w:r w:rsidR="00BD38CD" w:rsidRPr="001041C0">
        <w:t xml:space="preserve"> v </w:t>
      </w:r>
      <w:r w:rsidRPr="001041C0">
        <w:t>souvislosti</w:t>
      </w:r>
      <w:r w:rsidR="00BD38CD" w:rsidRPr="001041C0">
        <w:t xml:space="preserve"> s </w:t>
      </w:r>
      <w:r w:rsidRPr="001041C0">
        <w:t>programem agentury Frontex pro zpracování osobních údajů pro analýzu rizik (PeDRA), kdy obě tyto agentury mají výrazný zájem na ochraně základních práv</w:t>
      </w:r>
      <w:r w:rsidR="00BD38CD" w:rsidRPr="001041C0">
        <w:t xml:space="preserve"> a </w:t>
      </w:r>
      <w:r w:rsidRPr="001041C0">
        <w:t>současném zajištění větší bezpečnosti;</w:t>
      </w:r>
    </w:p>
    <w:p w:rsidR="002C2FBE" w:rsidRPr="001041C0" w:rsidRDefault="002C2FBE" w:rsidP="002C2FBE">
      <w:pPr>
        <w:spacing w:after="240"/>
      </w:pPr>
      <w:r w:rsidRPr="001041C0">
        <w:t>4.</w:t>
      </w:r>
      <w:r w:rsidRPr="001041C0">
        <w:tab/>
        <w:t>požaduje, aby spolupráce mezi Europolem</w:t>
      </w:r>
      <w:r w:rsidR="00BD38CD" w:rsidRPr="001041C0">
        <w:t xml:space="preserve"> a </w:t>
      </w:r>
      <w:r w:rsidRPr="001041C0">
        <w:t>dalšími agenturami působícími</w:t>
      </w:r>
      <w:r w:rsidR="00BD38CD" w:rsidRPr="001041C0">
        <w:t xml:space="preserve"> v </w:t>
      </w:r>
      <w:r w:rsidRPr="001041C0">
        <w:t>oblasti spravedlnosti</w:t>
      </w:r>
      <w:r w:rsidR="00BD38CD" w:rsidRPr="001041C0">
        <w:t xml:space="preserve"> a </w:t>
      </w:r>
      <w:r w:rsidRPr="001041C0">
        <w:t>vnitřních věcí byla plně transparentní</w:t>
      </w:r>
      <w:r w:rsidR="00BD38CD" w:rsidRPr="001041C0">
        <w:t xml:space="preserve"> a </w:t>
      </w:r>
      <w:r w:rsidRPr="001041C0">
        <w:t>aby byla zajištěna odpovědnost</w:t>
      </w:r>
      <w:r w:rsidR="00BD38CD" w:rsidRPr="001041C0">
        <w:t xml:space="preserve"> v </w:t>
      </w:r>
      <w:r w:rsidRPr="001041C0">
        <w:t>souladu</w:t>
      </w:r>
      <w:r w:rsidR="00BD38CD" w:rsidRPr="001041C0">
        <w:t xml:space="preserve"> s </w:t>
      </w:r>
      <w:r w:rsidRPr="001041C0">
        <w:t>pravidly EU týkajícími se transparentnosti, základními právy</w:t>
      </w:r>
      <w:r w:rsidR="00BD38CD" w:rsidRPr="001041C0">
        <w:t xml:space="preserve"> a </w:t>
      </w:r>
      <w:r w:rsidRPr="001041C0">
        <w:t>standardy ochrany údajů;</w:t>
      </w:r>
    </w:p>
    <w:p w:rsidR="002C2FBE" w:rsidRPr="001041C0" w:rsidRDefault="002C2FBE" w:rsidP="002C2FBE">
      <w:pPr>
        <w:spacing w:after="240"/>
      </w:pPr>
      <w:r w:rsidRPr="001041C0">
        <w:t>5.</w:t>
      </w:r>
      <w:r w:rsidRPr="001041C0">
        <w:tab/>
        <w:t>vítá uplatňování nařízení</w:t>
      </w:r>
      <w:r w:rsidR="00BD38CD" w:rsidRPr="001041C0">
        <w:t xml:space="preserve"> o </w:t>
      </w:r>
      <w:r w:rsidRPr="001041C0">
        <w:t>Europolu</w:t>
      </w:r>
      <w:r w:rsidRPr="001041C0">
        <w:rPr>
          <w:rStyle w:val="FootnoteReference"/>
        </w:rPr>
        <w:footnoteReference w:id="11"/>
      </w:r>
      <w:r w:rsidRPr="001041C0">
        <w:t>, ve znění</w:t>
      </w:r>
      <w:r w:rsidR="00BD38CD" w:rsidRPr="001041C0">
        <w:t xml:space="preserve"> z </w:t>
      </w:r>
      <w:r w:rsidRPr="001041C0">
        <w:t>roku 2022, zejména urychlené jmenování úředníka pro otázky základních práv</w:t>
      </w:r>
      <w:r w:rsidR="00BD38CD" w:rsidRPr="001041C0">
        <w:t xml:space="preserve"> v </w:t>
      </w:r>
      <w:r w:rsidRPr="001041C0">
        <w:t>lednu 2023, což představuje významný krok</w:t>
      </w:r>
      <w:r w:rsidR="00BD38CD" w:rsidRPr="001041C0">
        <w:t xml:space="preserve"> k </w:t>
      </w:r>
      <w:r w:rsidRPr="001041C0">
        <w:t>širšímu prosazování základních práv ze strany Europolu</w:t>
      </w:r>
      <w:r w:rsidR="00BD38CD" w:rsidRPr="001041C0">
        <w:t xml:space="preserve"> v </w:t>
      </w:r>
      <w:r w:rsidRPr="001041C0">
        <w:t>rámci jeho operací;</w:t>
      </w:r>
    </w:p>
    <w:p w:rsidR="002C2FBE" w:rsidRPr="001041C0" w:rsidRDefault="002C2FBE" w:rsidP="002C2FBE">
      <w:pPr>
        <w:spacing w:after="240"/>
      </w:pPr>
      <w:r w:rsidRPr="001041C0">
        <w:t>6.</w:t>
      </w:r>
      <w:r w:rsidRPr="001041C0">
        <w:tab/>
        <w:t>se znepokojením bere na vědomí zvýšený nábor dětí</w:t>
      </w:r>
      <w:r w:rsidR="00BD38CD" w:rsidRPr="001041C0">
        <w:t xml:space="preserve"> a </w:t>
      </w:r>
      <w:r w:rsidRPr="001041C0">
        <w:t>mladých lidí pro organizovanou trestnou činnost; zdůrazňuje význam jasné</w:t>
      </w:r>
      <w:r w:rsidR="00BD38CD" w:rsidRPr="001041C0">
        <w:t xml:space="preserve"> a </w:t>
      </w:r>
      <w:r w:rsidRPr="001041C0">
        <w:t>komplexní strategie prevence tohoto jevu</w:t>
      </w:r>
      <w:r w:rsidR="00BD38CD" w:rsidRPr="001041C0">
        <w:t xml:space="preserve"> a </w:t>
      </w:r>
      <w:r w:rsidRPr="001041C0">
        <w:t>boje proti němu;</w:t>
      </w:r>
    </w:p>
    <w:p w:rsidR="002C2FBE" w:rsidRPr="001041C0" w:rsidRDefault="002C2FBE" w:rsidP="002C2FBE">
      <w:pPr>
        <w:spacing w:after="240"/>
      </w:pPr>
      <w:r w:rsidRPr="001041C0">
        <w:t>7.</w:t>
      </w:r>
      <w:r w:rsidRPr="001041C0">
        <w:tab/>
        <w:t>je si vědom neocenitelné trvalé podpory, kterou Europol poskytuje Ukrajině, zejména svou účastí ve společném vyšetřovacím týmu, který se zaměřuje na šetření údajných nejzávažnějších mezinárodních zločinů spáchaných na Ukrajině;</w:t>
      </w:r>
      <w:r w:rsidR="00BD38CD" w:rsidRPr="001041C0">
        <w:t xml:space="preserve"> s </w:t>
      </w:r>
      <w:r w:rsidRPr="001041C0">
        <w:t>uspokojením bere na vědomí vytvoření operativní pracovní skupiny, která se zaměřuje na poskytování cílené podpory při probíhajícím vyšetřování válečných zločinů, což poukazuje na zásadní úlohu Europolu</w:t>
      </w:r>
      <w:r w:rsidR="00BD38CD" w:rsidRPr="001041C0">
        <w:t xml:space="preserve"> v </w:t>
      </w:r>
      <w:r w:rsidRPr="001041C0">
        <w:t>oblasti mezinárodní spravedlnosti</w:t>
      </w:r>
      <w:r w:rsidR="00BD38CD" w:rsidRPr="001041C0">
        <w:t xml:space="preserve"> a </w:t>
      </w:r>
      <w:r w:rsidRPr="001041C0">
        <w:t>odpovědnosti;</w:t>
      </w:r>
    </w:p>
    <w:p w:rsidR="00832A7B" w:rsidRPr="001041C0" w:rsidRDefault="002C2FBE" w:rsidP="002C2FBE">
      <w:r w:rsidRPr="001041C0">
        <w:t>8.</w:t>
      </w:r>
      <w:r w:rsidRPr="001041C0">
        <w:tab/>
        <w:t>oceňuje dále snahu Komise</w:t>
      </w:r>
      <w:r w:rsidR="00BD38CD" w:rsidRPr="001041C0">
        <w:t xml:space="preserve"> o </w:t>
      </w:r>
      <w:r w:rsidRPr="001041C0">
        <w:t>vybudování silnější</w:t>
      </w:r>
      <w:r w:rsidR="00BD38CD" w:rsidRPr="001041C0">
        <w:t xml:space="preserve"> a </w:t>
      </w:r>
      <w:r w:rsidRPr="001041C0">
        <w:t>bezpečnější Evropy, jak uvedla předsedkyně Komise Ursula von der Leyenová ve svém prohlášení</w:t>
      </w:r>
      <w:r w:rsidR="00BD38CD" w:rsidRPr="001041C0">
        <w:t xml:space="preserve"> z </w:t>
      </w:r>
      <w:r w:rsidRPr="001041C0">
        <w:t>roku 2024; vyzývá Komisi, aby zdvojnásobila počet pracovníků Europolu</w:t>
      </w:r>
      <w:r w:rsidR="00BD38CD" w:rsidRPr="001041C0">
        <w:t xml:space="preserve"> a </w:t>
      </w:r>
      <w:r w:rsidRPr="001041C0">
        <w:t>uznala jeho ústřední úlohu při zajišťování bezpečnosti</w:t>
      </w:r>
      <w:r w:rsidR="00BD38CD" w:rsidRPr="001041C0">
        <w:t xml:space="preserve"> v </w:t>
      </w:r>
      <w:r w:rsidRPr="001041C0">
        <w:t>celé Unii</w:t>
      </w:r>
      <w:r w:rsidR="00BD38CD" w:rsidRPr="001041C0">
        <w:t xml:space="preserve"> a </w:t>
      </w:r>
      <w:r w:rsidRPr="001041C0">
        <w:t>jeho schopnost reagovat na nově vznikající hrozby; zdůrazňuje navíc, že rozšíření Europolu dále zvýší jeho schopnost podporovat členské státy</w:t>
      </w:r>
      <w:r w:rsidR="00BD38CD" w:rsidRPr="001041C0">
        <w:t xml:space="preserve"> v </w:t>
      </w:r>
      <w:r w:rsidRPr="001041C0">
        <w:t>boji proti závažným trestným činům</w:t>
      </w:r>
      <w:r w:rsidR="00BD38CD" w:rsidRPr="001041C0">
        <w:t xml:space="preserve"> a </w:t>
      </w:r>
      <w:r w:rsidRPr="001041C0">
        <w:t>organizované trestné činnosti,</w:t>
      </w:r>
      <w:r w:rsidR="00BD38CD" w:rsidRPr="001041C0">
        <w:t xml:space="preserve"> a </w:t>
      </w:r>
      <w:r w:rsidRPr="001041C0">
        <w:t>to jak na internetu, tak mimo něj, což přispěje</w:t>
      </w:r>
      <w:r w:rsidR="00BD38CD" w:rsidRPr="001041C0">
        <w:t xml:space="preserve"> k </w:t>
      </w:r>
      <w:r w:rsidRPr="001041C0">
        <w:t xml:space="preserve">bezpečnější Evropě pro všechny. </w:t>
      </w:r>
    </w:p>
    <w:p w:rsidR="0079089E" w:rsidRPr="001041C0" w:rsidRDefault="00832A7B" w:rsidP="00832A7B">
      <w:pPr>
        <w:pStyle w:val="NormalHanging12a"/>
        <w:rPr>
          <w:rStyle w:val="HideTWBExt"/>
        </w:rPr>
      </w:pPr>
      <w:r w:rsidRPr="001041C0">
        <w:rPr>
          <w:rStyle w:val="HideTWBExt"/>
        </w:rPr>
        <w:t>&lt;/RepeatBlock-Dec&gt;</w:t>
      </w:r>
    </w:p>
    <w:p w:rsidR="00BD38CD" w:rsidRPr="001041C0" w:rsidRDefault="0079089E" w:rsidP="00BD38CD">
      <w:pPr>
        <w:pStyle w:val="PageHeadingNotTOC"/>
      </w:pPr>
      <w:r w:rsidRPr="001041C0">
        <w:br w:type="page"/>
      </w:r>
      <w:bookmarkStart w:id="1" w:name="FootprintPageAD"/>
      <w:r w:rsidR="00BD38CD" w:rsidRPr="001041C0">
        <w:t>PŘÍLOHA: SUBJEKTY NEBO OSOBY,</w:t>
      </w:r>
      <w:r w:rsidR="00BD38CD" w:rsidRPr="001041C0">
        <w:br/>
        <w:t>OD NICHŽ ZPRAVODAJ OBDRŽEL PODNĚTY</w:t>
      </w:r>
    </w:p>
    <w:p w:rsidR="00BD38CD" w:rsidRPr="001041C0" w:rsidRDefault="00BD38CD" w:rsidP="00BD38CD">
      <w:pPr>
        <w:pStyle w:val="Normal24a"/>
      </w:pPr>
      <w:r w:rsidRPr="001041C0">
        <w:rPr>
          <w:rStyle w:val="HideTWBExt"/>
        </w:rPr>
        <w:t>&lt;FootprintIntro&gt;</w:t>
      </w:r>
      <w:r w:rsidRPr="001041C0">
        <w:t>Zpravodaj v souladu s článkem 8 přílohy I jednacího řádu prohlašuje, že při vypracovávání stanoviska až do okamžiku jeho přijetí ve výboru obdržel podněty od těchto subjektů nebo osob:</w:t>
      </w:r>
      <w:r w:rsidRPr="001041C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D38CD" w:rsidRPr="001041C0" w:rsidTr="004D78D2">
        <w:tc>
          <w:tcPr>
            <w:tcW w:w="9060" w:type="dxa"/>
            <w:shd w:val="clear" w:color="auto" w:fill="auto"/>
          </w:tcPr>
          <w:p w:rsidR="00BD38CD" w:rsidRPr="001041C0" w:rsidRDefault="00BD38CD" w:rsidP="004D78D2">
            <w:pPr>
              <w:pStyle w:val="NormalBoldCenter"/>
            </w:pPr>
            <w:r w:rsidRPr="001041C0">
              <w:t>Subjekt nebo osoba</w:t>
            </w:r>
          </w:p>
        </w:tc>
      </w:tr>
      <w:tr w:rsidR="00BD38CD" w:rsidRPr="001041C0" w:rsidTr="004D78D2">
        <w:tc>
          <w:tcPr>
            <w:tcW w:w="9060" w:type="dxa"/>
            <w:shd w:val="clear" w:color="auto" w:fill="auto"/>
          </w:tcPr>
          <w:p w:rsidR="00BD38CD" w:rsidRPr="001041C0" w:rsidRDefault="00BD38CD" w:rsidP="004D78D2">
            <w:pPr>
              <w:pStyle w:val="NormalSingle"/>
            </w:pPr>
            <w:r w:rsidRPr="001041C0">
              <w:t>European Border and Coast Guard Agency (“Frontex”)</w:t>
            </w:r>
          </w:p>
        </w:tc>
      </w:tr>
    </w:tbl>
    <w:p w:rsidR="00BD38CD" w:rsidRPr="001041C0" w:rsidRDefault="00BD38CD" w:rsidP="00BD38CD">
      <w:pPr>
        <w:pStyle w:val="Footprint12b"/>
      </w:pPr>
      <w:r w:rsidRPr="001041C0">
        <w:t>Výše uvedený seznam je sestaven na výhradní odpovědnost zpravodaje.</w:t>
      </w:r>
    </w:p>
    <w:p w:rsidR="00BD38CD" w:rsidRPr="001041C0" w:rsidRDefault="00BD38CD" w:rsidP="00BD38CD">
      <w:pPr>
        <w:pStyle w:val="Footprint12b"/>
      </w:pPr>
      <w:r w:rsidRPr="001041C0">
        <w:t>Pokud jsou na seznamu uvedena jména, funkce, případně jména i funkce fyzických osob, zpravodaj prohlašuje, že příslušné fyzické osoby byly seznámeny s prohlášením Evropského parlamentu o ochraně osobních údajů č. 484 (</w:t>
      </w:r>
      <w:hyperlink r:id="rId8" w:history="1">
        <w:r w:rsidRPr="001041C0">
          <w:rPr>
            <w:rStyle w:val="Hyperlink"/>
            <w:szCs w:val="20"/>
          </w:rPr>
          <w:t>https://www.europarl.europa.eu/data-protect/index.do</w:t>
        </w:r>
      </w:hyperlink>
      <w:r w:rsidRPr="001041C0">
        <w:t>), které stanoví podmínky platné pro zpracování jejich osobních údajů a práva související s tímto zpracováním.</w:t>
      </w:r>
    </w:p>
    <w:bookmarkEnd w:id="1"/>
    <w:p w:rsidR="00BD38CD" w:rsidRPr="001041C0" w:rsidRDefault="00BD38CD" w:rsidP="00BD38CD">
      <w:pPr>
        <w:sectPr w:rsidR="00BD38CD" w:rsidRPr="001041C0" w:rsidSect="001041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9089E" w:rsidRPr="001041C0" w:rsidRDefault="0079089E" w:rsidP="0079089E"/>
    <w:p w:rsidR="0079089E" w:rsidRPr="001041C0" w:rsidRDefault="0079089E" w:rsidP="0079089E">
      <w:pPr>
        <w:pStyle w:val="PageHeadingNotTOC"/>
      </w:pPr>
      <w:bookmarkStart w:id="2" w:name="ProcPageAD"/>
      <w:r w:rsidRPr="001041C0">
        <w:t>INFORMACE</w:t>
      </w:r>
      <w:r w:rsidR="00BD38CD" w:rsidRPr="001041C0">
        <w:t xml:space="preserve"> O </w:t>
      </w:r>
      <w:r w:rsidRPr="001041C0">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9089E" w:rsidRPr="001041C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b/>
                <w:bCs/>
                <w:color w:val="000000"/>
                <w:sz w:val="20"/>
              </w:rPr>
            </w:pPr>
            <w:r w:rsidRPr="001041C0">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9089E" w:rsidRPr="001041C0" w:rsidRDefault="0079089E">
            <w:pPr>
              <w:autoSpaceDE w:val="0"/>
              <w:autoSpaceDN w:val="0"/>
              <w:adjustRightInd w:val="0"/>
              <w:rPr>
                <w:color w:val="000000"/>
                <w:sz w:val="20"/>
              </w:rPr>
            </w:pPr>
            <w:r w:rsidRPr="001041C0">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9089E" w:rsidRPr="001041C0" w:rsidRDefault="007908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9089E" w:rsidRPr="001041C0" w:rsidRDefault="0079089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rFonts w:ascii="sans-serif" w:hAnsi="sans-serif" w:cs="sans-serif"/>
                <w:color w:val="000000"/>
                <w:szCs w:val="24"/>
              </w:rPr>
            </w:pPr>
          </w:p>
        </w:tc>
      </w:tr>
      <w:tr w:rsidR="0079089E" w:rsidRPr="001041C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b/>
                <w:bCs/>
                <w:color w:val="000000"/>
                <w:sz w:val="20"/>
              </w:rPr>
            </w:pPr>
            <w:r w:rsidRPr="001041C0">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9089E" w:rsidRPr="001041C0" w:rsidRDefault="0079089E">
            <w:pPr>
              <w:autoSpaceDE w:val="0"/>
              <w:autoSpaceDN w:val="0"/>
              <w:adjustRightInd w:val="0"/>
              <w:rPr>
                <w:color w:val="000000"/>
                <w:sz w:val="20"/>
              </w:rPr>
            </w:pPr>
            <w:r w:rsidRPr="001041C0">
              <w:rPr>
                <w:color w:val="000000"/>
                <w:sz w:val="20"/>
              </w:rPr>
              <w:t>+:</w:t>
            </w:r>
          </w:p>
          <w:p w:rsidR="0079089E" w:rsidRPr="001041C0" w:rsidRDefault="0079089E">
            <w:pPr>
              <w:autoSpaceDE w:val="0"/>
              <w:autoSpaceDN w:val="0"/>
              <w:adjustRightInd w:val="0"/>
              <w:rPr>
                <w:color w:val="000000"/>
                <w:sz w:val="20"/>
              </w:rPr>
            </w:pPr>
            <w:r w:rsidRPr="001041C0">
              <w:rPr>
                <w:color w:val="000000"/>
                <w:sz w:val="20"/>
              </w:rPr>
              <w:t>–:</w:t>
            </w:r>
          </w:p>
          <w:p w:rsidR="0079089E" w:rsidRPr="001041C0" w:rsidRDefault="0079089E">
            <w:pPr>
              <w:autoSpaceDE w:val="0"/>
              <w:autoSpaceDN w:val="0"/>
              <w:adjustRightInd w:val="0"/>
              <w:rPr>
                <w:color w:val="000000"/>
                <w:sz w:val="20"/>
              </w:rPr>
            </w:pPr>
            <w:r w:rsidRPr="001041C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color w:val="000000"/>
                <w:sz w:val="20"/>
              </w:rPr>
            </w:pPr>
            <w:r w:rsidRPr="001041C0">
              <w:rPr>
                <w:color w:val="000000"/>
                <w:sz w:val="20"/>
              </w:rPr>
              <w:t>37</w:t>
            </w:r>
          </w:p>
          <w:p w:rsidR="0079089E" w:rsidRPr="001041C0" w:rsidRDefault="0079089E">
            <w:pPr>
              <w:autoSpaceDE w:val="0"/>
              <w:autoSpaceDN w:val="0"/>
              <w:adjustRightInd w:val="0"/>
              <w:rPr>
                <w:color w:val="000000"/>
                <w:sz w:val="20"/>
              </w:rPr>
            </w:pPr>
            <w:r w:rsidRPr="001041C0">
              <w:rPr>
                <w:color w:val="000000"/>
                <w:sz w:val="20"/>
              </w:rPr>
              <w:t>13</w:t>
            </w:r>
          </w:p>
          <w:p w:rsidR="0079089E" w:rsidRPr="001041C0" w:rsidRDefault="0079089E">
            <w:pPr>
              <w:autoSpaceDE w:val="0"/>
              <w:autoSpaceDN w:val="0"/>
              <w:adjustRightInd w:val="0"/>
              <w:rPr>
                <w:color w:val="000000"/>
                <w:sz w:val="20"/>
              </w:rPr>
            </w:pPr>
            <w:r w:rsidRPr="001041C0">
              <w:rPr>
                <w:color w:val="000000"/>
                <w:sz w:val="20"/>
              </w:rPr>
              <w:t>9</w:t>
            </w:r>
          </w:p>
        </w:tc>
      </w:tr>
      <w:tr w:rsidR="0079089E" w:rsidRPr="001041C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b/>
                <w:bCs/>
                <w:color w:val="000000"/>
                <w:sz w:val="20"/>
              </w:rPr>
            </w:pPr>
            <w:r w:rsidRPr="001041C0">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color w:val="000000"/>
                <w:sz w:val="20"/>
              </w:rPr>
            </w:pPr>
            <w:r w:rsidRPr="001041C0">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79089E" w:rsidRPr="001041C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b/>
                <w:bCs/>
                <w:color w:val="000000"/>
                <w:sz w:val="20"/>
              </w:rPr>
            </w:pPr>
            <w:r w:rsidRPr="001041C0">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color w:val="000000"/>
                <w:sz w:val="20"/>
              </w:rPr>
            </w:pPr>
            <w:r w:rsidRPr="001041C0">
              <w:rPr>
                <w:color w:val="000000"/>
                <w:sz w:val="20"/>
              </w:rPr>
              <w:t>Fredis Beleris, David Casa, Sigrid Friis, Markéta Gregorová, Hannah Neumann, Gaetano Pedulla’, Oliver Schenk, Alexander Sell, Bartłomiej Sienkiewicz, Malika Sorel, António Tânger Corrêa, Marco Tarquinio, Pekka Toveri, Loránt Vincze, Petar Volgin, Axel Voss, Michał Wawrykiewicz, Lucia Yar</w:t>
            </w:r>
          </w:p>
        </w:tc>
      </w:tr>
      <w:tr w:rsidR="0079089E" w:rsidRPr="001041C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b/>
                <w:bCs/>
                <w:color w:val="000000"/>
                <w:sz w:val="20"/>
              </w:rPr>
            </w:pPr>
            <w:r w:rsidRPr="001041C0">
              <w:rPr>
                <w:b/>
                <w:color w:val="000000"/>
                <w:sz w:val="20"/>
              </w:rPr>
              <w:t>Poslanci uvedení</w:t>
            </w:r>
            <w:r w:rsidR="00BD38CD" w:rsidRPr="001041C0">
              <w:rPr>
                <w:b/>
                <w:color w:val="000000"/>
                <w:sz w:val="20"/>
              </w:rPr>
              <w:t xml:space="preserve"> v </w:t>
            </w:r>
            <w:r w:rsidRPr="001041C0">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9089E" w:rsidRPr="001041C0" w:rsidRDefault="0079089E">
            <w:pPr>
              <w:autoSpaceDE w:val="0"/>
              <w:autoSpaceDN w:val="0"/>
              <w:adjustRightInd w:val="0"/>
              <w:rPr>
                <w:color w:val="000000"/>
                <w:sz w:val="20"/>
              </w:rPr>
            </w:pPr>
            <w:r w:rsidRPr="001041C0">
              <w:rPr>
                <w:color w:val="000000"/>
                <w:sz w:val="20"/>
              </w:rPr>
              <w:t>Bart Groothuis, Rima Hassan, Anja Hazekamp, Pär Holmgren, Sérgio Humberto, Evelyn Regner, Carla Tavares, Ingeborg Ter Laak</w:t>
            </w:r>
          </w:p>
        </w:tc>
      </w:tr>
    </w:tbl>
    <w:p w:rsidR="0079089E" w:rsidRPr="001041C0" w:rsidRDefault="0079089E" w:rsidP="002C2FBE"/>
    <w:bookmarkEnd w:id="2"/>
    <w:p w:rsidR="00BD38CD" w:rsidRPr="001041C0" w:rsidRDefault="00BD38CD" w:rsidP="0079089E">
      <w:pPr>
        <w:sectPr w:rsidR="00BD38CD" w:rsidRPr="001041C0" w:rsidSect="001041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pPr>
    </w:p>
    <w:p w:rsidR="002C2FBE" w:rsidRPr="001041C0" w:rsidRDefault="002C2FBE" w:rsidP="00C36610">
      <w:pPr>
        <w:pStyle w:val="PageHeadingNotTOC"/>
      </w:pPr>
      <w:bookmarkStart w:id="3" w:name="RollCallPageAD"/>
      <w:r w:rsidRPr="001041C0">
        <w:t>JMENOVITÉ KONEČNÉ HLASOVÁNÍ</w:t>
      </w:r>
      <w:r w:rsidR="00BD38CD" w:rsidRPr="001041C0">
        <w:br/>
      </w:r>
      <w:r w:rsidRPr="001041C0">
        <w:t>VE VÝBORU POSKYTUJÍCÍM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C2FBE" w:rsidRPr="001041C0" w:rsidTr="002C2FBE">
        <w:trPr>
          <w:cantSplit/>
        </w:trPr>
        <w:tc>
          <w:tcPr>
            <w:tcW w:w="1701" w:type="dxa"/>
            <w:shd w:val="pct10" w:color="000000" w:fill="FFFFFF"/>
            <w:vAlign w:val="center"/>
          </w:tcPr>
          <w:p w:rsidR="002C2FBE" w:rsidRPr="001041C0" w:rsidRDefault="002C2FBE" w:rsidP="003858C5">
            <w:pPr>
              <w:pStyle w:val="RollCallVotes"/>
            </w:pPr>
            <w:r w:rsidRPr="001041C0">
              <w:t>37</w:t>
            </w:r>
          </w:p>
        </w:tc>
        <w:tc>
          <w:tcPr>
            <w:tcW w:w="7371" w:type="dxa"/>
            <w:shd w:val="pct10" w:color="000000" w:fill="FFFFFF"/>
          </w:tcPr>
          <w:p w:rsidR="002C2FBE" w:rsidRPr="001041C0" w:rsidRDefault="002C2FBE" w:rsidP="003858C5">
            <w:pPr>
              <w:pStyle w:val="RollCallSymbols14pt"/>
            </w:pPr>
            <w:r w:rsidRPr="001041C0">
              <w:t>+</w:t>
            </w:r>
          </w:p>
        </w:tc>
      </w:tr>
      <w:tr w:rsidR="002C2FBE" w:rsidRPr="001041C0" w:rsidTr="002C2FBE">
        <w:trPr>
          <w:cantSplit/>
        </w:trPr>
        <w:tc>
          <w:tcPr>
            <w:tcW w:w="1701" w:type="dxa"/>
            <w:shd w:val="clear" w:color="auto" w:fill="FFFFFF"/>
          </w:tcPr>
          <w:p w:rsidR="002C2FBE" w:rsidRPr="001041C0" w:rsidRDefault="002C2FBE" w:rsidP="003858C5">
            <w:pPr>
              <w:pStyle w:val="RollCallTable"/>
            </w:pPr>
            <w:r w:rsidRPr="001041C0">
              <w:t>ECR</w:t>
            </w:r>
          </w:p>
        </w:tc>
        <w:tc>
          <w:tcPr>
            <w:tcW w:w="7371" w:type="dxa"/>
            <w:shd w:val="clear" w:color="auto" w:fill="FFFFFF"/>
          </w:tcPr>
          <w:p w:rsidR="002C2FBE" w:rsidRPr="001041C0" w:rsidRDefault="002C2FBE" w:rsidP="003858C5">
            <w:pPr>
              <w:pStyle w:val="RollCallTable"/>
            </w:pPr>
            <w:r w:rsidRPr="001041C0">
              <w:t>Georgiana Teodorescu</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PPE</w:t>
            </w:r>
          </w:p>
        </w:tc>
        <w:tc>
          <w:tcPr>
            <w:tcW w:w="7371" w:type="dxa"/>
            <w:shd w:val="clear" w:color="auto" w:fill="FFFFFF"/>
          </w:tcPr>
          <w:p w:rsidR="002C2FBE" w:rsidRPr="001041C0" w:rsidRDefault="002C2FBE" w:rsidP="002C2FBE">
            <w:pPr>
              <w:pStyle w:val="RollCallTable"/>
            </w:pPr>
            <w:r w:rsidRPr="001041C0">
              <w:t>Magdalena Adamowicz, Fredis Beleris, Krzysztof Brejza, David Casa, Lena Düpont, Branko Grims, Sérgio Humberto, Oliver Schenk, Bartłomiej Sienkiewicz, Ingeborg Ter Laak, Pekka Toveri, Loránt Vincze, Axel Voss, Michał Wawrykiewicz, Tomáš Zdechovský</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Renew</w:t>
            </w:r>
          </w:p>
        </w:tc>
        <w:tc>
          <w:tcPr>
            <w:tcW w:w="7371" w:type="dxa"/>
            <w:shd w:val="clear" w:color="auto" w:fill="FFFFFF"/>
          </w:tcPr>
          <w:p w:rsidR="002C2FBE" w:rsidRPr="001041C0" w:rsidRDefault="002C2FBE" w:rsidP="002C2FBE">
            <w:pPr>
              <w:pStyle w:val="RollCallTable"/>
            </w:pPr>
            <w:r w:rsidRPr="001041C0">
              <w:t>Veronika Cifrová Ostrihoňová, Sigrid Friis, Raquel García Hermida-Van Der Walle, Bart Groothuis, Irena Joveva, Fabienne Keller, Michael McNamara, Sophie Wilmès, Lucia Yar</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S&amp;D</w:t>
            </w:r>
          </w:p>
        </w:tc>
        <w:tc>
          <w:tcPr>
            <w:tcW w:w="7371" w:type="dxa"/>
            <w:shd w:val="clear" w:color="auto" w:fill="FFFFFF"/>
          </w:tcPr>
          <w:p w:rsidR="002C2FBE" w:rsidRPr="001041C0" w:rsidRDefault="002C2FBE" w:rsidP="002C2FBE">
            <w:pPr>
              <w:pStyle w:val="RollCallTable"/>
            </w:pPr>
            <w:r w:rsidRPr="001041C0">
              <w:t>Evin Incir, Marina Kaljurand, Juan Fernando López Aguilar, Evelyn Regner, Birgit Sippel, Krzysztof Śmiszek, Cecilia Strada, Marco Tarquinio, Carla Tavares, Alessandro Zan</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The Left</w:t>
            </w:r>
          </w:p>
        </w:tc>
        <w:tc>
          <w:tcPr>
            <w:tcW w:w="7371" w:type="dxa"/>
            <w:shd w:val="clear" w:color="auto" w:fill="FFFFFF"/>
          </w:tcPr>
          <w:p w:rsidR="002C2FBE" w:rsidRPr="001041C0" w:rsidRDefault="002C2FBE" w:rsidP="002C2FBE">
            <w:pPr>
              <w:pStyle w:val="RollCallTable"/>
            </w:pPr>
            <w:r w:rsidRPr="001041C0">
              <w:t>Giuseppe Antoci, Gaetano Pedulla'</w:t>
            </w:r>
          </w:p>
        </w:tc>
      </w:tr>
    </w:tbl>
    <w:p w:rsidR="002C2FBE" w:rsidRPr="001041C0" w:rsidRDefault="002C2FBE"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C2FBE" w:rsidRPr="001041C0" w:rsidTr="002C2FBE">
        <w:trPr>
          <w:cantSplit/>
        </w:trPr>
        <w:tc>
          <w:tcPr>
            <w:tcW w:w="1701" w:type="dxa"/>
            <w:shd w:val="pct10" w:color="000000" w:fill="FFFFFF"/>
            <w:vAlign w:val="center"/>
          </w:tcPr>
          <w:p w:rsidR="002C2FBE" w:rsidRPr="001041C0" w:rsidRDefault="002C2FBE" w:rsidP="003858C5">
            <w:pPr>
              <w:pStyle w:val="RollCallVotes"/>
            </w:pPr>
            <w:r w:rsidRPr="001041C0">
              <w:t>13</w:t>
            </w:r>
          </w:p>
        </w:tc>
        <w:tc>
          <w:tcPr>
            <w:tcW w:w="7371" w:type="dxa"/>
            <w:shd w:val="pct10" w:color="000000" w:fill="FFFFFF"/>
          </w:tcPr>
          <w:p w:rsidR="002C2FBE" w:rsidRPr="001041C0" w:rsidRDefault="002C2FBE" w:rsidP="003858C5">
            <w:pPr>
              <w:pStyle w:val="RollCallSymbols14pt"/>
            </w:pPr>
            <w:r w:rsidRPr="001041C0">
              <w:t>-</w:t>
            </w:r>
          </w:p>
        </w:tc>
      </w:tr>
      <w:tr w:rsidR="002C2FBE" w:rsidRPr="001041C0" w:rsidTr="002C2FBE">
        <w:trPr>
          <w:cantSplit/>
        </w:trPr>
        <w:tc>
          <w:tcPr>
            <w:tcW w:w="1701" w:type="dxa"/>
            <w:shd w:val="clear" w:color="auto" w:fill="FFFFFF"/>
          </w:tcPr>
          <w:p w:rsidR="002C2FBE" w:rsidRPr="001041C0" w:rsidRDefault="002C2FBE" w:rsidP="003858C5">
            <w:pPr>
              <w:pStyle w:val="RollCallTable"/>
            </w:pPr>
            <w:r w:rsidRPr="001041C0">
              <w:t>ESN</w:t>
            </w:r>
          </w:p>
        </w:tc>
        <w:tc>
          <w:tcPr>
            <w:tcW w:w="7371" w:type="dxa"/>
            <w:shd w:val="clear" w:color="auto" w:fill="FFFFFF"/>
          </w:tcPr>
          <w:p w:rsidR="002C2FBE" w:rsidRPr="001041C0" w:rsidRDefault="002C2FBE" w:rsidP="003858C5">
            <w:pPr>
              <w:pStyle w:val="RollCallTable"/>
            </w:pPr>
            <w:r w:rsidRPr="001041C0">
              <w:t>Alexander Sell, Milan Uhrík, Petar Volgin</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NI</w:t>
            </w:r>
          </w:p>
        </w:tc>
        <w:tc>
          <w:tcPr>
            <w:tcW w:w="7371" w:type="dxa"/>
            <w:shd w:val="clear" w:color="auto" w:fill="FFFFFF"/>
          </w:tcPr>
          <w:p w:rsidR="002C2FBE" w:rsidRPr="001041C0" w:rsidRDefault="002C2FBE" w:rsidP="002C2FBE">
            <w:pPr>
              <w:pStyle w:val="RollCallTable"/>
            </w:pPr>
            <w:r w:rsidRPr="001041C0">
              <w:t>Erik Kaliňák</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PPE</w:t>
            </w:r>
          </w:p>
        </w:tc>
        <w:tc>
          <w:tcPr>
            <w:tcW w:w="7371" w:type="dxa"/>
            <w:shd w:val="clear" w:color="auto" w:fill="FFFFFF"/>
          </w:tcPr>
          <w:p w:rsidR="002C2FBE" w:rsidRPr="001041C0" w:rsidRDefault="002C2FBE" w:rsidP="002C2FBE">
            <w:pPr>
              <w:pStyle w:val="RollCallTable"/>
            </w:pPr>
            <w:r w:rsidRPr="001041C0">
              <w:t>Javier Zarzalejos</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PfE</w:t>
            </w:r>
          </w:p>
        </w:tc>
        <w:tc>
          <w:tcPr>
            <w:tcW w:w="7371" w:type="dxa"/>
            <w:shd w:val="clear" w:color="auto" w:fill="FFFFFF"/>
          </w:tcPr>
          <w:p w:rsidR="002C2FBE" w:rsidRPr="001041C0" w:rsidRDefault="002C2FBE" w:rsidP="002C2FBE">
            <w:pPr>
              <w:pStyle w:val="RollCallTable"/>
            </w:pPr>
            <w:r w:rsidRPr="001041C0">
              <w:t>Nikola Bartůšek, Jaroslav Bžoch, Marieke Ehlers, András László, Malika Sorel, Petra Steger, António Tânger Corrêa, Tom Vandendriessche</w:t>
            </w:r>
          </w:p>
        </w:tc>
      </w:tr>
    </w:tbl>
    <w:p w:rsidR="002C2FBE" w:rsidRPr="001041C0" w:rsidRDefault="002C2FBE"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C2FBE" w:rsidRPr="001041C0" w:rsidTr="002C2FBE">
        <w:trPr>
          <w:cantSplit/>
        </w:trPr>
        <w:tc>
          <w:tcPr>
            <w:tcW w:w="1701" w:type="dxa"/>
            <w:shd w:val="pct10" w:color="000000" w:fill="FFFFFF"/>
            <w:vAlign w:val="center"/>
          </w:tcPr>
          <w:p w:rsidR="002C2FBE" w:rsidRPr="001041C0" w:rsidRDefault="002C2FBE" w:rsidP="003858C5">
            <w:pPr>
              <w:pStyle w:val="RollCallVotes"/>
            </w:pPr>
            <w:r w:rsidRPr="001041C0">
              <w:t>9</w:t>
            </w:r>
          </w:p>
        </w:tc>
        <w:tc>
          <w:tcPr>
            <w:tcW w:w="7371" w:type="dxa"/>
            <w:shd w:val="pct10" w:color="000000" w:fill="FFFFFF"/>
          </w:tcPr>
          <w:p w:rsidR="002C2FBE" w:rsidRPr="001041C0" w:rsidRDefault="002C2FBE" w:rsidP="003858C5">
            <w:pPr>
              <w:pStyle w:val="RollCallSymbols14pt"/>
            </w:pPr>
            <w:r w:rsidRPr="001041C0">
              <w:t>0</w:t>
            </w:r>
          </w:p>
        </w:tc>
      </w:tr>
      <w:tr w:rsidR="002C2FBE" w:rsidRPr="001041C0" w:rsidTr="002C2FBE">
        <w:trPr>
          <w:cantSplit/>
        </w:trPr>
        <w:tc>
          <w:tcPr>
            <w:tcW w:w="1701" w:type="dxa"/>
            <w:shd w:val="clear" w:color="auto" w:fill="FFFFFF"/>
          </w:tcPr>
          <w:p w:rsidR="002C2FBE" w:rsidRPr="001041C0" w:rsidRDefault="002C2FBE" w:rsidP="003858C5">
            <w:pPr>
              <w:pStyle w:val="RollCallTable"/>
            </w:pPr>
            <w:r w:rsidRPr="001041C0">
              <w:t>ECR</w:t>
            </w:r>
          </w:p>
        </w:tc>
        <w:tc>
          <w:tcPr>
            <w:tcW w:w="7371" w:type="dxa"/>
            <w:shd w:val="clear" w:color="auto" w:fill="FFFFFF"/>
          </w:tcPr>
          <w:p w:rsidR="002C2FBE" w:rsidRPr="001041C0" w:rsidRDefault="002C2FBE" w:rsidP="003858C5">
            <w:pPr>
              <w:pStyle w:val="RollCallTable"/>
            </w:pPr>
            <w:r w:rsidRPr="001041C0">
              <w:t>Charlie Weimers</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The Left</w:t>
            </w:r>
          </w:p>
        </w:tc>
        <w:tc>
          <w:tcPr>
            <w:tcW w:w="7371" w:type="dxa"/>
            <w:shd w:val="clear" w:color="auto" w:fill="FFFFFF"/>
          </w:tcPr>
          <w:p w:rsidR="002C2FBE" w:rsidRPr="001041C0" w:rsidRDefault="002C2FBE" w:rsidP="002C2FBE">
            <w:pPr>
              <w:pStyle w:val="RollCallTable"/>
            </w:pPr>
            <w:r w:rsidRPr="001041C0">
              <w:t>Rima Hassan, Anja Hazekamp</w:t>
            </w:r>
          </w:p>
        </w:tc>
      </w:tr>
      <w:tr w:rsidR="002C2FBE" w:rsidRPr="001041C0" w:rsidTr="002C2FBE">
        <w:trPr>
          <w:cantSplit/>
        </w:trPr>
        <w:tc>
          <w:tcPr>
            <w:tcW w:w="1701" w:type="dxa"/>
            <w:shd w:val="clear" w:color="auto" w:fill="FFFFFF"/>
          </w:tcPr>
          <w:p w:rsidR="002C2FBE" w:rsidRPr="001041C0" w:rsidRDefault="002C2FBE" w:rsidP="002C2FBE">
            <w:pPr>
              <w:pStyle w:val="RollCallTable"/>
            </w:pPr>
            <w:r w:rsidRPr="001041C0">
              <w:t>Verts/ALE</w:t>
            </w:r>
          </w:p>
        </w:tc>
        <w:tc>
          <w:tcPr>
            <w:tcW w:w="7371" w:type="dxa"/>
            <w:shd w:val="clear" w:color="auto" w:fill="FFFFFF"/>
          </w:tcPr>
          <w:p w:rsidR="002C2FBE" w:rsidRPr="001041C0" w:rsidRDefault="002C2FBE" w:rsidP="002C2FBE">
            <w:pPr>
              <w:pStyle w:val="RollCallTable"/>
            </w:pPr>
            <w:r w:rsidRPr="001041C0">
              <w:t>Jaume Asens Llodrà, Saskia Bricmont, Markéta Gregorová, Pär Holmgren, Erik Marquardt, Hannah Neumann</w:t>
            </w:r>
          </w:p>
        </w:tc>
      </w:tr>
    </w:tbl>
    <w:p w:rsidR="002C2FBE" w:rsidRPr="001041C0" w:rsidRDefault="002C2FBE" w:rsidP="00147FBF">
      <w:pPr>
        <w:pStyle w:val="Normal12a"/>
      </w:pPr>
    </w:p>
    <w:p w:rsidR="002C2FBE" w:rsidRPr="001041C0" w:rsidRDefault="002C2FBE" w:rsidP="00B735E3">
      <w:r w:rsidRPr="001041C0">
        <w:t>Význam zkratek:</w:t>
      </w:r>
    </w:p>
    <w:p w:rsidR="002C2FBE" w:rsidRPr="001041C0" w:rsidRDefault="002C2FBE" w:rsidP="003858C5">
      <w:pPr>
        <w:pStyle w:val="RollCallTabs"/>
      </w:pPr>
      <w:r w:rsidRPr="001041C0">
        <w:t>+</w:t>
      </w:r>
      <w:r w:rsidRPr="001041C0">
        <w:tab/>
        <w:t>:</w:t>
      </w:r>
      <w:r w:rsidRPr="001041C0">
        <w:tab/>
        <w:t>pro</w:t>
      </w:r>
    </w:p>
    <w:p w:rsidR="002C2FBE" w:rsidRPr="001041C0" w:rsidRDefault="002C2FBE" w:rsidP="003858C5">
      <w:pPr>
        <w:pStyle w:val="RollCallTabs"/>
      </w:pPr>
      <w:r w:rsidRPr="001041C0">
        <w:t>-</w:t>
      </w:r>
      <w:r w:rsidRPr="001041C0">
        <w:tab/>
        <w:t>:</w:t>
      </w:r>
      <w:r w:rsidRPr="001041C0">
        <w:tab/>
        <w:t>proti</w:t>
      </w:r>
    </w:p>
    <w:p w:rsidR="002C2FBE" w:rsidRPr="001041C0" w:rsidRDefault="002C2FBE" w:rsidP="003858C5">
      <w:pPr>
        <w:pStyle w:val="RollCallTabs"/>
      </w:pPr>
      <w:r w:rsidRPr="001041C0">
        <w:t>0</w:t>
      </w:r>
      <w:r w:rsidRPr="001041C0">
        <w:tab/>
        <w:t>:</w:t>
      </w:r>
      <w:r w:rsidRPr="001041C0">
        <w:tab/>
        <w:t>zdrželi se</w:t>
      </w:r>
    </w:p>
    <w:p w:rsidR="002C2FBE" w:rsidRPr="001041C0" w:rsidRDefault="002C2FBE" w:rsidP="00207509"/>
    <w:bookmarkEnd w:id="3"/>
    <w:p w:rsidR="00832A7B" w:rsidRPr="001041C0" w:rsidRDefault="00832A7B" w:rsidP="0079089E"/>
    <w:sectPr w:rsidR="00832A7B" w:rsidRPr="001041C0" w:rsidSect="00BD38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3F4" w:rsidRPr="001041C0" w:rsidRDefault="00DA03F4">
      <w:r w:rsidRPr="001041C0">
        <w:separator/>
      </w:r>
    </w:p>
  </w:endnote>
  <w:endnote w:type="continuationSeparator" w:id="0">
    <w:p w:rsidR="00DA03F4" w:rsidRPr="001041C0" w:rsidRDefault="00DA03F4">
      <w:r w:rsidRPr="001041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variable"/>
    <w:sig w:usb0="00000001" w:usb1="5000217F" w:usb2="00000021" w:usb3="00000000" w:csb0="000001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1C0" w:rsidRPr="001041C0" w:rsidRDefault="001041C0" w:rsidP="001041C0">
    <w:pPr>
      <w:pStyle w:val="EPFooter"/>
    </w:pPr>
    <w:r w:rsidRPr="001041C0">
      <w:t>PE</w:t>
    </w:r>
    <w:r w:rsidRPr="001041C0">
      <w:rPr>
        <w:rStyle w:val="HideTWBExt"/>
      </w:rPr>
      <w:t>&lt;NoPE&gt;</w:t>
    </w:r>
    <w:r w:rsidRPr="001041C0">
      <w:t>765.284</w:t>
    </w:r>
    <w:r w:rsidRPr="001041C0">
      <w:rPr>
        <w:rStyle w:val="HideTWBExt"/>
      </w:rPr>
      <w:t>&lt;/NoPE&gt;&lt;Version&gt;</w:t>
    </w:r>
    <w:r w:rsidRPr="001041C0">
      <w:t>v02-00</w:t>
    </w:r>
    <w:r w:rsidRPr="001041C0">
      <w:rPr>
        <w:rStyle w:val="HideTWBExt"/>
      </w:rPr>
      <w:t>&lt;/Version&gt;</w:t>
    </w:r>
    <w:r w:rsidRPr="001041C0">
      <w:tab/>
    </w:r>
    <w:r w:rsidRPr="001041C0">
      <w:fldChar w:fldCharType="begin"/>
    </w:r>
    <w:r w:rsidRPr="001041C0">
      <w:instrText xml:space="preserve"> PAGE  \* MERGEFORMAT </w:instrText>
    </w:r>
    <w:r w:rsidRPr="001041C0">
      <w:fldChar w:fldCharType="separate"/>
    </w:r>
    <w:r w:rsidR="00844F15">
      <w:rPr>
        <w:noProof/>
      </w:rPr>
      <w:t>6</w:t>
    </w:r>
    <w:r w:rsidRPr="001041C0">
      <w:fldChar w:fldCharType="end"/>
    </w:r>
    <w:r w:rsidRPr="001041C0">
      <w:t>/</w:t>
    </w:r>
    <w:fldSimple w:instr=" NUMPAGES  \* MERGEFORMAT ">
      <w:r w:rsidR="00844F15">
        <w:rPr>
          <w:noProof/>
        </w:rPr>
        <w:t>16</w:t>
      </w:r>
    </w:fldSimple>
    <w:r w:rsidRPr="001041C0">
      <w:tab/>
    </w:r>
    <w:r w:rsidRPr="001041C0">
      <w:rPr>
        <w:rStyle w:val="HideTWBExt"/>
      </w:rPr>
      <w:t>&lt;PathFdR&gt;</w:t>
    </w:r>
    <w:r w:rsidRPr="001041C0">
      <w:t>AD\1313624CS.docx</w:t>
    </w:r>
    <w:r w:rsidRPr="001041C0">
      <w:rPr>
        <w:rStyle w:val="HideTWBExt"/>
      </w:rPr>
      <w:t>&lt;/PathFdR&gt;</w:t>
    </w:r>
  </w:p>
  <w:p w:rsidR="00BD38CD" w:rsidRPr="001041C0" w:rsidRDefault="001041C0" w:rsidP="001041C0">
    <w:pPr>
      <w:pStyle w:val="EPFooter2"/>
    </w:pPr>
    <w:r w:rsidRPr="001041C0">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1C0" w:rsidRPr="001041C0" w:rsidRDefault="001041C0" w:rsidP="001041C0">
    <w:pPr>
      <w:pStyle w:val="EPFooter"/>
    </w:pPr>
    <w:r w:rsidRPr="001041C0">
      <w:rPr>
        <w:rStyle w:val="HideTWBExt"/>
      </w:rPr>
      <w:t>&lt;PathFdR&gt;</w:t>
    </w:r>
    <w:r w:rsidRPr="001041C0">
      <w:t>AD\1313624CS.docx</w:t>
    </w:r>
    <w:r w:rsidRPr="001041C0">
      <w:rPr>
        <w:rStyle w:val="HideTWBExt"/>
      </w:rPr>
      <w:t>&lt;/PathFdR&gt;</w:t>
    </w:r>
    <w:r w:rsidRPr="001041C0">
      <w:tab/>
    </w:r>
    <w:r w:rsidRPr="001041C0">
      <w:fldChar w:fldCharType="begin"/>
    </w:r>
    <w:r w:rsidRPr="001041C0">
      <w:instrText xml:space="preserve"> PAGE  \* MERGEFORMAT </w:instrText>
    </w:r>
    <w:r w:rsidRPr="001041C0">
      <w:fldChar w:fldCharType="separate"/>
    </w:r>
    <w:r w:rsidR="00844F15">
      <w:rPr>
        <w:noProof/>
      </w:rPr>
      <w:t>7</w:t>
    </w:r>
    <w:r w:rsidRPr="001041C0">
      <w:fldChar w:fldCharType="end"/>
    </w:r>
    <w:r w:rsidRPr="001041C0">
      <w:t>/</w:t>
    </w:r>
    <w:fldSimple w:instr=" NUMPAGES  \* MERGEFORMAT ">
      <w:r w:rsidR="00844F15">
        <w:rPr>
          <w:noProof/>
        </w:rPr>
        <w:t>16</w:t>
      </w:r>
    </w:fldSimple>
    <w:r w:rsidRPr="001041C0">
      <w:tab/>
      <w:t>PE</w:t>
    </w:r>
    <w:r w:rsidRPr="001041C0">
      <w:rPr>
        <w:rStyle w:val="HideTWBExt"/>
      </w:rPr>
      <w:t>&lt;NoPE&gt;</w:t>
    </w:r>
    <w:r w:rsidRPr="001041C0">
      <w:t>765.284</w:t>
    </w:r>
    <w:r w:rsidRPr="001041C0">
      <w:rPr>
        <w:rStyle w:val="HideTWBExt"/>
      </w:rPr>
      <w:t>&lt;/NoPE&gt;&lt;Version&gt;</w:t>
    </w:r>
    <w:r w:rsidRPr="001041C0">
      <w:t>v02-00</w:t>
    </w:r>
    <w:r w:rsidRPr="001041C0">
      <w:rPr>
        <w:rStyle w:val="HideTWBExt"/>
      </w:rPr>
      <w:t>&lt;/Version&gt;</w:t>
    </w:r>
  </w:p>
  <w:p w:rsidR="00BD38CD" w:rsidRPr="001041C0" w:rsidRDefault="001041C0" w:rsidP="001041C0">
    <w:pPr>
      <w:pStyle w:val="EPFooter2"/>
    </w:pPr>
    <w:r w:rsidRPr="001041C0">
      <w:tab/>
    </w:r>
    <w:r w:rsidRPr="001041C0">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1C0" w:rsidRPr="001041C0" w:rsidRDefault="001041C0" w:rsidP="001041C0">
    <w:pPr>
      <w:pStyle w:val="EPFooter"/>
    </w:pPr>
    <w:r w:rsidRPr="001041C0">
      <w:rPr>
        <w:rStyle w:val="HideTWBExt"/>
      </w:rPr>
      <w:t>&lt;PathFdR&gt;</w:t>
    </w:r>
    <w:r w:rsidRPr="001041C0">
      <w:t>AD\1313624CS.docx</w:t>
    </w:r>
    <w:r w:rsidRPr="001041C0">
      <w:rPr>
        <w:rStyle w:val="HideTWBExt"/>
      </w:rPr>
      <w:t>&lt;/PathFdR&gt;</w:t>
    </w:r>
    <w:r w:rsidRPr="001041C0">
      <w:tab/>
    </w:r>
    <w:r w:rsidRPr="001041C0">
      <w:tab/>
      <w:t>PE</w:t>
    </w:r>
    <w:r w:rsidRPr="001041C0">
      <w:rPr>
        <w:rStyle w:val="HideTWBExt"/>
      </w:rPr>
      <w:t>&lt;NoPE&gt;</w:t>
    </w:r>
    <w:r w:rsidRPr="001041C0">
      <w:t>765.284</w:t>
    </w:r>
    <w:r w:rsidRPr="001041C0">
      <w:rPr>
        <w:rStyle w:val="HideTWBExt"/>
      </w:rPr>
      <w:t>&lt;/NoPE&gt;&lt;Version&gt;</w:t>
    </w:r>
    <w:r w:rsidRPr="001041C0">
      <w:t>v02-00</w:t>
    </w:r>
    <w:r w:rsidRPr="001041C0">
      <w:rPr>
        <w:rStyle w:val="HideTWBExt"/>
      </w:rPr>
      <w:t>&lt;/Version&gt;</w:t>
    </w:r>
  </w:p>
  <w:p w:rsidR="00BD38CD" w:rsidRPr="001041C0" w:rsidRDefault="001041C0" w:rsidP="001041C0">
    <w:pPr>
      <w:pStyle w:val="EPFooter2"/>
    </w:pPr>
    <w:r w:rsidRPr="001041C0">
      <w:t>CS</w:t>
    </w:r>
    <w:r w:rsidRPr="001041C0">
      <w:tab/>
    </w:r>
    <w:r w:rsidRPr="001041C0">
      <w:rPr>
        <w:b w:val="0"/>
        <w:i/>
        <w:color w:val="C0C0C0"/>
        <w:sz w:val="22"/>
      </w:rPr>
      <w:t>Jednotná v rozmanitosti</w:t>
    </w:r>
    <w:r w:rsidRPr="001041C0">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89E" w:rsidRPr="001041C0" w:rsidRDefault="0079089E" w:rsidP="0079089E">
    <w:pPr>
      <w:pStyle w:val="EPFooter"/>
    </w:pPr>
    <w:r w:rsidRPr="001041C0">
      <w:rPr>
        <w:rStyle w:val="HideTWBExt"/>
      </w:rPr>
      <w:t>&lt;PathFdR&gt;</w:t>
    </w:r>
    <w:r w:rsidRPr="001041C0">
      <w:t>AD\1313624CS.docx</w:t>
    </w:r>
    <w:r w:rsidRPr="001041C0">
      <w:rPr>
        <w:rStyle w:val="HideTWBExt"/>
      </w:rPr>
      <w:t>&lt;/PathFdR&gt;</w:t>
    </w:r>
    <w:r w:rsidRPr="001041C0">
      <w:tab/>
    </w:r>
    <w:r w:rsidRPr="001041C0">
      <w:tab/>
      <w:t>PE</w:t>
    </w:r>
    <w:r w:rsidRPr="001041C0">
      <w:rPr>
        <w:rStyle w:val="HideTWBExt"/>
      </w:rPr>
      <w:t>&lt;NoPE&gt;</w:t>
    </w:r>
    <w:r w:rsidRPr="001041C0">
      <w:t>765.284</w:t>
    </w:r>
    <w:r w:rsidRPr="001041C0">
      <w:rPr>
        <w:rStyle w:val="HideTWBExt"/>
      </w:rPr>
      <w:t>&lt;/NoPE&gt;&lt;Version&gt;</w:t>
    </w:r>
    <w:r w:rsidRPr="001041C0">
      <w:t>v02-00</w:t>
    </w:r>
    <w:r w:rsidRPr="001041C0">
      <w:rPr>
        <w:rStyle w:val="HideTWBExt"/>
      </w:rPr>
      <w:t>&lt;/Version&gt;</w:t>
    </w:r>
  </w:p>
  <w:p w:rsidR="00C75378" w:rsidRPr="001041C0" w:rsidRDefault="0079089E" w:rsidP="0079089E">
    <w:pPr>
      <w:pStyle w:val="EPFooter2"/>
    </w:pPr>
    <w:r w:rsidRPr="001041C0">
      <w:t>CS</w:t>
    </w:r>
    <w:r w:rsidRPr="001041C0">
      <w:tab/>
    </w:r>
    <w:r w:rsidRPr="001041C0">
      <w:rPr>
        <w:b w:val="0"/>
        <w:i/>
        <w:color w:val="C0C0C0"/>
        <w:sz w:val="22"/>
      </w:rPr>
      <w:t>Jednotná v rozmanitosti</w:t>
    </w:r>
    <w:r w:rsidRPr="001041C0">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3F4" w:rsidRPr="001041C0" w:rsidRDefault="00DA03F4">
      <w:r w:rsidRPr="001041C0">
        <w:separator/>
      </w:r>
    </w:p>
  </w:footnote>
  <w:footnote w:type="continuationSeparator" w:id="0">
    <w:p w:rsidR="00DA03F4" w:rsidRPr="001041C0" w:rsidRDefault="00DA03F4">
      <w:r w:rsidRPr="001041C0">
        <w:continuationSeparator/>
      </w:r>
    </w:p>
  </w:footnote>
  <w:footnote w:id="1">
    <w:p w:rsidR="002C2FBE" w:rsidRPr="001041C0" w:rsidRDefault="002C2FBE" w:rsidP="002C2FBE">
      <w:pPr>
        <w:pStyle w:val="FootnoteText"/>
      </w:pPr>
      <w:r w:rsidRPr="001041C0">
        <w:rPr>
          <w:rStyle w:val="FootnoteReference"/>
        </w:rPr>
        <w:footnoteRef/>
      </w:r>
      <w:r w:rsidRPr="001041C0">
        <w:t xml:space="preserve"> Nařízení Evropského parlamentu a Rady (EU) 2023/2131 ze dne 4. října 2023, kterým se mění nařízení Evropského parlamentu a Rady (EU) 2018/1727 a rozhodnutí Rady 2005/671/SVV, pokud jde o elektronickou výměnu informací v případech terorismu (Úř. věst. L, 2023/2131, 11.10.2023, ELI: </w:t>
      </w:r>
      <w:hyperlink r:id="rId1" w:tgtFrame="_blank" w:tooltip="Umožňuje přístup k tomuto dokumentu prostřednictvím identifikátoru ELI URI." w:history="1">
        <w:r w:rsidRPr="001041C0">
          <w:rPr>
            <w:rStyle w:val="Hyperlink"/>
          </w:rPr>
          <w:t>https://eur-lex.europa.eu/legal-content/CS/TXT/?uri=CELEX:32023R2131</w:t>
        </w:r>
      </w:hyperlink>
      <w:r w:rsidRPr="001041C0">
        <w:t>).</w:t>
      </w:r>
    </w:p>
  </w:footnote>
  <w:footnote w:id="2">
    <w:p w:rsidR="002C2FBE" w:rsidRPr="001041C0" w:rsidRDefault="002C2FBE" w:rsidP="002C2FBE">
      <w:pPr>
        <w:pStyle w:val="FootnoteText"/>
      </w:pPr>
      <w:r w:rsidRPr="001041C0">
        <w:rPr>
          <w:rStyle w:val="FootnoteReference"/>
        </w:rPr>
        <w:footnoteRef/>
      </w:r>
      <w:r w:rsidRPr="001041C0">
        <w:t xml:space="preserve"> Nařízení Evropského parlamentu a Rady (EU) 2023/969 ze dne 10. května 2023, kterým se zřizuje platforma pro spolupráci na podporu fungování společných vyšetřovacích týmů a mění nařízení (EU) 2018/1726 (Úř. věst. L, 2023/969, 17.5.2023, </w:t>
      </w:r>
      <w:r w:rsidRPr="001041C0">
        <w:rPr>
          <w:rFonts w:ascii="Roboto" w:hAnsi="Roboto"/>
          <w:color w:val="333333"/>
          <w:sz w:val="21"/>
          <w:shd w:val="clear" w:color="auto" w:fill="FFFFFF"/>
        </w:rPr>
        <w:t>ELI:</w:t>
      </w:r>
      <w:r w:rsidR="00844F15">
        <w:rPr>
          <w:rFonts w:ascii="Roboto" w:hAnsi="Roboto"/>
          <w:color w:val="333333"/>
          <w:sz w:val="21"/>
          <w:shd w:val="clear" w:color="auto" w:fill="FFFFFF"/>
        </w:rPr>
        <w:t xml:space="preserve"> </w:t>
      </w:r>
      <w:hyperlink r:id="rId2" w:tooltip="Umožňuje přístup k tomuto dokumentu prostřednictvím identifikátoru ELI URI." w:history="1">
        <w:r w:rsidRPr="001041C0">
          <w:rPr>
            <w:rFonts w:ascii="Roboto" w:hAnsi="Roboto"/>
            <w:color w:val="337AB7"/>
            <w:sz w:val="21"/>
            <w:u w:val="single"/>
            <w:shd w:val="clear" w:color="auto" w:fill="FFFFFF"/>
          </w:rPr>
          <w:t>https://eur-lex.europa.eu/legal-content/CS/TXT/?uri=CELEX:32023R0969</w:t>
        </w:r>
      </w:hyperlink>
      <w:r w:rsidRPr="001041C0">
        <w:t>).</w:t>
      </w:r>
    </w:p>
  </w:footnote>
  <w:footnote w:id="3">
    <w:p w:rsidR="002C2FBE" w:rsidRPr="001041C0" w:rsidRDefault="002C2FBE" w:rsidP="002C2FBE">
      <w:pPr>
        <w:pStyle w:val="FootnoteText"/>
      </w:pPr>
      <w:r w:rsidRPr="001041C0">
        <w:rPr>
          <w:rStyle w:val="FootnoteReference"/>
        </w:rPr>
        <w:footnoteRef/>
      </w:r>
      <w:r w:rsidRPr="001041C0">
        <w:t xml:space="preserve"> Nařízení Evropského parlamentu a Rady (EU) 2019/1896 ze dne 13. listopadu 2019 o Evropské pohraniční a</w:t>
      </w:r>
      <w:r w:rsidR="00F20203" w:rsidRPr="001041C0">
        <w:t> </w:t>
      </w:r>
      <w:r w:rsidRPr="001041C0">
        <w:t xml:space="preserve">pobřežní stráži a o zrušení nařízení (EU) č. 1052/2013 a (EU) 2016/1624 (Úř. věst. L, 2019/1896, 14.11.2019, </w:t>
      </w:r>
      <w:r w:rsidRPr="001041C0">
        <w:rPr>
          <w:rFonts w:ascii="Roboto" w:hAnsi="Roboto"/>
          <w:color w:val="333333"/>
          <w:sz w:val="21"/>
          <w:shd w:val="clear" w:color="auto" w:fill="FFFFFF"/>
        </w:rPr>
        <w:t>ELI: </w:t>
      </w:r>
      <w:hyperlink r:id="rId3" w:tooltip="Umožňuje přístup k tomuto dokumentu prostřednictvím identifikátoru ELI URI." w:history="1">
        <w:r w:rsidRPr="001041C0">
          <w:rPr>
            <w:rFonts w:ascii="Roboto" w:hAnsi="Roboto"/>
            <w:color w:val="337AB7"/>
            <w:sz w:val="21"/>
            <w:u w:val="single"/>
            <w:shd w:val="clear" w:color="auto" w:fill="FFFFFF"/>
          </w:rPr>
          <w:t>https://eur-lex.europa.eu/legal-content/CS/TXT/?uri=CELEX:32019R1896</w:t>
        </w:r>
      </w:hyperlink>
      <w:r w:rsidRPr="001041C0">
        <w:t>).</w:t>
      </w:r>
    </w:p>
  </w:footnote>
  <w:footnote w:id="4">
    <w:p w:rsidR="002C2FBE" w:rsidRPr="001041C0" w:rsidRDefault="002C2FBE" w:rsidP="002C2FBE">
      <w:pPr>
        <w:pStyle w:val="FootnoteText"/>
      </w:pPr>
      <w:r w:rsidRPr="001041C0">
        <w:rPr>
          <w:rStyle w:val="FootnoteReference"/>
        </w:rPr>
        <w:footnoteRef/>
      </w:r>
      <w:r w:rsidRPr="001041C0">
        <w:t xml:space="preserve"> Mezi země EU+ patří členské státy Evropské unie (EU) a země přidružené k Schengenu.</w:t>
      </w:r>
    </w:p>
  </w:footnote>
  <w:footnote w:id="5">
    <w:p w:rsidR="002C2FBE" w:rsidRPr="001041C0" w:rsidRDefault="002C2FBE" w:rsidP="002C2FBE">
      <w:pPr>
        <w:pStyle w:val="FootnoteText"/>
      </w:pPr>
      <w:r w:rsidRPr="001041C0">
        <w:rPr>
          <w:rStyle w:val="FootnoteReference"/>
        </w:rPr>
        <w:footnoteRef/>
      </w:r>
      <w:r w:rsidRPr="001041C0">
        <w:t xml:space="preserve"> </w:t>
      </w:r>
      <w:hyperlink r:id="rId4" w:history="1">
        <w:r w:rsidRPr="001041C0">
          <w:rPr>
            <w:rStyle w:val="Hyperlink"/>
          </w:rPr>
          <w:t>https://euaa.europa.eu/sites/default/files/publications/2023-05/EUAA_External_Cooperation_Strategy.pdf</w:t>
        </w:r>
      </w:hyperlink>
      <w:r w:rsidRPr="001041C0">
        <w:t xml:space="preserve"> </w:t>
      </w:r>
    </w:p>
  </w:footnote>
  <w:footnote w:id="6">
    <w:p w:rsidR="002C2FBE" w:rsidRPr="001041C0" w:rsidRDefault="002C2FBE" w:rsidP="002C2FBE">
      <w:pPr>
        <w:pStyle w:val="FootnoteText"/>
      </w:pPr>
      <w:r w:rsidRPr="001041C0">
        <w:rPr>
          <w:rStyle w:val="FootnoteReference"/>
        </w:rPr>
        <w:footnoteRef/>
      </w:r>
      <w:r w:rsidRPr="001041C0">
        <w:t xml:space="preserve"> </w:t>
      </w:r>
      <w:hyperlink r:id="rId5" w:history="1">
        <w:r w:rsidRPr="001041C0">
          <w:rPr>
            <w:rStyle w:val="Hyperlink"/>
          </w:rPr>
          <w:t>https://euaa.europa.eu/sites/default/files/publications/2023-12/EUAA_Vulnerability_Strategy.pdf</w:t>
        </w:r>
      </w:hyperlink>
      <w:r w:rsidRPr="001041C0">
        <w:t xml:space="preserve"> </w:t>
      </w:r>
    </w:p>
  </w:footnote>
  <w:footnote w:id="7">
    <w:p w:rsidR="002C2FBE" w:rsidRPr="001041C0" w:rsidRDefault="002C2FBE" w:rsidP="002C2FBE">
      <w:pPr>
        <w:pStyle w:val="FootnoteText"/>
      </w:pPr>
      <w:r w:rsidRPr="001041C0">
        <w:rPr>
          <w:rStyle w:val="FootnoteReference"/>
        </w:rPr>
        <w:footnoteRef/>
      </w:r>
      <w:r w:rsidRPr="001041C0">
        <w:t xml:space="preserve"> </w:t>
      </w:r>
      <w:bookmarkStart w:id="0" w:name="_GoBack"/>
      <w:r w:rsidR="00844F15" w:rsidRPr="001041C0">
        <w:fldChar w:fldCharType="begin"/>
      </w:r>
      <w:r w:rsidR="00844F15" w:rsidRPr="001041C0">
        <w:instrText xml:space="preserve"> HYPERLINK "https://euaa.europa.eu/sites/de</w:instrText>
      </w:r>
      <w:r w:rsidR="00844F15" w:rsidRPr="001041C0">
        <w:instrText xml:space="preserve">fault/files/publications/2023-10/2023_EUAA-Strategy-on-Digital-Innovation-in-Asylum-Procedures-and-Reception-Systems_EN.pdf" </w:instrText>
      </w:r>
      <w:r w:rsidR="00844F15" w:rsidRPr="001041C0">
        <w:fldChar w:fldCharType="separate"/>
      </w:r>
      <w:r w:rsidRPr="001041C0">
        <w:rPr>
          <w:rStyle w:val="Hyperlink"/>
        </w:rPr>
        <w:t>https://euaa.europa.eu/sites/default/files/publications/2023-10/2023_EUAA-Strategy-on-Digital-Innovation-in-Asylum-Procedures-and-Reception-Systems_EN.pdf</w:t>
      </w:r>
      <w:r w:rsidR="00844F15" w:rsidRPr="001041C0">
        <w:rPr>
          <w:rStyle w:val="Hyperlink"/>
        </w:rPr>
        <w:fldChar w:fldCharType="end"/>
      </w:r>
      <w:bookmarkEnd w:id="0"/>
      <w:r w:rsidRPr="001041C0">
        <w:t xml:space="preserve"> </w:t>
      </w:r>
    </w:p>
  </w:footnote>
  <w:footnote w:id="8">
    <w:p w:rsidR="002C2FBE" w:rsidRPr="001041C0" w:rsidRDefault="002C2FBE" w:rsidP="002C2FBE">
      <w:pPr>
        <w:pStyle w:val="FootnoteText"/>
      </w:pPr>
      <w:r w:rsidRPr="001041C0">
        <w:rPr>
          <w:rStyle w:val="FootnoteReference"/>
        </w:rPr>
        <w:footnoteRef/>
      </w:r>
      <w:r w:rsidRPr="001041C0">
        <w:t xml:space="preserve"> Nařízení Evropského parlamentu a Rady (EU) 2023/1322 ze dne 27. června 2023 o Agentuře Evropské unie pro drogy (EUDA) a zrušení nařízení (ES) č. 1920/2006 (Úř. věst. L, 2023/1322, 30.6.2023, </w:t>
      </w:r>
      <w:r w:rsidRPr="001041C0">
        <w:rPr>
          <w:rFonts w:ascii="Roboto" w:hAnsi="Roboto"/>
          <w:color w:val="333333"/>
          <w:sz w:val="21"/>
          <w:shd w:val="clear" w:color="auto" w:fill="FFFFFF"/>
        </w:rPr>
        <w:t>ELI: </w:t>
      </w:r>
      <w:hyperlink r:id="rId6" w:tooltip="Umožňuje přístup k tomuto dokumentu prostřednictvím identifikátoru ELI URI." w:history="1">
        <w:r w:rsidRPr="001041C0">
          <w:rPr>
            <w:rFonts w:ascii="Roboto" w:hAnsi="Roboto"/>
            <w:color w:val="337AB7"/>
            <w:sz w:val="21"/>
            <w:u w:val="single"/>
            <w:shd w:val="clear" w:color="auto" w:fill="FFFFFF"/>
          </w:rPr>
          <w:t>https://eur-lex.europa.eu/legal-content/CS/TXT/?uri=CELEX:32023R1322</w:t>
        </w:r>
      </w:hyperlink>
      <w:r w:rsidRPr="001041C0">
        <w:t xml:space="preserve"> </w:t>
      </w:r>
    </w:p>
  </w:footnote>
  <w:footnote w:id="9">
    <w:p w:rsidR="002C2FBE" w:rsidRPr="001041C0" w:rsidRDefault="002C2FBE" w:rsidP="002C2FBE">
      <w:pPr>
        <w:pStyle w:val="FootnoteText"/>
      </w:pPr>
      <w:r w:rsidRPr="001041C0">
        <w:rPr>
          <w:rStyle w:val="FootnoteReference"/>
        </w:rPr>
        <w:footnoteRef/>
      </w:r>
      <w:r w:rsidRPr="001041C0">
        <w:t xml:space="preserve">Nařízení Evropského parlamentu a Rady (ES) č. 1920/2006 ze dne 12. prosince 2006 o Evropském monitorovacím centru pro drogy a drogovou závislost (Úř. věst. L, 1920/2006, 27.12.2006, </w:t>
      </w:r>
      <w:r w:rsidRPr="001041C0">
        <w:rPr>
          <w:rFonts w:ascii="Roboto" w:hAnsi="Roboto"/>
          <w:color w:val="333333"/>
          <w:sz w:val="21"/>
          <w:shd w:val="clear" w:color="auto" w:fill="FFFFFF"/>
        </w:rPr>
        <w:t>ELI: </w:t>
      </w:r>
      <w:hyperlink r:id="rId7" w:tooltip="Umožňuje přístup k tomuto dokumentu prostřednictvím identifikátoru ELI URI." w:history="1">
        <w:r w:rsidRPr="001041C0">
          <w:rPr>
            <w:rFonts w:ascii="Roboto" w:hAnsi="Roboto"/>
            <w:color w:val="337AB7"/>
            <w:sz w:val="21"/>
            <w:u w:val="single"/>
            <w:shd w:val="clear" w:color="auto" w:fill="FFFFFF"/>
          </w:rPr>
          <w:t>https://eur-lex.europa.eu/eli/reg/2006/1920/oj?eliuri=eli%3Areg%3A2006%3A1920%3Aoj&amp;locale=cs</w:t>
        </w:r>
      </w:hyperlink>
      <w:r w:rsidRPr="001041C0">
        <w:t>).</w:t>
      </w:r>
    </w:p>
  </w:footnote>
  <w:footnote w:id="10">
    <w:p w:rsidR="002C2FBE" w:rsidRPr="001041C0" w:rsidRDefault="002C2FBE" w:rsidP="002C2FBE">
      <w:pPr>
        <w:pStyle w:val="FootnoteText"/>
      </w:pPr>
      <w:r w:rsidRPr="001041C0">
        <w:rPr>
          <w:rStyle w:val="FootnoteReference"/>
        </w:rPr>
        <w:footnoteRef/>
      </w:r>
      <w:hyperlink r:id="rId8" w:history="1">
        <w:r w:rsidRPr="001041C0">
          <w:rPr>
            <w:rStyle w:val="Hyperlink"/>
          </w:rPr>
          <w:t>https://ec.europa.eu/commission/presscorner/detail/cs/ip_23_4981</w:t>
        </w:r>
      </w:hyperlink>
      <w:r w:rsidRPr="001041C0">
        <w:t xml:space="preserve"> </w:t>
      </w:r>
    </w:p>
  </w:footnote>
  <w:footnote w:id="11">
    <w:p w:rsidR="002C2FBE" w:rsidRPr="001041C0" w:rsidRDefault="002C2FBE" w:rsidP="002C2FBE">
      <w:pPr>
        <w:pStyle w:val="FootnoteText"/>
      </w:pPr>
      <w:r w:rsidRPr="001041C0">
        <w:rPr>
          <w:rStyle w:val="FootnoteReference"/>
        </w:rPr>
        <w:footnoteRef/>
      </w:r>
      <w:r w:rsidRPr="001041C0">
        <w:t xml:space="preserve"> Nařízení Evropského parlamentu a Rady (EU) 2016/794 ze dne 11. května 2016 o Agentuře Evropské unie pro spolupráci v oblasti prosazování práva (Europol) a o zrušení a nahrazení rozhodnutí 2009/371/SVV, 2009/934/SVV, 2009/935/SVV, 2009/936/SVV a 2009/968/SVV (Úř. věst. L, 2016/794, 24.5.2016, </w:t>
      </w:r>
      <w:r w:rsidRPr="001041C0">
        <w:rPr>
          <w:rFonts w:ascii="Roboto" w:hAnsi="Roboto"/>
          <w:color w:val="333333"/>
          <w:sz w:val="21"/>
          <w:shd w:val="clear" w:color="auto" w:fill="FFFFFF"/>
        </w:rPr>
        <w:t xml:space="preserve"> ELI: </w:t>
      </w:r>
      <w:hyperlink r:id="rId9" w:tooltip="Umožňuje přístup k tomuto dokumentu prostřednictvím identifikátoru ELI URI." w:history="1">
        <w:r w:rsidRPr="001041C0">
          <w:rPr>
            <w:rFonts w:ascii="Roboto" w:hAnsi="Roboto"/>
            <w:color w:val="337AB7"/>
            <w:sz w:val="21"/>
            <w:u w:val="single"/>
            <w:shd w:val="clear" w:color="auto" w:fill="FFFFFF"/>
          </w:rPr>
          <w:t>https://eur-lex.europa.eu/legal-content/CS/TXT/?uri=CELEX:02016R0794-20220628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CF" w:rsidRDefault="00312A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CF" w:rsidRDefault="00312A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ACF" w:rsidRDefault="00312A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8CD" w:rsidRDefault="00BD38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8CD" w:rsidRDefault="00BD38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8CD" w:rsidRDefault="00BD3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GENCIEMNU" w:val=" 1"/>
    <w:docVar w:name="ATITLEMNU" w:val=" 29"/>
    <w:docVar w:name="AUTHORMFMNU" w:val=" 1"/>
    <w:docVar w:name="COMKEY" w:val="LIBE"/>
    <w:docVar w:name="CONTRIBUTIONMNU" w:val=" 1"/>
    <w:docVar w:name="DOCDT" w:val="13/11/2024"/>
    <w:docVar w:name="FONCTIONMNU" w:val=" 1"/>
    <w:docVar w:name="LastEditedSection" w:val=" 1"/>
    <w:docVar w:name="strDocTypeID" w:val="PA_NonLegDec"/>
    <w:docVar w:name="strSubDir" w:val="1313"/>
    <w:docVar w:name="TITLEMNU" w:val=" 1"/>
    <w:docVar w:name="TXTAUTHOR" w:val="Tomáš Zdechovský"/>
    <w:docVar w:name="TXTBUDYEAR" w:val="2023"/>
    <w:docVar w:name="TXTLANGUE" w:val="CS"/>
    <w:docVar w:name="TXTLANGUEMIN" w:val="cs"/>
    <w:docVar w:name="TXTNRPE" w:val="765.284"/>
    <w:docVar w:name="TXTNRPROC" w:val="2024/2030"/>
    <w:docVar w:name="TXTPEorAP" w:val="PE"/>
    <w:docVar w:name="TXTROUTE" w:val="AD\1313624CS.docx"/>
    <w:docVar w:name="TXTVERSION" w:val="02-00"/>
  </w:docVars>
  <w:rsids>
    <w:rsidRoot w:val="00DA03F4"/>
    <w:rsid w:val="000048A8"/>
    <w:rsid w:val="00007A18"/>
    <w:rsid w:val="00062634"/>
    <w:rsid w:val="000A05CA"/>
    <w:rsid w:val="000B6C4B"/>
    <w:rsid w:val="000D001F"/>
    <w:rsid w:val="000D099F"/>
    <w:rsid w:val="000E6813"/>
    <w:rsid w:val="000F07FE"/>
    <w:rsid w:val="001041C0"/>
    <w:rsid w:val="001275F4"/>
    <w:rsid w:val="00181BD3"/>
    <w:rsid w:val="001A455F"/>
    <w:rsid w:val="001F2766"/>
    <w:rsid w:val="001F6ED8"/>
    <w:rsid w:val="00212D35"/>
    <w:rsid w:val="00215AFA"/>
    <w:rsid w:val="00245C7F"/>
    <w:rsid w:val="00271180"/>
    <w:rsid w:val="00291D65"/>
    <w:rsid w:val="002A4AC9"/>
    <w:rsid w:val="002B2892"/>
    <w:rsid w:val="002C0EE6"/>
    <w:rsid w:val="002C2FBE"/>
    <w:rsid w:val="002C34AE"/>
    <w:rsid w:val="002E2F2E"/>
    <w:rsid w:val="00307C14"/>
    <w:rsid w:val="00312ACF"/>
    <w:rsid w:val="00316FB1"/>
    <w:rsid w:val="00362845"/>
    <w:rsid w:val="003707A7"/>
    <w:rsid w:val="00385BAB"/>
    <w:rsid w:val="0039003E"/>
    <w:rsid w:val="00396FA9"/>
    <w:rsid w:val="003B72FC"/>
    <w:rsid w:val="003D684B"/>
    <w:rsid w:val="003E06CF"/>
    <w:rsid w:val="003E35FB"/>
    <w:rsid w:val="003F3B83"/>
    <w:rsid w:val="00431E30"/>
    <w:rsid w:val="00487232"/>
    <w:rsid w:val="00495CA4"/>
    <w:rsid w:val="004A34E6"/>
    <w:rsid w:val="004C28FB"/>
    <w:rsid w:val="004E54DC"/>
    <w:rsid w:val="004F48ED"/>
    <w:rsid w:val="00514664"/>
    <w:rsid w:val="0055017A"/>
    <w:rsid w:val="00577018"/>
    <w:rsid w:val="005779E7"/>
    <w:rsid w:val="005D0786"/>
    <w:rsid w:val="005D555F"/>
    <w:rsid w:val="005E3670"/>
    <w:rsid w:val="00600DC9"/>
    <w:rsid w:val="00643F39"/>
    <w:rsid w:val="0066728C"/>
    <w:rsid w:val="006819E0"/>
    <w:rsid w:val="0071319E"/>
    <w:rsid w:val="00722749"/>
    <w:rsid w:val="00751A5A"/>
    <w:rsid w:val="0079089E"/>
    <w:rsid w:val="00806587"/>
    <w:rsid w:val="00832A7B"/>
    <w:rsid w:val="00844F15"/>
    <w:rsid w:val="008818A9"/>
    <w:rsid w:val="008C6240"/>
    <w:rsid w:val="008E7494"/>
    <w:rsid w:val="008F36CD"/>
    <w:rsid w:val="008F7002"/>
    <w:rsid w:val="0095301E"/>
    <w:rsid w:val="0095497D"/>
    <w:rsid w:val="009669A8"/>
    <w:rsid w:val="00972FD8"/>
    <w:rsid w:val="00977F76"/>
    <w:rsid w:val="0098140C"/>
    <w:rsid w:val="009A33F4"/>
    <w:rsid w:val="009A403C"/>
    <w:rsid w:val="009B5265"/>
    <w:rsid w:val="009C212C"/>
    <w:rsid w:val="00A2041C"/>
    <w:rsid w:val="00A61D62"/>
    <w:rsid w:val="00A722B1"/>
    <w:rsid w:val="00A8267E"/>
    <w:rsid w:val="00A93570"/>
    <w:rsid w:val="00A9617A"/>
    <w:rsid w:val="00AA1A2C"/>
    <w:rsid w:val="00AA1F2F"/>
    <w:rsid w:val="00AA223C"/>
    <w:rsid w:val="00AF77DA"/>
    <w:rsid w:val="00B107A4"/>
    <w:rsid w:val="00B1441B"/>
    <w:rsid w:val="00B362F7"/>
    <w:rsid w:val="00BB2AC1"/>
    <w:rsid w:val="00BD38CD"/>
    <w:rsid w:val="00C04938"/>
    <w:rsid w:val="00C175C0"/>
    <w:rsid w:val="00C47E30"/>
    <w:rsid w:val="00C54F53"/>
    <w:rsid w:val="00C659FF"/>
    <w:rsid w:val="00C75378"/>
    <w:rsid w:val="00C86C55"/>
    <w:rsid w:val="00CA0D01"/>
    <w:rsid w:val="00CF7076"/>
    <w:rsid w:val="00D41244"/>
    <w:rsid w:val="00D438D0"/>
    <w:rsid w:val="00D44697"/>
    <w:rsid w:val="00D47632"/>
    <w:rsid w:val="00D55913"/>
    <w:rsid w:val="00D625A2"/>
    <w:rsid w:val="00D71751"/>
    <w:rsid w:val="00D759AA"/>
    <w:rsid w:val="00DA03F4"/>
    <w:rsid w:val="00DA7632"/>
    <w:rsid w:val="00E01434"/>
    <w:rsid w:val="00E05697"/>
    <w:rsid w:val="00E12435"/>
    <w:rsid w:val="00E3462E"/>
    <w:rsid w:val="00E729C7"/>
    <w:rsid w:val="00E83B40"/>
    <w:rsid w:val="00E9601C"/>
    <w:rsid w:val="00EA78B3"/>
    <w:rsid w:val="00EB19AA"/>
    <w:rsid w:val="00EC2C85"/>
    <w:rsid w:val="00F036E0"/>
    <w:rsid w:val="00F129D0"/>
    <w:rsid w:val="00F20203"/>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B2105"/>
  <w15:chartTrackingRefBased/>
  <w15:docId w15:val="{13A5B8F9-4385-4733-8278-5F5A4319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noteText">
    <w:name w:val="footnote text"/>
    <w:basedOn w:val="Normal"/>
    <w:link w:val="FootnoteTextChar"/>
    <w:uiPriority w:val="99"/>
    <w:unhideWhenUsed/>
    <w:rsid w:val="005D555F"/>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5D555F"/>
    <w:rPr>
      <w:rFonts w:eastAsiaTheme="minorHAnsi"/>
      <w:lang w:eastAsia="en-US"/>
    </w:rPr>
  </w:style>
  <w:style w:type="character" w:styleId="FootnoteReference">
    <w:name w:val="footnote reference"/>
    <w:basedOn w:val="DefaultParagraphFont"/>
    <w:uiPriority w:val="99"/>
    <w:unhideWhenUsed/>
    <w:rsid w:val="005D555F"/>
    <w:rPr>
      <w:vertAlign w:val="superscript"/>
    </w:rPr>
  </w:style>
  <w:style w:type="character" w:styleId="Hyperlink">
    <w:name w:val="Hyperlink"/>
    <w:basedOn w:val="DefaultParagraphFont"/>
    <w:uiPriority w:val="99"/>
    <w:unhideWhenUsed/>
    <w:rsid w:val="005D555F"/>
    <w:rPr>
      <w:color w:val="0563C1" w:themeColor="hyperlink"/>
      <w:u w:val="single"/>
    </w:rPr>
  </w:style>
  <w:style w:type="paragraph" w:styleId="NormalWeb">
    <w:name w:val="Normal (Web)"/>
    <w:basedOn w:val="Normal"/>
    <w:uiPriority w:val="99"/>
    <w:unhideWhenUsed/>
    <w:rsid w:val="00291D65"/>
    <w:pPr>
      <w:widowControl/>
      <w:spacing w:before="100" w:beforeAutospacing="1" w:after="100" w:afterAutospacing="1"/>
    </w:pPr>
    <w:rPr>
      <w:szCs w:val="24"/>
    </w:rPr>
  </w:style>
  <w:style w:type="paragraph" w:styleId="Footer">
    <w:name w:val="footer"/>
    <w:basedOn w:val="Normal"/>
    <w:link w:val="FooterChar"/>
    <w:semiHidden/>
    <w:rsid w:val="00832A7B"/>
    <w:pPr>
      <w:tabs>
        <w:tab w:val="center" w:pos="4513"/>
        <w:tab w:val="right" w:pos="9026"/>
      </w:tabs>
    </w:pPr>
  </w:style>
  <w:style w:type="character" w:customStyle="1" w:styleId="FooterChar">
    <w:name w:val="Footer Char"/>
    <w:basedOn w:val="DefaultParagraphFont"/>
    <w:link w:val="Footer"/>
    <w:semiHidden/>
    <w:rsid w:val="00832A7B"/>
    <w:rPr>
      <w:sz w:val="24"/>
      <w:lang w:val="cs-CZ"/>
    </w:rPr>
  </w:style>
  <w:style w:type="paragraph" w:customStyle="1" w:styleId="RollCallSymbols14pt">
    <w:name w:val="RollCallSymbols14pt"/>
    <w:basedOn w:val="Normal"/>
    <w:rsid w:val="002C2FB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C2FBE"/>
    <w:pPr>
      <w:tabs>
        <w:tab w:val="center" w:pos="284"/>
        <w:tab w:val="left" w:pos="426"/>
      </w:tabs>
    </w:pPr>
    <w:rPr>
      <w:snapToGrid w:val="0"/>
      <w:lang w:eastAsia="en-US"/>
    </w:rPr>
  </w:style>
  <w:style w:type="paragraph" w:customStyle="1" w:styleId="RollCallVotes">
    <w:name w:val="RollCallVotes"/>
    <w:basedOn w:val="Normal"/>
    <w:rsid w:val="002C2FBE"/>
    <w:pPr>
      <w:spacing w:before="120" w:after="120"/>
      <w:jc w:val="center"/>
    </w:pPr>
    <w:rPr>
      <w:b/>
      <w:bCs/>
      <w:snapToGrid w:val="0"/>
      <w:sz w:val="16"/>
      <w:lang w:eastAsia="en-US"/>
    </w:rPr>
  </w:style>
  <w:style w:type="paragraph" w:customStyle="1" w:styleId="RollCallTable">
    <w:name w:val="RollCallTable"/>
    <w:basedOn w:val="Normal"/>
    <w:rsid w:val="002C2FBE"/>
    <w:pPr>
      <w:spacing w:before="120" w:after="120"/>
    </w:pPr>
    <w:rPr>
      <w:snapToGrid w:val="0"/>
      <w:sz w:val="16"/>
      <w:lang w:eastAsia="en-US"/>
    </w:rPr>
  </w:style>
  <w:style w:type="paragraph" w:customStyle="1" w:styleId="Normal24a">
    <w:name w:val="Normal24a"/>
    <w:basedOn w:val="Normal"/>
    <w:rsid w:val="002C2FBE"/>
    <w:pPr>
      <w:spacing w:after="480"/>
    </w:pPr>
    <w:rPr>
      <w:szCs w:val="24"/>
    </w:rPr>
  </w:style>
  <w:style w:type="paragraph" w:customStyle="1" w:styleId="NormalBoldCenter">
    <w:name w:val="NormalBoldCenter"/>
    <w:basedOn w:val="Normal"/>
    <w:rsid w:val="002C2FBE"/>
    <w:pPr>
      <w:jc w:val="center"/>
    </w:pPr>
    <w:rPr>
      <w:b/>
      <w:szCs w:val="24"/>
    </w:rPr>
  </w:style>
  <w:style w:type="paragraph" w:customStyle="1" w:styleId="Footprint12b">
    <w:name w:val="Footprint12b"/>
    <w:basedOn w:val="Normal"/>
    <w:rsid w:val="002C2FBE"/>
    <w:pPr>
      <w:spacing w:before="240"/>
    </w:pPr>
    <w:rPr>
      <w:szCs w:val="24"/>
    </w:rPr>
  </w:style>
  <w:style w:type="paragraph" w:customStyle="1" w:styleId="NormalSingle">
    <w:name w:val="NormalSingle"/>
    <w:basedOn w:val="Normal"/>
    <w:qFormat/>
    <w:rsid w:val="002C2FBE"/>
    <w:rPr>
      <w:szCs w:val="24"/>
    </w:rPr>
  </w:style>
  <w:style w:type="paragraph" w:customStyle="1" w:styleId="PGTitleEP">
    <w:name w:val="PG Title EP"/>
    <w:basedOn w:val="Normal"/>
    <w:rsid w:val="00A61D62"/>
    <w:pPr>
      <w:widowControl/>
      <w:jc w:val="center"/>
    </w:pPr>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roparl.europa.eu/data-protect/index.do"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cs/ip_23_4981" TargetMode="External"/><Relationship Id="rId3" Type="http://schemas.openxmlformats.org/officeDocument/2006/relationships/hyperlink" Target="https://eur-lex.europa.eu/legal-content/CS/TXT/?uri=CELEX:32019R1896" TargetMode="External"/><Relationship Id="rId7" Type="http://schemas.openxmlformats.org/officeDocument/2006/relationships/hyperlink" Target="https://eur-lex.europa.eu/eli/reg/2006/1920/oj?eliuri=eli%3Areg%3A2006%3A1920%3Aoj&amp;locale=cs" TargetMode="External"/><Relationship Id="rId2" Type="http://schemas.openxmlformats.org/officeDocument/2006/relationships/hyperlink" Target="https://eur-lex.europa.eu/legal-content/CS/TXT/?uri=CELEX:32023R0969" TargetMode="External"/><Relationship Id="rId1" Type="http://schemas.openxmlformats.org/officeDocument/2006/relationships/hyperlink" Target="https://eur-lex.europa.eu/legal-content/CS/TXT/?uri=CELEX:32023R2131" TargetMode="External"/><Relationship Id="rId6" Type="http://schemas.openxmlformats.org/officeDocument/2006/relationships/hyperlink" Target="https://eur-lex.europa.eu/legal-content/CS/TXT/?uri=CELEX:32023R1322" TargetMode="External"/><Relationship Id="rId5" Type="http://schemas.openxmlformats.org/officeDocument/2006/relationships/hyperlink" Target="https://euaa.europa.eu/sites/default/files/publications/2023-12/EUAA_Vulnerability_Strategy.pdf" TargetMode="External"/><Relationship Id="rId4" Type="http://schemas.openxmlformats.org/officeDocument/2006/relationships/hyperlink" Target="https://euaa.europa.eu/sites/default/files/publications/2023-05/EUAA_External_Cooperation_Strategy.pdf" TargetMode="External"/><Relationship Id="rId9" Type="http://schemas.openxmlformats.org/officeDocument/2006/relationships/hyperlink" Target="https://eur-lex.europa.eu/legal-content/CS/TXT/?uri=CELEX:02016R0794-202206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5187</Words>
  <Characters>30505</Characters>
  <Application>Microsoft Office Word</Application>
  <DocSecurity>0</DocSecurity>
  <Lines>525</Lines>
  <Paragraphs>159</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35533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2025-03-07T11:22:00Z</dcterms:created>
  <dcterms:modified xsi:type="dcterms:W3CDTF">2025-03-07T11:22:00Z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1313624</vt:lpwstr>
  </property>
  <property fmtid="{D5CDD505-2E9C-101B-9397-08002B2CF9AE}" pid="6" name="&lt;Type&gt;">
    <vt:lpwstr>AD</vt:lpwstr>
  </property>
  <property fmtid="{D5CDD505-2E9C-101B-9397-08002B2CF9AE}" pid="7" name="&lt;ModelCod&gt;">
    <vt:lpwstr>\\eiciLUXpr1\pdocep$\DocEP\DOCS\General\PA\PA_NonLeg\PA_NonLegDec.dotx(08/11/2024 09:44:10)</vt:lpwstr>
  </property>
  <property fmtid="{D5CDD505-2E9C-101B-9397-08002B2CF9AE}" pid="8" name="&lt;ModelTra&gt;">
    <vt:lpwstr>\\eiciLUXpr1\pdocep$\DocEP\TRANSFIL\CS\PA_NonLegDec.CS(18/11/2024 15:02:00)</vt:lpwstr>
  </property>
  <property fmtid="{D5CDD505-2E9C-101B-9397-08002B2CF9AE}" pid="9" name="&lt;Model&gt;">
    <vt:lpwstr>PA_NonLegDec</vt:lpwstr>
  </property>
  <property fmtid="{D5CDD505-2E9C-101B-9397-08002B2CF9AE}" pid="10" name="FooterPath">
    <vt:lpwstr>AD\1313624CS.docx</vt:lpwstr>
  </property>
  <property fmtid="{D5CDD505-2E9C-101B-9397-08002B2CF9AE}" pid="11" name="PE number">
    <vt:lpwstr>765.284</vt:lpwstr>
  </property>
  <property fmtid="{D5CDD505-2E9C-101B-9397-08002B2CF9AE}" pid="12" name="Bookout">
    <vt:lpwstr>OK - 2025/03/07 12:22</vt:lpwstr>
  </property>
  <property fmtid="{D5CDD505-2E9C-101B-9397-08002B2CF9AE}" pid="13" name="SDLStudio">
    <vt:lpwstr/>
  </property>
</Properties>
</file>