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430B27" w14:paraId="6B10CD36" w14:textId="77777777" w:rsidTr="00763674">
        <w:trPr>
          <w:trHeight w:hRule="exact" w:val="1418"/>
        </w:trPr>
        <w:tc>
          <w:tcPr>
            <w:tcW w:w="6804" w:type="dxa"/>
            <w:shd w:val="clear" w:color="auto" w:fill="auto"/>
            <w:vAlign w:val="center"/>
          </w:tcPr>
          <w:p w14:paraId="4962FA1D" w14:textId="77777777" w:rsidR="004F48ED" w:rsidRPr="00430B27" w:rsidRDefault="00E74372" w:rsidP="00763674">
            <w:pPr>
              <w:pStyle w:val="EPName"/>
            </w:pPr>
            <w:r w:rsidRPr="00430B27">
              <w:t>Parlament Europejski</w:t>
            </w:r>
          </w:p>
          <w:p w14:paraId="7521FFA7" w14:textId="77777777" w:rsidR="004F48ED" w:rsidRPr="00430B27" w:rsidRDefault="00EA6A11" w:rsidP="00EA6A11">
            <w:pPr>
              <w:pStyle w:val="EPTerm"/>
            </w:pPr>
            <w:r w:rsidRPr="00430B27">
              <w:t>2024-2029</w:t>
            </w:r>
          </w:p>
        </w:tc>
        <w:tc>
          <w:tcPr>
            <w:tcW w:w="2268" w:type="dxa"/>
            <w:shd w:val="clear" w:color="auto" w:fill="auto"/>
          </w:tcPr>
          <w:p w14:paraId="345990B2" w14:textId="77777777" w:rsidR="004F48ED" w:rsidRPr="00430B27" w:rsidRDefault="004F48ED" w:rsidP="00763674">
            <w:pPr>
              <w:pStyle w:val="EPLogo"/>
            </w:pPr>
            <w:r w:rsidRPr="00430B27">
              <w:rPr>
                <w:noProof/>
              </w:rPr>
              <w:drawing>
                <wp:inline distT="0" distB="0" distL="0" distR="0" wp14:anchorId="2D31DB32" wp14:editId="6CB2D2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9D7491" w14:textId="77777777" w:rsidR="00E9601C" w:rsidRPr="00430B27" w:rsidRDefault="00E9601C" w:rsidP="00E9601C">
      <w:pPr>
        <w:pStyle w:val="LineTop"/>
      </w:pPr>
    </w:p>
    <w:p w14:paraId="798DEADD" w14:textId="77777777" w:rsidR="00E9601C" w:rsidRPr="00430B27" w:rsidRDefault="00E9601C" w:rsidP="00E9601C">
      <w:pPr>
        <w:pStyle w:val="EPBody"/>
      </w:pPr>
      <w:r w:rsidRPr="00430B27">
        <w:rPr>
          <w:rStyle w:val="HideTWBExt"/>
        </w:rPr>
        <w:t>&lt;</w:t>
      </w:r>
      <w:r w:rsidRPr="00430B27">
        <w:rPr>
          <w:rStyle w:val="HideTWBExt"/>
          <w:i w:val="0"/>
        </w:rPr>
        <w:t>Commission</w:t>
      </w:r>
      <w:r w:rsidRPr="00430B27">
        <w:rPr>
          <w:rStyle w:val="HideTWBExt"/>
        </w:rPr>
        <w:t>&gt;</w:t>
      </w:r>
      <w:r w:rsidRPr="00430B27">
        <w:rPr>
          <w:rStyle w:val="HideTWBInt"/>
        </w:rPr>
        <w:t>{LIBE}</w:t>
      </w:r>
      <w:r w:rsidRPr="00430B27">
        <w:t>Komisja Wolności Obywatelskich, Sprawiedliwości i Spraw Wewnętrznych</w:t>
      </w:r>
      <w:r w:rsidRPr="00430B27">
        <w:rPr>
          <w:rStyle w:val="HideTWBExt"/>
        </w:rPr>
        <w:t>&lt;/</w:t>
      </w:r>
      <w:r w:rsidRPr="00430B27">
        <w:rPr>
          <w:rStyle w:val="HideTWBExt"/>
          <w:i w:val="0"/>
        </w:rPr>
        <w:t>Commission</w:t>
      </w:r>
      <w:r w:rsidRPr="00430B27">
        <w:rPr>
          <w:rStyle w:val="HideTWBExt"/>
        </w:rPr>
        <w:t>&gt;</w:t>
      </w:r>
    </w:p>
    <w:p w14:paraId="54781ACB" w14:textId="77777777" w:rsidR="00E9601C" w:rsidRPr="00430B27" w:rsidRDefault="00E9601C" w:rsidP="00E9601C">
      <w:pPr>
        <w:pStyle w:val="LineBottom"/>
      </w:pPr>
    </w:p>
    <w:p w14:paraId="24856E87" w14:textId="77777777" w:rsidR="007254BD" w:rsidRPr="00430B27" w:rsidRDefault="007254BD" w:rsidP="007254BD">
      <w:pPr>
        <w:pStyle w:val="CoverReference"/>
      </w:pPr>
      <w:r w:rsidRPr="00430B27">
        <w:rPr>
          <w:rStyle w:val="HideTWBExt"/>
          <w:b w:val="0"/>
        </w:rPr>
        <w:t>&lt;RefProc&gt;</w:t>
      </w:r>
      <w:r w:rsidRPr="00430B27">
        <w:t>2024/2030</w:t>
      </w:r>
      <w:r w:rsidRPr="00430B27">
        <w:rPr>
          <w:rStyle w:val="HideTWBExt"/>
          <w:b w:val="0"/>
        </w:rPr>
        <w:t>&lt;/RefProc&gt;&lt;RefTypeProc&gt;</w:t>
      </w:r>
      <w:r w:rsidRPr="00430B27">
        <w:t>(DEC)</w:t>
      </w:r>
      <w:r w:rsidRPr="00430B27">
        <w:rPr>
          <w:rStyle w:val="HideTWBExt"/>
          <w:b w:val="0"/>
        </w:rPr>
        <w:t>&lt;/RefTypeProc&gt;</w:t>
      </w:r>
    </w:p>
    <w:p w14:paraId="2DEDEDD0" w14:textId="77777777" w:rsidR="007254BD" w:rsidRPr="00430B27" w:rsidRDefault="007254BD" w:rsidP="007254BD">
      <w:pPr>
        <w:pStyle w:val="CoverDate"/>
      </w:pPr>
      <w:r w:rsidRPr="00430B27">
        <w:rPr>
          <w:rStyle w:val="HideTWBExt"/>
        </w:rPr>
        <w:t>&lt;Date&gt;</w:t>
      </w:r>
      <w:r w:rsidRPr="00430B27">
        <w:rPr>
          <w:rStyle w:val="HideTWBInt"/>
        </w:rPr>
        <w:t>{13/02/2025}</w:t>
      </w:r>
      <w:r w:rsidRPr="00430B27">
        <w:t>13.2.2025</w:t>
      </w:r>
      <w:r w:rsidRPr="00430B27">
        <w:rPr>
          <w:rStyle w:val="HideTWBExt"/>
        </w:rPr>
        <w:t>&lt;/Date&gt;</w:t>
      </w:r>
    </w:p>
    <w:p w14:paraId="1BC903F4" w14:textId="77777777" w:rsidR="007254BD" w:rsidRPr="00430B27" w:rsidRDefault="007254BD" w:rsidP="007254BD">
      <w:pPr>
        <w:pStyle w:val="CoverDocType24a"/>
      </w:pPr>
      <w:r w:rsidRPr="00430B27">
        <w:rPr>
          <w:rStyle w:val="HideTWBExt"/>
          <w:b w:val="0"/>
        </w:rPr>
        <w:t>&lt;TitreType&gt;</w:t>
      </w:r>
      <w:r w:rsidRPr="00430B27">
        <w:t>OPINIA</w:t>
      </w:r>
      <w:r w:rsidRPr="00430B27">
        <w:rPr>
          <w:rStyle w:val="HideTWBExt"/>
          <w:b w:val="0"/>
        </w:rPr>
        <w:t>&lt;/TitreType&gt;</w:t>
      </w:r>
    </w:p>
    <w:p w14:paraId="09A974BF" w14:textId="77777777" w:rsidR="007254BD" w:rsidRPr="00430B27" w:rsidRDefault="007254BD" w:rsidP="007254BD">
      <w:pPr>
        <w:pStyle w:val="CoverNormal24a"/>
      </w:pPr>
      <w:r w:rsidRPr="00430B27">
        <w:rPr>
          <w:rStyle w:val="HideTWBExt"/>
        </w:rPr>
        <w:t>&lt;CommissionResp&gt;</w:t>
      </w:r>
      <w:r w:rsidRPr="00430B27">
        <w:t>Komisji Wolności Obywatelskich, Sprawiedliwości i Spraw Wewnętrznych</w:t>
      </w:r>
      <w:r w:rsidRPr="00430B27">
        <w:rPr>
          <w:rStyle w:val="HideTWBExt"/>
        </w:rPr>
        <w:t>&lt;/CommissionResp&gt;</w:t>
      </w:r>
    </w:p>
    <w:p w14:paraId="44F07357" w14:textId="77777777" w:rsidR="007254BD" w:rsidRPr="00430B27" w:rsidRDefault="007254BD" w:rsidP="007254BD">
      <w:pPr>
        <w:pStyle w:val="CoverNormal24a"/>
      </w:pPr>
      <w:r w:rsidRPr="00430B27">
        <w:rPr>
          <w:rStyle w:val="HideTWBExt"/>
        </w:rPr>
        <w:t>&lt;CommissionInt&gt;</w:t>
      </w:r>
      <w:r w:rsidRPr="00430B27">
        <w:t>dla Komisji Kontroli Budżetowej</w:t>
      </w:r>
      <w:r w:rsidRPr="00430B27">
        <w:rPr>
          <w:rStyle w:val="HideTWBExt"/>
        </w:rPr>
        <w:t>&lt;/CommissionInt&gt;</w:t>
      </w:r>
    </w:p>
    <w:p w14:paraId="5785B409" w14:textId="77777777" w:rsidR="007254BD" w:rsidRPr="00430B27" w:rsidRDefault="007254BD" w:rsidP="007254BD">
      <w:pPr>
        <w:pStyle w:val="CoverNormal"/>
      </w:pPr>
      <w:r w:rsidRPr="00430B27">
        <w:rPr>
          <w:rStyle w:val="HideTWBExt"/>
        </w:rPr>
        <w:t>&lt;Titre&gt;</w:t>
      </w:r>
      <w:r w:rsidRPr="00430B27">
        <w:t>w sprawie absolutorium z wykonania budżetu agencji UE za rok budżetowy 2023</w:t>
      </w:r>
      <w:r w:rsidRPr="00430B27">
        <w:rPr>
          <w:rStyle w:val="HideTWBExt"/>
        </w:rPr>
        <w:t>&lt;/Titre&gt;</w:t>
      </w:r>
    </w:p>
    <w:p w14:paraId="3F589888" w14:textId="77777777" w:rsidR="007254BD" w:rsidRPr="00430B27" w:rsidRDefault="007254BD" w:rsidP="007254BD">
      <w:pPr>
        <w:pStyle w:val="CoverNormal24a"/>
      </w:pPr>
      <w:r w:rsidRPr="00430B27">
        <w:rPr>
          <w:rStyle w:val="HideTWBExt"/>
        </w:rPr>
        <w:t>&lt;DocRef&gt;</w:t>
      </w:r>
      <w:r w:rsidRPr="00430B27">
        <w:t>(2024/2030(DEC))</w:t>
      </w:r>
      <w:r w:rsidRPr="00430B27">
        <w:rPr>
          <w:rStyle w:val="HideTWBExt"/>
        </w:rPr>
        <w:t>&lt;/DocRef&gt;</w:t>
      </w:r>
    </w:p>
    <w:p w14:paraId="44E07C63" w14:textId="77777777" w:rsidR="007254BD" w:rsidRPr="00430B27" w:rsidRDefault="007254BD" w:rsidP="007254BD">
      <w:pPr>
        <w:pStyle w:val="CoverNormal24a"/>
      </w:pPr>
      <w:r w:rsidRPr="00430B27">
        <w:t xml:space="preserve">Sprawozdawca komisji opiniodawczej: </w:t>
      </w:r>
      <w:r w:rsidRPr="00430B27">
        <w:rPr>
          <w:rStyle w:val="HideTWBExt"/>
        </w:rPr>
        <w:t>&lt;Depute&gt;</w:t>
      </w:r>
      <w:r w:rsidRPr="00430B27">
        <w:t>Tomáš Zdechovský</w:t>
      </w:r>
      <w:r w:rsidRPr="00430B27">
        <w:rPr>
          <w:rStyle w:val="HideTWBExt"/>
        </w:rPr>
        <w:t>&lt;/Depute&gt;</w:t>
      </w:r>
    </w:p>
    <w:p w14:paraId="63B402FF" w14:textId="77777777" w:rsidR="007254BD" w:rsidRPr="00430B27" w:rsidRDefault="007254BD" w:rsidP="007254BD">
      <w:pPr>
        <w:widowControl/>
        <w:tabs>
          <w:tab w:val="center" w:pos="4677"/>
        </w:tabs>
      </w:pPr>
      <w:r w:rsidRPr="00430B27">
        <w:br w:type="page"/>
      </w:r>
      <w:r w:rsidRPr="00430B27">
        <w:lastRenderedPageBreak/>
        <w:t>PA_NonLegDec</w:t>
      </w:r>
    </w:p>
    <w:p w14:paraId="0BE3ECA6" w14:textId="77777777" w:rsidR="007254BD" w:rsidRPr="00430B27" w:rsidRDefault="007254BD" w:rsidP="007254BD">
      <w:pPr>
        <w:pStyle w:val="PageHeadingNotTOC"/>
      </w:pPr>
      <w:r w:rsidRPr="00430B27">
        <w:br w:type="page"/>
      </w:r>
      <w:r w:rsidRPr="00430B27">
        <w:lastRenderedPageBreak/>
        <w:t>OPINIA</w:t>
      </w:r>
    </w:p>
    <w:p w14:paraId="41FA4105" w14:textId="77777777" w:rsidR="007254BD" w:rsidRPr="00430B27" w:rsidRDefault="007254BD" w:rsidP="007254BD">
      <w:pPr>
        <w:pStyle w:val="Normal12a"/>
      </w:pPr>
      <w:r w:rsidRPr="00430B27">
        <w:t>Komisja Wolności Obywatelskich, Sprawiedliwości i Spraw Wewnętrznych zwraca się do Komisji Kontroli Budżetowej, jako komisji przedmiotowo właściwej, o uwzględnienie w końcowym tekście projektu rezolucji tego, co następuje:</w:t>
      </w:r>
    </w:p>
    <w:p w14:paraId="389D36CE" w14:textId="77777777" w:rsidR="007254BD" w:rsidRPr="00430B27" w:rsidRDefault="007254BD" w:rsidP="007254BD">
      <w:pPr>
        <w:pStyle w:val="Normal12a"/>
        <w:rPr>
          <w:b/>
          <w:bCs/>
          <w:i/>
          <w:iCs/>
        </w:rPr>
      </w:pPr>
      <w:r w:rsidRPr="00430B27">
        <w:rPr>
          <w:rStyle w:val="HideTWBExt"/>
        </w:rPr>
        <w:t>&lt;RepeatBlock-Dec&gt;</w:t>
      </w:r>
      <w:r w:rsidRPr="00430B27">
        <w:rPr>
          <w:b/>
        </w:rPr>
        <w:t>Część I – Absolutorium z wykonania budżetu Agencji Unii Europejskiej ds. Współpracy Wymiarów Sprawiedliwości w Sprawach Karnych za rok budżetowy 2023</w:t>
      </w:r>
    </w:p>
    <w:p w14:paraId="024C5C73" w14:textId="77777777" w:rsidR="007254BD" w:rsidRPr="00430B27" w:rsidRDefault="007254BD" w:rsidP="007254BD">
      <w:pPr>
        <w:spacing w:after="240"/>
      </w:pPr>
      <w:r w:rsidRPr="00430B27">
        <w:t>1.</w:t>
      </w:r>
      <w:r w:rsidRPr="00430B27">
        <w:tab/>
        <w:t>odnotowuje objaśnienia uzupełniające do rocznego sprawozdania finansowego Trybunału Obrachunkowego („Trybunał”); przyjmuje do wiadomości odpowiedzi Agencji Unii Europejskiej ds. Współpracy Wymiarów Sprawiedliwości w Sprawach Karnych (Eurojust), w szczególności odpowiedź, że wysoki wskaźnik opóźnień w płatnościach wynikał z trudności technicznych w rozliczaniu transakcji przy użyciu SUMMA, nowego systemu budżetowego, księgowego i finansowego, który nadal znajduje się w fazie pilotażowej; wzywa Eurojust do podjęcia konkretnych działań w celu minimalizacji opóźnień w płatnościach oraz pełnego wdrożeniu systemu.</w:t>
      </w:r>
    </w:p>
    <w:p w14:paraId="46835290" w14:textId="0F2FDE38" w:rsidR="007254BD" w:rsidRPr="00430B27" w:rsidRDefault="007254BD" w:rsidP="007254BD">
      <w:pPr>
        <w:spacing w:after="240"/>
      </w:pPr>
      <w:r w:rsidRPr="00430B27">
        <w:t>2.</w:t>
      </w:r>
      <w:r w:rsidRPr="00430B27">
        <w:tab/>
        <w:t xml:space="preserve">z zadowoleniem przyjmuje wzrost budżetu Eurojustu w 2023 r. z 67 mln EUR do 88 mln EUR (+31 %) oraz wzrost liczby pracowników z 285 do 298 (+5 %); podkreśla, że liczba spraw prowadzonych przez Eurojust wzrosła w 2023 r. o 14 %; Eurojust prowadził ponad 13 000 spraw, a także zorganizował 577 spotkań koordynacyjnych i 21 centrów koordynacyjnych, zapewnił wsparcie prawne, techniczne, finansowe lub operacyjne 288 wspólnym zespołom dochodzeniowo-śledczym, ułatwił wykonanie 1 259 europejskich nakazów aresztowania, przyczynił się do aresztowania ponad 4 200 podejrzanych i zajęcia lub zamrożenia mienia pochodzącego z działalności przestępczej o wartości ponad 1 mld EUR, jak również opracował 1 013 rezultatów operacyjnych w celu wsparcia spraw (analizy, notatki prawne itp.) i umożliwił wykonanie 6 299 europejskich nakazów dochodzeniowych; przyjmuje do wiadomości odpowiedź Eurojustu, w której podkreślono, że agencja przeprowadziła przegląd procedury rejestrowania i zgłaszania przypadków niezgodności; </w:t>
      </w:r>
    </w:p>
    <w:p w14:paraId="37032D4A" w14:textId="3A6CBE7F" w:rsidR="007254BD" w:rsidRPr="00430B27" w:rsidRDefault="007254BD" w:rsidP="007254BD">
      <w:pPr>
        <w:spacing w:after="240"/>
      </w:pPr>
      <w:r w:rsidRPr="00430B27">
        <w:t>3.</w:t>
      </w:r>
      <w:r w:rsidRPr="00430B27">
        <w:tab/>
        <w:t>pochwala działania Eurojustu na rzecz cyfryzacji wymiaru sprawiedliwości, a mianowicie wdrożenie nowego zautomatyzowanego systemu zarządzania sprawami w następstwie ostatniej zmian</w:t>
      </w:r>
      <w:bookmarkStart w:id="0" w:name="_GoBack"/>
      <w:bookmarkEnd w:id="0"/>
      <w:r w:rsidRPr="00430B27">
        <w:t>y rozporządzenia w sprawie Eurojustu</w:t>
      </w:r>
      <w:r w:rsidRPr="00430B27">
        <w:rPr>
          <w:vertAlign w:val="superscript"/>
        </w:rPr>
        <w:footnoteReference w:id="1"/>
      </w:r>
      <w:r w:rsidRPr="00430B27">
        <w:t xml:space="preserve"> oraz wdrożenie nowej platformy współpracy zespołów JIT</w:t>
      </w:r>
      <w:r w:rsidRPr="00430B27">
        <w:rPr>
          <w:vertAlign w:val="superscript"/>
        </w:rPr>
        <w:footnoteReference w:id="2"/>
      </w:r>
      <w:r w:rsidRPr="00430B27">
        <w:t>, a także odnotowuje działania Eurojustu w roli punktu kontaktowego dla państw trzecich i organizacji międzynarodowych w odniesieniu do wniosków ECRIS-TCN w kontekście postępowań karnych;</w:t>
      </w:r>
    </w:p>
    <w:p w14:paraId="0FED4B99" w14:textId="78D4D1CB" w:rsidR="007254BD" w:rsidRPr="00430B27" w:rsidRDefault="007254BD" w:rsidP="007254BD">
      <w:pPr>
        <w:spacing w:after="240"/>
      </w:pPr>
      <w:r w:rsidRPr="00430B27">
        <w:t>4.</w:t>
      </w:r>
      <w:r w:rsidRPr="00430B27">
        <w:tab/>
        <w:t xml:space="preserve">podkreśla znaczenie stałego wsparcia, jakie Eurojust udziela Ukrainie dzięki pracom zespołu JIT, który prowadzi dochodzenia w sprawie domniemanych najpoważniejszych zbrodni wagi międzynarodowej popełnionych w Ukrainie, dzięki prowadzeniu bazy danych </w:t>
      </w:r>
      <w:r w:rsidRPr="00430B27">
        <w:lastRenderedPageBreak/>
        <w:t>najpoważniejszych zbrodni wagi międzynarodowej (CICED) w celu zabezpieczania, przechowywania i analizowania dowodów najpoważniejszych zbrodni wagi międzynarodowej w jednej, bezpiecznej, centralnej bazie danych, a także dzięki zapewnianiu bezpiecznej metody przekazywania danych cyfrowych na potrzeby przedkładania dowodów i ich analizy; ponadto z zadowoleniem przyjmuje uruchomienie w Eurojuście nowego Międzynarodowego Centrum Ścigania Zbrodni Agresji przeciwko Ukrainie (ICPA), które ma wspierać dochodzenia krajowe i uzgodnić wspólne strategie dochodzeniowe i prokuratorskie, a także aktywny udział w pracach grupy zadaniowej „Seize and Freeze” mającej zagwarantować skuteczność wdrażania unijnych sankcji w całej Unii Europejskiej;</w:t>
      </w:r>
    </w:p>
    <w:p w14:paraId="1D79ECA6" w14:textId="178159C7" w:rsidR="007254BD" w:rsidRPr="00430B27" w:rsidRDefault="007254BD" w:rsidP="007254BD">
      <w:pPr>
        <w:spacing w:after="240"/>
      </w:pPr>
      <w:r w:rsidRPr="00430B27">
        <w:t>5.</w:t>
      </w:r>
      <w:r w:rsidRPr="00430B27">
        <w:tab/>
        <w:t>z zadowoleniem odnotowuje ścisłą współpracę z agencjami wymiaru sprawiedliwości i spraw wewnętrznych, w szczególności nowe porozumienie robocze z Europejskim Urzędem ds. Zwalczania Nadużyć Finansowych (OLAF), 15 nowych spraw, w których Eurojust wspierał Prokuraturę Europejską (EPPO), a także współpracę w 42 sprawach z Agencją Unii Europejskiej ds. Współpracy Organów Ścigania (Europol); podkreśla, że Eurojust i Europol uruchomiły projekt pilotażowy systematycznej i strukturalnej wymiany danych do celów wykrywania połączeń, który zostanie poddany przeglądowi w pierwszej połowie 2024 r.; z zadowoleniem przyjmuje plan działania Eurojust–OLAF na lata 2022–2023 mający na celu zwalczanie przestępstw naruszających interesy finansowe Unii Europejskiej;</w:t>
      </w:r>
    </w:p>
    <w:p w14:paraId="69785B64" w14:textId="77777777" w:rsidR="007254BD" w:rsidRPr="00430B27" w:rsidRDefault="007254BD" w:rsidP="007254BD">
      <w:pPr>
        <w:spacing w:after="240"/>
      </w:pPr>
      <w:r w:rsidRPr="00430B27">
        <w:t>6.</w:t>
      </w:r>
      <w:r w:rsidRPr="00430B27">
        <w:tab/>
        <w:t>odnotowuje z zadowoleniem, że Eurojust nadal wspiera Komisję w przeglądzie negocjacji umów międzynarodowych w sprawie współpracy z Eurojustem między Unią a 13 państwami trzecimi, które Komisja negocjuje w imieniu UE;</w:t>
      </w:r>
    </w:p>
    <w:p w14:paraId="49570948" w14:textId="77777777" w:rsidR="007254BD" w:rsidRPr="00430B27" w:rsidRDefault="007254BD" w:rsidP="007254BD">
      <w:pPr>
        <w:spacing w:after="240"/>
        <w:rPr>
          <w:b/>
        </w:rPr>
      </w:pPr>
      <w:r w:rsidRPr="00430B27">
        <w:rPr>
          <w:b/>
        </w:rPr>
        <w:t>Część II – Absolutorium z wykonania budżetu Agencji Praw Podstawowych Unii Europejskiej za rok budżetowy 2023</w:t>
      </w:r>
    </w:p>
    <w:p w14:paraId="2B0BF5F6" w14:textId="77777777" w:rsidR="007254BD" w:rsidRPr="00430B27" w:rsidRDefault="007254BD" w:rsidP="007254BD">
      <w:pPr>
        <w:spacing w:after="240"/>
      </w:pPr>
      <w:r w:rsidRPr="00430B27">
        <w:t>1.</w:t>
      </w:r>
      <w:r w:rsidRPr="00430B27">
        <w:tab/>
        <w:t>odnotowuje uwagę Trybunału dotyczącą utrzymującego się wysokiego poziomu przeniesień związanych z działaniami operacyjnymi, wynoszących 6,4 mln EUR (23 %) dostępnych środków na zobowiązania z 2023 r. na 2024 r.; zauważa, że wskaźnik ten jest niższy niż w 2022 r., kiedy to poziom przeniesień wyniósł 26 %; wyraża zadowolenie, że Trybunał uznał operacje leżące u podstaw rocznych sprawozdań finansowych Agencji Praw Podstawowych Unii Europejskiej (FRA) za rok budżetowy 2023 za legalne i prawidłowe we wszystkich istotnych aspektach; podkreśla, że budżet na 2023 r. wyniósł 34 mln EUR; odnotowuje i ponownie wyraża zaniepokojenie faktem, że FRA nadal boryka się z ograniczonymi zasobami finansowymi i kadrowymi; wyraża zadowolenie, że FRA była w stanie zrealizować swoje cele i podjąć działania przewidziane w rocznym programie prac pomimo utrzymującego się niedoboru zasobów ludzkich i finansowych; zauważa, że liczba zorganizowanych lub współorganizowanych spotkań i wydarzeń wyniosła 421 w porównaniu z ustalonym celem na poziomie 260, a liczba materiałów informacyjnych wyniosła 1 809 w porównaniu z ustalonym celem na poziomie 250; zauważa z zadowoleniem, że FRA osiągnęła bardzo wysoki wynik powyżej 99 %; uważa, że jest to ważny wskaźnik należytego zarządzania finansami i przestrzegania zasad budżetowych; z zadowoleniem przyjmuje współpracę z innymi agencjami, organami i społeczeństwem obywatelskim UE mającą zapewnić przestrzeganie praw podstawowych;</w:t>
      </w:r>
    </w:p>
    <w:p w14:paraId="04E799F0" w14:textId="44A9EF7D" w:rsidR="007254BD" w:rsidRPr="00430B27" w:rsidRDefault="007254BD" w:rsidP="007254BD">
      <w:pPr>
        <w:spacing w:after="240"/>
      </w:pPr>
      <w:r w:rsidRPr="00430B27">
        <w:t>2.</w:t>
      </w:r>
      <w:r w:rsidRPr="00430B27">
        <w:tab/>
        <w:t xml:space="preserve">podkreśla rolę FRA, która zgodnie z Kartą praw podstawowych UE jest jednym z z najważniejszych strażników praw podstawowych i praworządności, i wyraża uznanie dla jej wsparcia na rzecz poszanowania, ochrony i przestrzegania praw podstawowych w </w:t>
      </w:r>
      <w:r w:rsidRPr="00430B27">
        <w:lastRenderedPageBreak/>
        <w:t>obowiązujących przepisach i politykach UE w dziedzinie równości i przeciwdziałania dyskryminacji – takich jak przepisy i strategie polityczne UE dotyczące zwalczania rasizmu, antysemityzmu i islamofobii – a także jej pomocy w gromadzeniu danych dotyczących równouprawnienia oraz we wdrażaniu strategii na rzecz równouprawnienia i walki z rasizmem, takich jak krajowe ramy strategiczne dotyczące Romów, jej wkład w śródokresowy przegląd strategii na rzecz równości osób LGBTIQ na lata 2020–2025 oraz w ochronę społeczeństwa obywatelskiego i zagrożonych obrońców praw człowieka, jej pomoc podczas przeglądów dyrektywy w sprawie praw ofiar, planu działania przeciwko rasizmowi, strategii UE w sprawie zwalczania antysemityzmu, jak również jej doradztwo w sprawie przestrzegania praw podstawowych podczas opracowywania i wykorzystywania systemów sztucznej inteligencji oraz wdrażania i wykorzystywania funduszy UE;</w:t>
      </w:r>
    </w:p>
    <w:p w14:paraId="44094F2C" w14:textId="77777777" w:rsidR="007254BD" w:rsidRPr="00430B27" w:rsidRDefault="007254BD" w:rsidP="007254BD">
      <w:pPr>
        <w:spacing w:after="240"/>
      </w:pPr>
      <w:r w:rsidRPr="00430B27">
        <w:t>3.</w:t>
      </w:r>
      <w:r w:rsidRPr="00430B27">
        <w:tab/>
        <w:t xml:space="preserve">zwraca uwagę na wytyczne i zaangażowanie FRA w obszarze azylu i migracji, granic i interoperacyjnośći oraz jej istotny nacisk na prawa podstawowe, międzynarodowe zobowiązania państw członkowskich i przepisy UE dotyczące praw człowieka w tej dziedzinie, w tym jej współpracę z Agencją Unii Europejskiej ds. Azylu (AUEA) w celu podniesienia poziomu wiedzy na temat znaczenia opiekunów i przedstawicieli prawnych pomagających dzieciom bez opieki ubiegającym się o ochronę międzynarodową w Unii, a także szkolenia dla pracowników Europolu podnoszące świadomość i poziom wiedzy w kwestiach dotyczących praw podstawowych w odpowiednich kontekstach operacyjnych; z zadowoleniem przyjmuje terminowy wkład FRA we wdrażanie dyrektywy w sprawie tymczasowej ochrony w związku z napływem uchodźców z Ukrainy, a także w określenie wyzwań związanych z wdrażaniem prawa Unii dotyczącego pobytu długoterminowego, identyfikację niedociągnięć w kodeksie wizowym oraz sporządzenie wykazu działań, które Unia i jej państwa członkowskie mogą podjąć, aby zmniejszyć liczbę ofiar śmiertelnych na morzu; </w:t>
      </w:r>
    </w:p>
    <w:p w14:paraId="342F33A9" w14:textId="77777777" w:rsidR="007254BD" w:rsidRPr="00430B27" w:rsidRDefault="007254BD" w:rsidP="007254BD">
      <w:pPr>
        <w:spacing w:after="240"/>
      </w:pPr>
      <w:r w:rsidRPr="00430B27">
        <w:t>4.</w:t>
      </w:r>
      <w:r w:rsidRPr="00430B27">
        <w:tab/>
        <w:t>z zadowoleniem przyjmuje wkład FRA w ocenę rozporządzenia w sprawie Europejskiej Straży Granicznej i Przybrzeżnej</w:t>
      </w:r>
      <w:r w:rsidRPr="00430B27">
        <w:rPr>
          <w:rStyle w:val="FootnoteReference"/>
        </w:rPr>
        <w:footnoteReference w:id="3"/>
      </w:r>
      <w:r w:rsidRPr="00430B27">
        <w:t xml:space="preserve">, jej udział w posiedzeniach zarządu Europejskiej Agencji Straży Granicznej i Przybrzeżnej (Frontex), współprzewodnictwo forum konsultacyjnego Fronteksu ds. praw podstawowych, a także współpracę z biurem urzędnika Fronteksu ds. praw podstawowych, </w:t>
      </w:r>
    </w:p>
    <w:p w14:paraId="11DDAAB9" w14:textId="77777777" w:rsidR="007254BD" w:rsidRPr="00430B27" w:rsidRDefault="007254BD" w:rsidP="007254BD">
      <w:pPr>
        <w:spacing w:after="240"/>
      </w:pPr>
      <w:r w:rsidRPr="00430B27">
        <w:t>5.</w:t>
      </w:r>
      <w:r w:rsidRPr="00430B27">
        <w:tab/>
        <w:t xml:space="preserve">zauważa z zadowoleniem, że FRA zapewniła analizę praw podstawowych i wiedzę fachową na potrzeby wsparcia działań i prac innych agencji UE w dziedzinie wymiaru sprawiedliwości i spraw wewnętrznych (WSiSW), w tym AUEA, Fronteksu, Europolu, Agencji Unii Europejskiej ds. Zarządzania Operacyjnego Wielkoskalowymi Systemami Informatycznymi w Przestrzeni Wolności, Bezpieczeństwa i Sprawiedliwości (eu-LISA) oraz Agencji Unii Europejskiej ds. Szkolenia w Dziedzinie Ścigania (CEPOL); z zadowoleniem przyjmuje wkład FRA w propagowanie poszanowania praw podstawowych w 2023 r., w tym przez wydawanie wytycznych dotyczących funduszy UE i stawianie czoła wyzwaniom związanym z nowymi technologiami; zwraca się do FRA o ustalenie, w jaki sposób praworządność i prawa podstawowe są ze sobą nierozerwalnie związane oraz w jaki sposób jej prace można włączyć do prac Komisji Europejskiej lub rozwijać w synergii z nimi w kontekście rocznego sprawozdania na temat praworządności; </w:t>
      </w:r>
    </w:p>
    <w:p w14:paraId="7FEB23E4" w14:textId="77777777" w:rsidR="007254BD" w:rsidRPr="00430B27" w:rsidRDefault="007254BD" w:rsidP="007254BD">
      <w:pPr>
        <w:spacing w:after="240"/>
      </w:pPr>
      <w:r w:rsidRPr="00430B27">
        <w:lastRenderedPageBreak/>
        <w:t>6.</w:t>
      </w:r>
      <w:r w:rsidRPr="00430B27">
        <w:tab/>
        <w:t>z zadowoleniem przyjmuje współpracę FRA z Agencją Unii Europejskiej ds. Cyberbezpieczeństwa (ENISA) w zakresie ochrony prywatności i danych w trakcie opracowywania i wdrażania inicjatyw w zakresie cyberbezpieczeństwa, a także współpracę z eu-LISA mającą zagwarantować, że systemy informatyczne będą projektowane i wykorzystywane zgodnie ze standardami praw podstawowych;</w:t>
      </w:r>
    </w:p>
    <w:p w14:paraId="7ACCD3DE" w14:textId="77777777" w:rsidR="007254BD" w:rsidRPr="00430B27" w:rsidRDefault="007254BD" w:rsidP="007254BD">
      <w:pPr>
        <w:spacing w:after="240"/>
        <w:rPr>
          <w:b/>
        </w:rPr>
      </w:pPr>
      <w:r w:rsidRPr="00430B27">
        <w:rPr>
          <w:b/>
        </w:rPr>
        <w:t>Część III – Absolutorium z wykonania budżetu Agencji Unii Europejskiej ds. Azylu za rok budżetowy 2023</w:t>
      </w:r>
    </w:p>
    <w:p w14:paraId="1EE8D72C" w14:textId="77777777" w:rsidR="007254BD" w:rsidRPr="00430B27" w:rsidRDefault="007254BD" w:rsidP="007254BD">
      <w:pPr>
        <w:spacing w:after="240"/>
      </w:pPr>
      <w:r w:rsidRPr="00430B27">
        <w:t>1.</w:t>
      </w:r>
      <w:r w:rsidRPr="00430B27">
        <w:tab/>
        <w:t>zauważa, że w 2023 r. złożono ponad 1,1 mln wniosków o udzielenie ochrony międzynarodowej (o 18 % więcej niż w 2022 r.), a w 29 państwach UE+ wydano ponad 1 mln decyzji o udzieleniu tymczasowej ochrony; zwraca uwagę na znaczne wsparcie, jakiego AUEA udzieliła państwom członkowskim w tym kontekście</w:t>
      </w:r>
      <w:r w:rsidRPr="00430B27">
        <w:rPr>
          <w:vertAlign w:val="superscript"/>
        </w:rPr>
        <w:footnoteReference w:id="4"/>
      </w:r>
      <w:r w:rsidRPr="00430B27">
        <w:t>; apeluje o zapewnienie AUEA odpowiedniego finansowania, zwłaszcza w przypadku znacznego zwiększenia liczby zadań powierzonych agencji w związku z wdrażaniem paktu o migracji i azylu;</w:t>
      </w:r>
    </w:p>
    <w:p w14:paraId="65937FA2" w14:textId="77777777" w:rsidR="007254BD" w:rsidRPr="00430B27" w:rsidRDefault="007254BD" w:rsidP="007254BD">
      <w:pPr>
        <w:spacing w:after="240"/>
      </w:pPr>
      <w:r w:rsidRPr="00430B27">
        <w:t>2.</w:t>
      </w:r>
      <w:r w:rsidRPr="00430B27">
        <w:tab/>
        <w:t>odnotowuje wzrost budżetu AUEA w 2023 r. z 208 mln EUR do 228 mln EUR (+10 %) oraz wzrost liczby pracowników z 519 do 529 (+2 %); zwraca uwagę, że Trybunał stwierdził w swoich sprawozdaniach z 2017 r. i 2020 r., że umowy AUEA dotyczące wynajmu pomieszczeń na Lesbos i w Rzymie były nieprawidłowe ze względu na niewystarczającą konkurencję i nieprzestrzeganie zasady oszczędności, co oznacza, że wszystkie późniejsze płatności w ramach tych umów były nieprawidłowe; przypomina spostrzeżenie audytorów, że do 2023 r. kwota takich nieprawidłowych płatności wyniosła łącznie 123 800 EUR;</w:t>
      </w:r>
    </w:p>
    <w:p w14:paraId="66946315" w14:textId="465564F4" w:rsidR="007254BD" w:rsidRPr="00430B27" w:rsidRDefault="007254BD" w:rsidP="007254BD">
      <w:pPr>
        <w:spacing w:after="240"/>
      </w:pPr>
      <w:r w:rsidRPr="00430B27">
        <w:t>3.</w:t>
      </w:r>
      <w:r w:rsidRPr="00430B27">
        <w:tab/>
        <w:t>z zadowoleniem przyjmuje fakt, że interwencyjna rezerwa ekspertów ds. azylu zaczęła funkcjonować i że na koniec 2023 r. obejmowała prawie 350 ekspertów; ubolewa, że ze względu na opóźnienia w mianowaniu ekspertów przez niektóre państwa członkowskie nie osiągnięto jeszcze zaplanowanej liczby 500 ekspertów; wzywa państwa członkowskie do wywiązywania się ze zobowiązań dotyczących ekspertów krajowych, aby agencja nie musiała polegać na wykonawcach zewnętrznych;</w:t>
      </w:r>
    </w:p>
    <w:p w14:paraId="65AA18C8" w14:textId="308073F0" w:rsidR="007254BD" w:rsidRPr="00430B27" w:rsidRDefault="007254BD" w:rsidP="007254BD">
      <w:pPr>
        <w:spacing w:after="240"/>
      </w:pPr>
      <w:r w:rsidRPr="00430B27">
        <w:t>4.</w:t>
      </w:r>
      <w:r w:rsidRPr="00430B27">
        <w:tab/>
        <w:t>z zadowoleniem przyjmuje fakt, że 16 maja 2023 r. urząd objął pierwszy urzędnik AUEA ds. praw podstawowych; docenia ustanowienie widocznego i łatwo dostępnego mechanizmu składania skarg, który opracował urzędnik ds. praw podstawowych we współpracy z Komisją i forum doradczym;</w:t>
      </w:r>
    </w:p>
    <w:p w14:paraId="4985B009" w14:textId="4AEC7BEE" w:rsidR="007254BD" w:rsidRPr="00430B27" w:rsidRDefault="007254BD" w:rsidP="007254BD">
      <w:pPr>
        <w:spacing w:after="240"/>
      </w:pPr>
      <w:r w:rsidRPr="00430B27">
        <w:t>5.</w:t>
      </w:r>
      <w:r w:rsidRPr="00430B27">
        <w:tab/>
        <w:t>z zadowoleniem przyjmuje przyjęcie zmienionej strategii współpracy zewnętrznej AUEA</w:t>
      </w:r>
      <w:r w:rsidRPr="00430B27">
        <w:rPr>
          <w:rStyle w:val="FootnoteReference"/>
        </w:rPr>
        <w:footnoteReference w:id="5"/>
      </w:r>
      <w:r w:rsidRPr="00430B27">
        <w:t xml:space="preserve"> i strategii dotyczącej podatności na zagrożenia</w:t>
      </w:r>
      <w:r w:rsidRPr="00430B27">
        <w:rPr>
          <w:rStyle w:val="FootnoteReference"/>
        </w:rPr>
        <w:footnoteReference w:id="6"/>
      </w:r>
      <w:r w:rsidRPr="00430B27">
        <w:t xml:space="preserve">; podkreśla, że obie te strategie powinny służyć jako gwarancja ochrony praw podstawowych w systemach azylowych i systemach przyjmowania państw UE+; </w:t>
      </w:r>
    </w:p>
    <w:p w14:paraId="28BF1B05" w14:textId="6D5B26B6" w:rsidR="007254BD" w:rsidRPr="00430B27" w:rsidRDefault="007254BD" w:rsidP="007254BD">
      <w:pPr>
        <w:spacing w:after="240"/>
      </w:pPr>
      <w:r w:rsidRPr="00430B27">
        <w:t>6.</w:t>
      </w:r>
      <w:r w:rsidRPr="00430B27">
        <w:tab/>
        <w:t xml:space="preserve">docenia działania AUEA w obszarze cyfryzacji, w tym przyjęcie przez nią strategii na </w:t>
      </w:r>
      <w:r w:rsidRPr="00430B27">
        <w:lastRenderedPageBreak/>
        <w:t>rzecz innowacji cyfrowych w procedurach azylowych i systemach przyjmowania</w:t>
      </w:r>
      <w:r w:rsidRPr="00430B27">
        <w:rPr>
          <w:rStyle w:val="FootnoteReference"/>
        </w:rPr>
        <w:footnoteReference w:id="7"/>
      </w:r>
      <w:r w:rsidRPr="00430B27">
        <w:t>;</w:t>
      </w:r>
    </w:p>
    <w:p w14:paraId="467C48D0" w14:textId="5CE8F85F" w:rsidR="007254BD" w:rsidRPr="00430B27" w:rsidRDefault="007254BD" w:rsidP="007254BD">
      <w:pPr>
        <w:spacing w:after="240"/>
      </w:pPr>
      <w:r w:rsidRPr="00430B27">
        <w:t>7.</w:t>
      </w:r>
      <w:r w:rsidRPr="00430B27">
        <w:tab/>
        <w:t>zauważa z zadowoleniem, że AUEA zorganizowała 1 000 sesji szkoleniowych oraz że stale rośnie liczba urzędników ds. azylu i przyjmowania oraz podmiotów społeczeństwa obywatelskiego, których przeszkolono (o 6 % więcej niż w 2022 r.); z zadowoleniem przyjmuje dalszy rozwój europejskiego programu szkoleń dla pracowników służb azylowych, obejmującego moduły szkoleniowe dotyczące przemocy ze względu na płeć, podatności na zagrożenia i sytuacji dzieci w procesie azylowym;</w:t>
      </w:r>
    </w:p>
    <w:p w14:paraId="29021DAB" w14:textId="708D2FD9" w:rsidR="007254BD" w:rsidRPr="00430B27" w:rsidRDefault="007254BD" w:rsidP="007254BD">
      <w:pPr>
        <w:spacing w:after="240"/>
      </w:pPr>
      <w:r w:rsidRPr="00430B27">
        <w:t>8.</w:t>
      </w:r>
      <w:r w:rsidRPr="00430B27">
        <w:tab/>
        <w:t>ponawia swój apel z ubiegłego roku, aby AUEA regularnie informowała Parlament o wszystkich dochodzeniach prowadzonych przez OLAF;</w:t>
      </w:r>
    </w:p>
    <w:p w14:paraId="5138F53F" w14:textId="77777777" w:rsidR="007254BD" w:rsidRPr="00430B27" w:rsidRDefault="007254BD" w:rsidP="007254BD">
      <w:pPr>
        <w:spacing w:after="240"/>
        <w:rPr>
          <w:b/>
        </w:rPr>
      </w:pPr>
      <w:r w:rsidRPr="00430B27">
        <w:rPr>
          <w:b/>
        </w:rPr>
        <w:t>Część IV – Absolutorium z wykonania budżetu Agencji Unii Europejskiej ds. Zarządzania Operacyjnego Wielkoskalowymi Systemami Informatycznymi w Przestrzeni Wolności, Bezpieczeństwa i Sprawiedliwości za rok budżetowy 2023</w:t>
      </w:r>
    </w:p>
    <w:p w14:paraId="112560B5" w14:textId="77777777" w:rsidR="007254BD" w:rsidRPr="00430B27" w:rsidRDefault="007254BD" w:rsidP="007254BD">
      <w:pPr>
        <w:spacing w:after="240"/>
      </w:pPr>
      <w:r w:rsidRPr="00430B27">
        <w:t>1.</w:t>
      </w:r>
      <w:r w:rsidRPr="00430B27">
        <w:tab/>
        <w:t>ubolewa, że w 2023 r. kwotę 12,6 mln EUR, odpowiadającą 3,2 % łącznych dostępnych środków na płatności, stanowiły wydatki niezgodne z przepisami, które przekroczyły próg istotności określony na potrzeby kontroli, w związku z czym Trybunał wydał opinię z zastrzeżeniem na temat legalności i prawidłowości płatności; niniejszym wzywa eu-Lisa do niezwłocznego przygotowania szczegółowego planu działań naprawczych, który obejmie harmonogram eliminacji wydatków niezgodnych z przepisami oraz informacje o tym, kto będzie za tę eliminację odpowiadać; wzywa Agencję do regularnego informowania Trybunału Obrachunkowego o postępach we wdrażaniu planu naprawczego;</w:t>
      </w:r>
    </w:p>
    <w:p w14:paraId="61FBCC07" w14:textId="77777777" w:rsidR="007254BD" w:rsidRPr="00430B27" w:rsidRDefault="007254BD" w:rsidP="007254BD">
      <w:pPr>
        <w:spacing w:after="240"/>
      </w:pPr>
      <w:r w:rsidRPr="00430B27">
        <w:t>2.</w:t>
      </w:r>
      <w:r w:rsidRPr="00430B27">
        <w:tab/>
        <w:t>przyjmuje z niepokojem objaśnienia uzupełniające do rocznego sprawozdania finansowego Trybunału Obrachunkowego dotyczące dwóch aktywnych umów ramowych; ubolewa, że niektóre uwagi Trybunału z poprzednich lat nadal są aktualne; wzywa eu-LISA do podjęcia działań następczych w związku z uwagami Trybunału oraz do wzmożenia wysiłków na rzecz wdrożenia środków naprawczych we wszystkich pozostałych zidentyfikowanych przypadkach niezgodności oraz do poinformowania organu udzielającego absolutorium o osiągniętych postępach;</w:t>
      </w:r>
    </w:p>
    <w:p w14:paraId="13CF254D" w14:textId="737181C7" w:rsidR="007254BD" w:rsidRPr="00430B27" w:rsidRDefault="007254BD" w:rsidP="007254BD">
      <w:pPr>
        <w:spacing w:after="240"/>
      </w:pPr>
      <w:r w:rsidRPr="00430B27">
        <w:t>3.</w:t>
      </w:r>
      <w:r w:rsidRPr="00430B27">
        <w:tab/>
        <w:t>zauważa działania eu-LISA na rzecz osiągnięcia celów na 2023 r., które określono w jednolitym dokumencie programowym na lata 2023–2025; z zadowoleniem odnotowuje pełne wdrożenie odnowionego Systemu Informacyjnego Schengen (SIS) w marcu, sprawne przystąpienie Cypru do SIS w lipcu 2023 r., a także przystąpienie Chorwacji do wizowego systemu informacyjnego (VIS);</w:t>
      </w:r>
    </w:p>
    <w:p w14:paraId="0CD6BF03" w14:textId="77777777" w:rsidR="007254BD" w:rsidRPr="00430B27" w:rsidRDefault="007254BD" w:rsidP="007254BD">
      <w:pPr>
        <w:spacing w:after="240"/>
      </w:pPr>
      <w:r w:rsidRPr="00430B27">
        <w:t>4.</w:t>
      </w:r>
      <w:r w:rsidRPr="00430B27">
        <w:tab/>
        <w:t xml:space="preserve">odnotowuje nowy plan działania na rzecz interoperacyjności; ubolewa, że trzeba było zmienić harmonogram wdrażania i interoperacyjności unijnych systemów informacyjnych ze względu na opóźnienia w opracowywaniu systemu wjazdu/wyjazdu (EES), europejskiego systemu informacji o podróży oraz zezwoleń na podróż (ETIAS) oraz europejskiego systemu przekazywania informacji z rejestrów karnych o obywatelach państw trzecich (ECRIS-TCN); wzywa agencję eu-LISA do priorytetowego potraktowania szybkiego wdrożenia tych systemów informacyjnych i wyznaczenia nowej konkretnej daty rozpoczęcia działalności; podkreśla, że szybka, skuteczna i wiarygodna wymiana informacji ma kluczowe znaczenie dla </w:t>
      </w:r>
      <w:r w:rsidRPr="00430B27">
        <w:lastRenderedPageBreak/>
        <w:t>utrzymania i wzmocnienia unijnej przestrzeni wolności, bezpieczeństwa i sprawiedliwości;</w:t>
      </w:r>
    </w:p>
    <w:p w14:paraId="256A86DF" w14:textId="77777777" w:rsidR="007254BD" w:rsidRPr="00430B27" w:rsidRDefault="007254BD" w:rsidP="007254BD">
      <w:pPr>
        <w:spacing w:after="240"/>
      </w:pPr>
      <w:r w:rsidRPr="00430B27">
        <w:t>5.</w:t>
      </w:r>
      <w:r w:rsidRPr="00430B27">
        <w:tab/>
        <w:t xml:space="preserve">z zadowoleniem przyjmuje fakt, że eu-LISA skoncentrowała się również na cyberbezpieczeństwie i zwalczaniu zagrożeń w cyberprzestrzeni, a zawłaszcza że poczyniła niezbędne przygotowania, aby mogła wypełniać obowiązki wynikające z nowych rozporządzeń Unii w sprawie bezpieczeństwa informacji i cyberbezpieczeństwa; podkreśla, że eu-LISA prowadzi i utrzymuje platformę monitorowania bezpieczeństwa, plan reagowania na cyberincydenty, protokoły reagowania oraz całodobowe dyżury w celu terminowej identyfikacji cyberzagrożeń i reakcji na nie; z zadowoleniem przyjmuje rolę, jaką eu-LISA odegrała we wspieraniu międzyagencyjnych ćwiczeń w dziedzinie cyberbezpieczeństwa we współpracy z siecią agencji WSiSW („sieć agencji WSiSW”); </w:t>
      </w:r>
    </w:p>
    <w:p w14:paraId="02C4D602" w14:textId="77777777" w:rsidR="007254BD" w:rsidRPr="00430B27" w:rsidRDefault="007254BD" w:rsidP="007254BD">
      <w:r w:rsidRPr="00430B27">
        <w:t>6.</w:t>
      </w:r>
      <w:r w:rsidRPr="00430B27">
        <w:tab/>
        <w:t>z zadowoleniem przyjmuje fakt, że eu-LISA rozpoczęła przygotowania do przejęcia zarządzania operacyjnego systemem e-CODEX (elektroniczna wymiana informacji z dziedziny e-sprawiedliwości) oraz do opracowania i stworzenia platformy współpracy wspólnych zespołów dochodzeniowo-śledczych, która ma umożliwić bezpieczną elektroniczną wymianę informacji na potrzeby transgranicznych postępowań przygotowawczych; odnotowuje przegląd zasad zapobiegania konfliktom interesów przedstawicieli zarządu i grup doradczych oraz zarządzania tymi konfliktami;</w:t>
      </w:r>
    </w:p>
    <w:p w14:paraId="5452B8A8" w14:textId="77777777" w:rsidR="007254BD" w:rsidRPr="00430B27" w:rsidRDefault="007254BD" w:rsidP="007254BD"/>
    <w:p w14:paraId="0482EC24" w14:textId="1A9DE335" w:rsidR="007254BD" w:rsidRPr="00430B27" w:rsidRDefault="007254BD" w:rsidP="007254BD">
      <w:pPr>
        <w:spacing w:after="240"/>
        <w:rPr>
          <w:b/>
        </w:rPr>
      </w:pPr>
      <w:r w:rsidRPr="00430B27">
        <w:rPr>
          <w:b/>
        </w:rPr>
        <w:t>Część V – Absolutorium z wykonania budżetu Europejskiej Agencji Straży Granicznej i Przybrzeżnej za rok budżetowy 2023</w:t>
      </w:r>
    </w:p>
    <w:p w14:paraId="2DA9C2CC" w14:textId="77777777" w:rsidR="007254BD" w:rsidRPr="00430B27" w:rsidRDefault="007254BD" w:rsidP="007254BD">
      <w:pPr>
        <w:spacing w:after="240"/>
      </w:pPr>
      <w:r w:rsidRPr="00430B27">
        <w:t>1.</w:t>
      </w:r>
      <w:r w:rsidRPr="00430B27">
        <w:tab/>
        <w:t>odnotowuje, że znacznie wzrosła liczba powrotów, a Frontex przekroczył swój cel wynoszący 20 000 powrotów: pomógł przeprowadzić łącznie 39 239 powrotów, przy czym odnotowano imponujący wzrost liczby powrotów dobrowolnych o 87 % i wzrost liczby powrotów przymusowych o 20 % w porównaniu z 2022 r.; wyraża zadowolenie, że zintensyfikowano wsparcie dla państw członkowskich w zakresie pomocy po powrocie i po przybyciu, a Frontex przekroczył planowaną liczbę 5 000 spraw w ramach wspólnego systemu reintegracji, w 2023 r. z powodzeniem zająwszy się 6 438 przypadkami;</w:t>
      </w:r>
    </w:p>
    <w:p w14:paraId="64A2DBE8" w14:textId="77777777" w:rsidR="007254BD" w:rsidRPr="00430B27" w:rsidRDefault="007254BD" w:rsidP="007254BD">
      <w:pPr>
        <w:pStyle w:val="NormalWeb"/>
        <w:jc w:val="both"/>
      </w:pPr>
      <w:r w:rsidRPr="00430B27">
        <w:t>2.</w:t>
      </w:r>
      <w:r w:rsidRPr="00430B27">
        <w:tab/>
        <w:t>odnotowuje stopniowe rozszerzanie współpracy z państwami trzecimi przez cały 2023 r. za pomocą różnorodnych działań, takich jak wizyty zapoznawcze, misje identyfikacyjne i warsztaty (w sumie 36 inicjatyw mających zacieśnić współpracę);</w:t>
      </w:r>
    </w:p>
    <w:p w14:paraId="56DB3E47" w14:textId="36223AC1" w:rsidR="007254BD" w:rsidRPr="00430B27" w:rsidRDefault="007254BD" w:rsidP="007254BD">
      <w:pPr>
        <w:pStyle w:val="NormalWeb"/>
        <w:jc w:val="both"/>
      </w:pPr>
      <w:r w:rsidRPr="00430B27">
        <w:t>3.</w:t>
      </w:r>
      <w:r w:rsidRPr="00430B27">
        <w:tab/>
        <w:t>podkreśla kluczową rolę Fronteksu w ochronie granic zewnętrznych Unii, co jest też jego głównym zadaniem; zauważa, że Fronteks odgrywa też zasadniczą rolę w operacjach poszukiwawczo-ratowniczych – podczas wspólnych operacji zasoby morskie i powietrzne rozmieszczono w odpowiedzi na 785 incydentów z udziałem 43 508 migrantów – i podkreśla jego kluczowy wkład w działania humanitarne; zauważa z zaniepokojeniem, że według szacunków Statisty w 2023 r. podczas przeprawy przez Morze Śródziemne zginęło 3 105 migrantów; podkreśla, że należy zintensyfikować działania na rzecz zapobiegania przemytowi i handlowi ludźmi;</w:t>
      </w:r>
    </w:p>
    <w:p w14:paraId="33F11252" w14:textId="77777777" w:rsidR="007254BD" w:rsidRPr="00430B27" w:rsidRDefault="007254BD" w:rsidP="007254BD">
      <w:pPr>
        <w:pStyle w:val="NormalWeb"/>
        <w:jc w:val="both"/>
      </w:pPr>
      <w:r w:rsidRPr="00430B27">
        <w:t>4.</w:t>
      </w:r>
      <w:r w:rsidRPr="00430B27">
        <w:tab/>
        <w:t xml:space="preserve">podkreśla pozytywne postępy we wdrażaniu celów w zakresie praw podstawowych, w tym trwającą realizację planu działania dotyczącego praw podstawowych oraz niezależną ocenę zgodności działań Agencji z ramami praw podstawowych, zgodnie z rozporządzeniem w sprawie Europejskiej Straży Granicznej i Przybrzeżnej; z zadowoleniem przyjmuje proaktywne działania następcze Fronteksu w następstwie skarg dotyczących poszanowania praw </w:t>
      </w:r>
      <w:r w:rsidRPr="00430B27">
        <w:lastRenderedPageBreak/>
        <w:t>podstawowych, przy czym większość z nich jest odrzucana z powodu niedopuszczalności; podkreśla znaczenie ścisłej współpracy z organami krajowymi w celu zapewnienia odpowiednich działań następczych w związku z zarzutami naruszenia praw podstawowych zgodnie z krajowymi mechanizmami praw podstawowych; podkreśla, że funkcjonariusze Fronteksu muszą unikać angażowania się w jakiekolwiek działania, które mogłyby bezpośrednio lub pośrednio naruszać prawa podstawowe; z zadowoleniem przyjmuje zwiększone zaangażowanie Fronteksu na rzecz przejrzystości i rozliczalności; podkreśla potrzebę przekazywania bardziej szczegółowych informacji po zakończeniu operacji;</w:t>
      </w:r>
    </w:p>
    <w:p w14:paraId="4258962D" w14:textId="77777777" w:rsidR="007254BD" w:rsidRPr="00430B27" w:rsidRDefault="007254BD" w:rsidP="007254BD">
      <w:pPr>
        <w:pStyle w:val="NormalWeb"/>
        <w:jc w:val="both"/>
      </w:pPr>
      <w:r w:rsidRPr="00430B27">
        <w:t>5.</w:t>
      </w:r>
      <w:r w:rsidRPr="00430B27">
        <w:tab/>
        <w:t>popiera stałe wysiłki Fronteksu na rzecz wzmocnienia jego urzędnika ds. praw podstawowych i odnotowuje, że w 2023 r. zatrudniono 46 obserwatorów praw podstawowych; podkreśla znaczenie zadbania o to, by wszyscy obserwatorzy praw podstawowych byli zatrudniani w grupie zaszeregowania AD, co powinno dodatkowo zwiększyć ich zdolności i niezależność; przyznaje, że Frontex podjął istotne kroki w odpowiedzi na opinie urzędnika ds. praw podstawowych, w szczególności w kwestiach takich jak uwzględnianie aspektu płci i handel ludźmi;</w:t>
      </w:r>
    </w:p>
    <w:p w14:paraId="5B8613A3" w14:textId="77777777" w:rsidR="007254BD" w:rsidRPr="00430B27" w:rsidRDefault="007254BD" w:rsidP="007254BD">
      <w:pPr>
        <w:pStyle w:val="NormalWeb"/>
        <w:jc w:val="both"/>
      </w:pPr>
      <w:r w:rsidRPr="00430B27">
        <w:t>6.</w:t>
      </w:r>
      <w:r w:rsidRPr="00430B27">
        <w:tab/>
        <w:t>zauważa z uznaniem, że w 2023 r. osiągnięto większość celów w zakresie praw podstawowych, dzięki czemu Frontex może działać bardziej skutecznie i w oparciu o prawa podstawowe; ubolewa – pomimo oficjalnych odpowiedzi dyrektora wykonawczego Fronteksu – nad brakiem konkretnych działań w odniesieniu do niektórych opinii urzędnika ds. praw podstawowych, w związku z czym apeluje o dalsze skupianie się na wdrażaniu takich konkretnych działań w oparciu o zalecenia urzędnika ds. praw podstawowych oraz o kontynuację wzmacniania ram prawnych Fronteksu w zakresie praw człowieka;</w:t>
      </w:r>
    </w:p>
    <w:p w14:paraId="41AC4582" w14:textId="5A34C811" w:rsidR="007254BD" w:rsidRPr="00430B27" w:rsidRDefault="007254BD" w:rsidP="007254BD">
      <w:pPr>
        <w:spacing w:after="240"/>
      </w:pPr>
      <w:r w:rsidRPr="00430B27">
        <w:t>7.</w:t>
      </w:r>
      <w:r w:rsidRPr="00430B27">
        <w:tab/>
        <w:t>przyjmuje do wiadomości, że otrzymano 217 zgłoszeń naruszenia praw podstawowych, w 2023 r. zgłoszono 104 poważne incydenty, z których 48 dotyczyło praw podstawowych, otrzymano 67 skargi za pośrednictwem mechanizmu składania skarg Fronteksu, w 2023 r. wszczęto 55 dochodzeń w sprawie poważnych incydentów oraz zamknięto dochodzenia w sprawie 39 poważnych incydentów, przy czym stwierdzono, że naruszenia praw podstawowych prawdopodobnie miały miejsce w przypadku prawie 50 % zamkniętych spraw; przyznaje, że przeprowadzone dochodzenia dowodzą również zaangażowania Fronteksu na rzecz przejrzystości, rozliczalności i ciągłej poprawy;</w:t>
      </w:r>
    </w:p>
    <w:p w14:paraId="08F35848" w14:textId="1F073E55" w:rsidR="007254BD" w:rsidRPr="00430B27" w:rsidRDefault="007254BD" w:rsidP="007254BD">
      <w:pPr>
        <w:spacing w:after="240"/>
      </w:pPr>
      <w:r w:rsidRPr="00430B27">
        <w:t>8.</w:t>
      </w:r>
      <w:r w:rsidRPr="00430B27">
        <w:tab/>
        <w:t>wzywa Frontex do zadbania bez dalszej zwłoki o to, by w pełni wdrożono wszystkie zalecenia europejskich organów kontroli, w szczególności zalecenia OLAF-u i grupy roboczej Parlamentu Europejskiego ds. kontroli Fronteksu, Europejskiego Rzecznika Praw Obywatelskich, Trybunału oraz grupy roboczej Fronteksu ds. praw podstawowych i prawnych aspektów operacyjnych operacji (WG FRaLO);</w:t>
      </w:r>
    </w:p>
    <w:p w14:paraId="7A8E83A4" w14:textId="77777777" w:rsidR="007254BD" w:rsidRPr="00430B27" w:rsidRDefault="007254BD" w:rsidP="007254BD">
      <w:pPr>
        <w:pStyle w:val="NormalWeb"/>
        <w:jc w:val="both"/>
      </w:pPr>
      <w:r w:rsidRPr="00430B27">
        <w:t>9.</w:t>
      </w:r>
      <w:r w:rsidRPr="00430B27">
        <w:tab/>
        <w:t>zauważa z zaniepokojeniem, że od 2018 r. Trybunał zwraca uwagę na wysoki poziom przenoszenia i anulowania środków przez Frontex oraz że problem ten nadal występuje w 2023 r.; zauważa ponadto, że Frontex nadal ma trudności z osiągnięciem wymaganej liczby pracowników zgodnie z planem zatrudnienia oraz że problem ten sięga co najmniej 2018 r.; zwraca uwagę na ciągłe zaniepokojenie Trybunału brakiem przepisów dotyczących deklarowanych konfliktów interesów w procedurach rekrutacji we Fronteksie;</w:t>
      </w:r>
    </w:p>
    <w:p w14:paraId="485D2157" w14:textId="0DB55535" w:rsidR="007254BD" w:rsidRPr="00430B27" w:rsidRDefault="007254BD" w:rsidP="007254BD">
      <w:pPr>
        <w:pStyle w:val="NormalWeb"/>
        <w:jc w:val="both"/>
      </w:pPr>
      <w:r w:rsidRPr="00430B27">
        <w:t>10.</w:t>
      </w:r>
      <w:r w:rsidRPr="00430B27">
        <w:tab/>
        <w:t xml:space="preserve">odnotowuje objaśnienia uzupełniające Trybunału do rocznego sprawozdania finansowego, dotyczące obliczania wkładów państw stowarzyszonych w ramach Schengen, </w:t>
      </w:r>
      <w:r w:rsidRPr="00430B27">
        <w:lastRenderedPageBreak/>
        <w:t>które określono w 2022 r.; odnotowuje odpowiedź Fronteksu, że obliczenia te są zgodne z ustalonymi praktykami zatwierdzonymi przez zarząd i Komisję; wzywa Komisję do przeprowadzenia przeglądu tych umów w celu zapewnienia większej spójności metody ustalania wkładów na rzecz Unii i jej agencji;</w:t>
      </w:r>
    </w:p>
    <w:p w14:paraId="37D4DCB3" w14:textId="0092946B" w:rsidR="007254BD" w:rsidRPr="00430B27" w:rsidRDefault="007254BD" w:rsidP="007254BD">
      <w:pPr>
        <w:pStyle w:val="NormalWeb"/>
        <w:jc w:val="both"/>
      </w:pPr>
      <w:r w:rsidRPr="00430B27">
        <w:t>11.</w:t>
      </w:r>
      <w:r w:rsidRPr="00430B27">
        <w:tab/>
        <w:t>wzywa Komisję, aby w świetle pełnego wyzwań kryzysu migracyjnego, zwłaszcza w związku z wejściem w życie paktu o migracji i azylu oraz działań hybrydowych Rosji i Białorusi, podjęła działania następcze w odpowiedzi na oświadczenie przewodniczącej Komisji Ursuli von der Leyen z lipca 2024 r., w którym oświadczyła ona, że Frontex jest dobrze przygotowany do dalszego zwiększenia liczby personelu do 30 000 pracowników; podkreśla, że zwiększenie liczby personelu znacznie podniosłoby zdolność Fronteksu do reagowania na przepływy migracyjne i zarządzania nimi, a także do zapewnienia bezpieczeństwa i poszanowania praw podstawowych na granicach zewnętrznych Unii, a co za tym idzie – umocniłoby jego zasadniczą rolę w szerszej strategii migracyjnej Unii; wzywa Komisję, aby podjęła niezbędne działania w celu zapewnienia Fronteksowi zasobów adekwatnych do obecnej sytuacji geopolitycznej i umożliwiających zwalczanie przemytu;</w:t>
      </w:r>
    </w:p>
    <w:p w14:paraId="7C238D8D" w14:textId="77777777" w:rsidR="007254BD" w:rsidRPr="00430B27" w:rsidRDefault="007254BD" w:rsidP="007254BD">
      <w:pPr>
        <w:spacing w:after="240"/>
        <w:rPr>
          <w:b/>
        </w:rPr>
      </w:pPr>
      <w:r w:rsidRPr="00430B27">
        <w:rPr>
          <w:b/>
        </w:rPr>
        <w:t>Część VI – Absolutorium z wykonania budżetu Agencji Unii Europejskiej ds. Szkolenia w Dziedzinie Ścigania za rok budżetowy 2023</w:t>
      </w:r>
    </w:p>
    <w:p w14:paraId="7AFA41D8" w14:textId="77777777" w:rsidR="007254BD" w:rsidRPr="00430B27" w:rsidRDefault="007254BD" w:rsidP="007254BD">
      <w:pPr>
        <w:spacing w:after="240"/>
      </w:pPr>
      <w:r w:rsidRPr="00430B27">
        <w:t>1.</w:t>
      </w:r>
      <w:r w:rsidRPr="00430B27">
        <w:tab/>
        <w:t>przyjmuje do wiadomości, że CEPOL zintensyfikował działania mające na celu zapewnienie kompleksowej oferty szkoleniowej we wszystkich obszarach europejskiej multidyscyplinarnej platformy przeciwko zagrożeniom przestępstwami (EMPACT); zauważa, że szkolenia na temat poważnej i zorganizowanej przestępczości i cyberprzestępczości cieszyły się największą popularnością – wzięło w nich udział prawie 62 % wszystkich uczestników szkoleń w 2023 r.; podkreśla, że podczas kontroli płatności w ramach umowy ramowej dotyczącej usług w zakresie organizacji podróży i imprez Trybunał zauważył, iż CEPOL monitorował wykorzystanie środków z umowy na poziomie płatności, a nie zobowiązań budżetowych; zgadza się z Trybunałem, że podejście to nie jest zgodne z art. 111 rozporządzenia finansowego UE;</w:t>
      </w:r>
    </w:p>
    <w:p w14:paraId="6DBD03C3" w14:textId="77777777" w:rsidR="007254BD" w:rsidRPr="00430B27" w:rsidRDefault="007254BD" w:rsidP="007254BD">
      <w:pPr>
        <w:spacing w:after="240"/>
      </w:pPr>
      <w:r w:rsidRPr="00430B27">
        <w:t>2.</w:t>
      </w:r>
      <w:r w:rsidRPr="00430B27">
        <w:tab/>
        <w:t>wyraża zadowolenie, że CEPOL opublikował przegląd śródokresowy oceny strategicznych potrzeb szkoleniowych UE na lata 2022–2025, w którym określił nowo pojawiające się strategiczne potrzeby szkoleniowe funkcjonariuszy organów ścigania na szczeblu UE;</w:t>
      </w:r>
    </w:p>
    <w:p w14:paraId="07463945" w14:textId="77777777" w:rsidR="007254BD" w:rsidRPr="00430B27" w:rsidRDefault="007254BD" w:rsidP="007254BD">
      <w:pPr>
        <w:spacing w:after="240"/>
      </w:pPr>
      <w:r w:rsidRPr="00430B27">
        <w:t>3.</w:t>
      </w:r>
      <w:r w:rsidRPr="00430B27">
        <w:tab/>
        <w:t>z zadowoleniem przyjmuje fakt, że CEPOL w dalszym ciągu oferował wiele różnych szkoleń w dziedzinie cyberbezpieczeństwa za pośrednictwem swojej Akademii ds. Walki z Cyberprzestępczością; wyraża zadowolenie że dzięki specjalnym szkoleniom podniesiono wiedzę na temat cyberprzestępczości i zdolności w zakresie cyberbezpieczeństwa w Europie w obszarze zwalczania wykorzystywania seksualnego dzieci, oszustw internetowych i cyberataków, a także że CEPOL opracował swoje pierwsze specjalne warsztaty na temat sztucznej inteligencji;</w:t>
      </w:r>
    </w:p>
    <w:p w14:paraId="2C0FAF0F" w14:textId="77777777" w:rsidR="007254BD" w:rsidRPr="00430B27" w:rsidRDefault="007254BD" w:rsidP="007254BD">
      <w:pPr>
        <w:spacing w:after="240"/>
      </w:pPr>
      <w:r w:rsidRPr="00430B27">
        <w:t>4.</w:t>
      </w:r>
      <w:r w:rsidRPr="00430B27">
        <w:tab/>
        <w:t xml:space="preserve">zauważa z ubolewaniem, że w 2023 r. liczba szkoleń w dziedzinie praw podstawowych i ochrony danych spadła (zrealizowano 19 działań z udziałem 2063 uczestników) w porównaniu z 2022 r. (30 działań z udziałem 4 014 uczestników); podkreśla, że głównym zadaniem CEPOL-u jest wspieranie, opracowywanie, realizacja i koordynowanie szkoleń dla funkcjonariuszy organów ścigania, przy czym Agencja zwraca szczególną uwagi </w:t>
      </w:r>
      <w:r w:rsidRPr="00430B27">
        <w:lastRenderedPageBreak/>
        <w:t>na ochronę praw człowieka i podstawowych wolności w kontekście egzekwowania prawa; przyjmuje do wiadomości że całkowita liczba uczestników szkoleń wzrosła do 46 431; Wzywa CEPOL do zwiększenia przejrzystości planowania i monitorowania realizacji tych potrzeb szkoleniowych, szczególnie w kontekście nowych wyzwań, takich jak rosnąca rola technologii w egzekwowaniu prawa;</w:t>
      </w:r>
    </w:p>
    <w:p w14:paraId="70BBA59E" w14:textId="77777777" w:rsidR="007254BD" w:rsidRPr="00430B27" w:rsidRDefault="007254BD" w:rsidP="007254BD">
      <w:pPr>
        <w:spacing w:after="240"/>
        <w:rPr>
          <w:b/>
        </w:rPr>
      </w:pPr>
      <w:r w:rsidRPr="00430B27">
        <w:rPr>
          <w:b/>
        </w:rPr>
        <w:t>Część VII – Absolutorium z wykonania budżetu Europejskiego Centrum Monitorowania Narkotyków i Narkomanii za rok budżetowy 2023</w:t>
      </w:r>
    </w:p>
    <w:p w14:paraId="69CD9010" w14:textId="12548F43" w:rsidR="007254BD" w:rsidRPr="00430B27" w:rsidRDefault="007254BD" w:rsidP="007254BD">
      <w:pPr>
        <w:spacing w:after="240"/>
      </w:pPr>
      <w:r w:rsidRPr="00430B27">
        <w:t>1.</w:t>
      </w:r>
      <w:r w:rsidRPr="00430B27">
        <w:tab/>
        <w:t>zauważa, że 1 lipca 2023 r. weszło w życie nowe rozporządzenie w sprawie Agencji Unii Europejskiej ds. Narkotyków (EUDA)</w:t>
      </w:r>
      <w:r w:rsidRPr="00430B27">
        <w:rPr>
          <w:rStyle w:val="FootnoteReference"/>
        </w:rPr>
        <w:footnoteReference w:id="8"/>
      </w:r>
      <w:r w:rsidRPr="00430B27">
        <w:t>, uchylające i zastępujące rozporządzenie w sprawie Europejskiego Centrum Monitorowania Narkotyków i Narkomanii (EMCDDA)</w:t>
      </w:r>
      <w:r w:rsidRPr="00430B27">
        <w:rPr>
          <w:rStyle w:val="FootnoteReference"/>
        </w:rPr>
        <w:footnoteReference w:id="9"/>
      </w:r>
      <w:r w:rsidRPr="00430B27">
        <w:t>, i z zadowoleniem przyjmuje nowy, szerszy mandat EUDA; przypomina, że celem rozporządzenia w sprawie EUDA jest holistyczna i oparta na dowodach reakcja na zjawisko narkotyków, oraz wzywa agencję do zapewnienia pełnego wdrożenia jej nowego mandatu; odnotowuje wzrost budżetu EMCDDA w 2023 r. z 26 mln EUR do 29 mln EUR (+13 %) oraz zmniejszenie liczby pracowników ze 110 do 101 (-1 %);</w:t>
      </w:r>
    </w:p>
    <w:p w14:paraId="0E1CA4C9" w14:textId="77777777" w:rsidR="007254BD" w:rsidRPr="00430B27" w:rsidRDefault="007254BD" w:rsidP="007254BD">
      <w:pPr>
        <w:spacing w:after="240"/>
      </w:pPr>
      <w:r w:rsidRPr="00430B27">
        <w:t>2.</w:t>
      </w:r>
      <w:r w:rsidRPr="00430B27">
        <w:tab/>
        <w:t>z zadowoleniem przyjmuje wkład EMCDDA w EMPACT oraz w operacyjne plany działania w ramach cyklu polityki unijnej dotyczącej poważnej i zorganizowanej przestępczości międzynarodowej; docenia wkład EMCDDA w nowy unijny plan działania na rzecz wzmożenia walki z handlem narkotykami i z przestępczością zorganizowaną</w:t>
      </w:r>
      <w:r w:rsidRPr="00430B27">
        <w:rPr>
          <w:vertAlign w:val="superscript"/>
        </w:rPr>
        <w:footnoteReference w:id="10"/>
      </w:r>
      <w:r w:rsidRPr="00430B27">
        <w:t xml:space="preserve">; </w:t>
      </w:r>
    </w:p>
    <w:p w14:paraId="7BEA66DE" w14:textId="49609A5C" w:rsidR="007254BD" w:rsidRPr="00430B27" w:rsidRDefault="007254BD" w:rsidP="007254BD">
      <w:pPr>
        <w:spacing w:after="240"/>
      </w:pPr>
      <w:r w:rsidRPr="00430B27">
        <w:t>3.</w:t>
      </w:r>
      <w:r w:rsidRPr="00430B27">
        <w:tab/>
        <w:t>wyraża zadowolenie z powodu nieustannych wysiłków EMCDDA na rzecz wdrożenia unijnego systemu wczesnego ostrzegania we współpracy z partnerami w państwach członkowskich; zauważa, że zgłoszono 26 nowych substancji psychoaktywnych i że obecnie monitorowanych jest około 950 nowych substancji psychoaktywnych; docenia sprawozdania techniczne opublikowane przez agencję;</w:t>
      </w:r>
    </w:p>
    <w:p w14:paraId="6A794729" w14:textId="610F7FF9" w:rsidR="007254BD" w:rsidRPr="00430B27" w:rsidRDefault="007254BD" w:rsidP="007254BD">
      <w:pPr>
        <w:spacing w:after="240"/>
      </w:pPr>
      <w:r w:rsidRPr="00430B27">
        <w:t>4.</w:t>
      </w:r>
      <w:r w:rsidRPr="00430B27">
        <w:tab/>
        <w:t>odnotowuje, że w 2023 r. EMCDDA opracowało 30 publikacji naukowych i instytucjonalnych, a także było autorem lub współautorem 14 artykułów naukowych i rozdziałów książek; co podniosło jego reputację w świecie nauki; docenia naukową i opartą na dowodach wiedzę fachową zapewnianą przez agencję;</w:t>
      </w:r>
    </w:p>
    <w:p w14:paraId="49ABDB1E" w14:textId="2AAD6A72" w:rsidR="007254BD" w:rsidRPr="00430B27" w:rsidRDefault="007254BD" w:rsidP="007254BD">
      <w:pPr>
        <w:spacing w:after="240"/>
      </w:pPr>
      <w:r w:rsidRPr="00430B27">
        <w:t>5.</w:t>
      </w:r>
      <w:r w:rsidRPr="00430B27">
        <w:tab/>
        <w:t>z zadowoleniem przyjmuje rozpoczęcie prac nad w pierwszej kolejności cyfrowym, modułowym europejskim raportem narkotykowym za 2023 r. oraz nad modułami dotyczących amfetaminy i konopi indyjskich wspólnego sprawozdania EMCDDA i Europolu pt. „EU Drug Markets: In-depth Analysis” [Rynki narkotykowe w UE: szczegółowa analiza];</w:t>
      </w:r>
    </w:p>
    <w:p w14:paraId="6101E4F7" w14:textId="588CFCF6" w:rsidR="007254BD" w:rsidRPr="00430B27" w:rsidRDefault="007254BD" w:rsidP="007254BD">
      <w:pPr>
        <w:spacing w:after="240"/>
      </w:pPr>
      <w:r w:rsidRPr="00430B27">
        <w:t>6.</w:t>
      </w:r>
      <w:r w:rsidRPr="00430B27">
        <w:tab/>
        <w:t xml:space="preserve">zauważa z zadowoleniem, że EMCDDA udzielało krajowym decydentom politycznym regularnego, cennego wsparcia i informacji na temat polityki dotyczącej narkotyków oraz koordynowało przygotowawcze przeglądy naukowe dotyczące szkodliwych skutków spożywania narkotyków, leczenia narkomanii i sposobów ograniczania szkód; </w:t>
      </w:r>
      <w:r w:rsidRPr="00430B27">
        <w:lastRenderedPageBreak/>
        <w:t>podkreśla znaczenie kontynuowania tej niezbędnej pracy, aby sprostać zmieniającym się tendencjom i wyzwaniom, oraz zachęca do dalszego wspierania tych działań przez promowanie ściślejszej współpracy z państwami członkowskimi i dbanie o to, aby ustalenia docierały do szerszego grona odbiorców, w tym pracowników ochrony zdrowia i ogółu społeczeństwa;</w:t>
      </w:r>
    </w:p>
    <w:p w14:paraId="20B9B41F" w14:textId="33D1404A" w:rsidR="007254BD" w:rsidRPr="00430B27" w:rsidRDefault="007254BD" w:rsidP="007254BD">
      <w:pPr>
        <w:spacing w:after="240"/>
      </w:pPr>
      <w:r w:rsidRPr="00430B27">
        <w:t>7.</w:t>
      </w:r>
      <w:r w:rsidRPr="00430B27">
        <w:tab/>
        <w:t>podkreśla, że EMCDDA przeszkoliło ponad 3 300 specjalistów w dziedzinie narkotyków, w tym pracowników służby zdrowia, funkcjonariuszy organów ścigania i decydentów w Unii i poza nią, oraz że w ośmiu seminariach internetowych organizowanych przez EMCDDA wzięło udział około 4 800 specjalistów; z zadowoleniem przyjmuje współpracę z innymi agencjami UE;</w:t>
      </w:r>
    </w:p>
    <w:p w14:paraId="0F3FBB51" w14:textId="77777777" w:rsidR="007254BD" w:rsidRPr="00430B27" w:rsidRDefault="007254BD" w:rsidP="007254BD">
      <w:pPr>
        <w:spacing w:after="240"/>
        <w:rPr>
          <w:b/>
        </w:rPr>
      </w:pPr>
      <w:r w:rsidRPr="00430B27">
        <w:rPr>
          <w:b/>
        </w:rPr>
        <w:t>Część VIII – Absolutorium z wykonania budżetu Agencji Unii Europejskiej ds. Współpracy Organów Ścigania za rok budżetowy 2023</w:t>
      </w:r>
    </w:p>
    <w:p w14:paraId="1B01D2CB" w14:textId="73D36EA6" w:rsidR="007254BD" w:rsidRPr="00430B27" w:rsidRDefault="007254BD" w:rsidP="007254BD">
      <w:pPr>
        <w:pStyle w:val="NormalWeb"/>
        <w:jc w:val="both"/>
      </w:pPr>
      <w:r w:rsidRPr="00430B27">
        <w:t>1.</w:t>
      </w:r>
      <w:r w:rsidRPr="00430B27">
        <w:tab/>
        <w:t>wyraża zaniepokojenie uwagami Trybunału dotyczącymi legalności i prawidłowości transakcji związanych z dotacjami operacyjnymi na finansowanie działań krajowych sił policyjnych w państwach członkowskich; zauważa, że Trybunał stwierdził nieprawidłowość części dotacji w wysokości 279 000 EUR; podkreśla, że na wniosek Trybunału Europol zidentyfikował inne dotacje, za pośrednictwem których dokonano zwrotu podatku VAT za podobne działania w 2023 r., co doprowadziło do nieprawidłowych płatności; odnotowuje odpowiedź Europolu, że nie będzie on już uznawać VAT za koszt kwalifikowalny w dotacjach operacyjnych, co zagwarantuje zgodność z rozporządzeniem finansowym 2018/1046;</w:t>
      </w:r>
    </w:p>
    <w:p w14:paraId="30006A59" w14:textId="77777777" w:rsidR="007254BD" w:rsidRPr="00430B27" w:rsidRDefault="007254BD" w:rsidP="007254BD">
      <w:pPr>
        <w:spacing w:after="240"/>
      </w:pPr>
      <w:r w:rsidRPr="00430B27">
        <w:t>2.</w:t>
      </w:r>
      <w:r w:rsidRPr="00430B27">
        <w:tab/>
        <w:t>zauważa z zadowoleniem, że w 2023 r. Europol przyjął 107 856 wkładów operacyjnych, wsparł 3 155 operacji, ustanowił 27 operacyjnych grup zadaniowych, udzielił 21 096 odpowiedzi pierwszej linii w ramach SIENA i zapewnił organom krajowym, państwom członkowskim i stronom trzecim większe zdolności w zakresie informacji operacyjnych;</w:t>
      </w:r>
    </w:p>
    <w:p w14:paraId="1AFC9F71" w14:textId="77777777" w:rsidR="007254BD" w:rsidRPr="00430B27" w:rsidRDefault="007254BD" w:rsidP="007254BD">
      <w:pPr>
        <w:spacing w:after="240"/>
      </w:pPr>
      <w:r w:rsidRPr="00430B27">
        <w:t>3.</w:t>
      </w:r>
      <w:r w:rsidRPr="00430B27">
        <w:tab/>
        <w:t>pochwala pomyślne wdrożenie platformy UE ds. nielegalnych treści w internecie (PERCI), zwłaszcza dzięki pełnemu wdrożeniu zaleceń Europejskiego Inspektora Ochrony Danych (EIOD); docenia ścisłą współpracę z EIOD i wspólną grupą roboczą ustanowioną z Fronteksem w celu podjęcia działań następczych w związku z zaleceniami EIOD dotyczącymi programu Fronteksu PeDRA (przetwarzanie danych osobowych do celów analizy ryzyka), w ramach którego obie agencje są żywotnie zainteresowane ochroną praw podstawowych przy jednoczesnym zwiększaniu bezpieczeństwa;</w:t>
      </w:r>
    </w:p>
    <w:p w14:paraId="687D73FC" w14:textId="77777777" w:rsidR="007254BD" w:rsidRPr="00430B27" w:rsidRDefault="007254BD" w:rsidP="007254BD">
      <w:pPr>
        <w:spacing w:after="240"/>
      </w:pPr>
      <w:r w:rsidRPr="00430B27">
        <w:t>4.</w:t>
      </w:r>
      <w:r w:rsidRPr="00430B27">
        <w:tab/>
        <w:t>domaga się, aby współpraca między Europolem a innymi agencjami WSiSW była w pełni przejrzysta i rozliczana zgodnie z przepisami UE dotyczącymi przejrzystości, a także z prawami podstawowymi i standardami ochrony danych;</w:t>
      </w:r>
    </w:p>
    <w:p w14:paraId="2FD784C2" w14:textId="1148D383" w:rsidR="007254BD" w:rsidRPr="00430B27" w:rsidRDefault="007254BD" w:rsidP="007254BD">
      <w:pPr>
        <w:spacing w:after="240"/>
      </w:pPr>
      <w:r w:rsidRPr="00430B27">
        <w:t>5.</w:t>
      </w:r>
      <w:r w:rsidRPr="00430B27">
        <w:tab/>
        <w:t>z zadowoleniem przyjmuje wdrożenie zmienionego w 2022 r. rozporządzenia w sprawie Europolu</w:t>
      </w:r>
      <w:r w:rsidRPr="00430B27">
        <w:rPr>
          <w:rStyle w:val="FootnoteReference"/>
        </w:rPr>
        <w:footnoteReference w:id="11"/>
      </w:r>
      <w:r w:rsidRPr="00430B27">
        <w:t xml:space="preserve"> w szczególności szybkie wyznaczenie urzędnika ds. praw podstawowych w styczniu 2023 r., co stanowi istotny krok w kierunku zwiększenia zaangażowania Europolu </w:t>
      </w:r>
      <w:r w:rsidRPr="00430B27">
        <w:lastRenderedPageBreak/>
        <w:t>na rzecz praw człowieka;</w:t>
      </w:r>
    </w:p>
    <w:p w14:paraId="7A0CC3C4" w14:textId="31E71026" w:rsidR="007254BD" w:rsidRPr="00430B27" w:rsidRDefault="007254BD" w:rsidP="007254BD">
      <w:pPr>
        <w:spacing w:after="240"/>
      </w:pPr>
      <w:r w:rsidRPr="00430B27">
        <w:t>6.</w:t>
      </w:r>
      <w:r w:rsidRPr="00430B27">
        <w:tab/>
        <w:t>z zaniepokojeniem odnotowuje, że zorganizowane grupy przestępcze coraz częściej werbują dzieci i młodzież; podkreśla znaczenie jasnej i kompleksowej strategii zapobiegania temu zjawisku i zwalczania go;</w:t>
      </w:r>
    </w:p>
    <w:p w14:paraId="56BF265F" w14:textId="63AEDDEB" w:rsidR="007254BD" w:rsidRPr="00430B27" w:rsidRDefault="007254BD" w:rsidP="007254BD">
      <w:pPr>
        <w:spacing w:after="240"/>
      </w:pPr>
      <w:r w:rsidRPr="00430B27">
        <w:t>7.</w:t>
      </w:r>
      <w:r w:rsidRPr="00430B27">
        <w:tab/>
        <w:t>docenia stałe i nieocenione wsparcie Europolu dla Ukrainy, w szczególności jego udział we wspólnym zespole dochodzeniowo-śledczym, który prowadzi dochodzenia w sprawie zarzutów najpoważniejszych zbrodni wagi międzynarodowej popełnionych w Ukrainie; z zadowoleniem odnotowuje utworzenie operacyjnej grupy zadaniowej mającej zapewniać ukierunkowane wsparcie w kontekście toczących się dochodzeń w sprawie zbrodni wojennych, co dowodzi zasadniczej roli Europolu w międzynarodowym wymiarze sprawiedliwości i rozliczalności;</w:t>
      </w:r>
    </w:p>
    <w:p w14:paraId="7E2FE133" w14:textId="60546677" w:rsidR="007254BD" w:rsidRPr="00430B27" w:rsidRDefault="007254BD" w:rsidP="007254BD">
      <w:pPr>
        <w:spacing w:after="240"/>
      </w:pPr>
      <w:r w:rsidRPr="00430B27">
        <w:t>8.</w:t>
      </w:r>
      <w:r w:rsidRPr="00430B27">
        <w:tab/>
        <w:t xml:space="preserve">docenia ponadto wysiłki Komisji na rzecz silniejszej i bezpieczniejszej Europy, o czym przewodnicząca Ursula von der Leyen mówiła w swoim oświadczeniu z 2024 r.; wzywa Komisję do podwojenia personelu Europolu, a także uznania centralnej roli Europolu w zapewnianiu bezpieczeństwa w całej Unii oraz jego zdolności do reagowania na pojawiające się zagrożenia; podkreśla ponadto, że większa liczba pracowników jeszcze bardziej podniesie zdolność Europolu do wspierania państw członkowskich w zwalczaniu poważnej i zorganizowanej przestępczości, zarówno w internecie, jak i poza nim, co pomoże stworzyć bezpieczniejszą Europę dla wszystkich. </w:t>
      </w:r>
    </w:p>
    <w:p w14:paraId="0DDF67CD" w14:textId="77777777" w:rsidR="007254BD" w:rsidRPr="00430B27" w:rsidRDefault="007254BD" w:rsidP="007254BD">
      <w:pPr>
        <w:pStyle w:val="NormalHanging12a"/>
      </w:pPr>
    </w:p>
    <w:p w14:paraId="4E9DEA21" w14:textId="77777777" w:rsidR="007254BD" w:rsidRPr="00430B27" w:rsidRDefault="007254BD" w:rsidP="007254BD">
      <w:pPr>
        <w:pStyle w:val="NormalHanging12a"/>
        <w:rPr>
          <w:rStyle w:val="HideTWBExt"/>
        </w:rPr>
      </w:pPr>
      <w:r w:rsidRPr="00430B27">
        <w:rPr>
          <w:rStyle w:val="HideTWBExt"/>
        </w:rPr>
        <w:t>&lt;/RepeatBlock-Dec&gt;</w:t>
      </w:r>
    </w:p>
    <w:p w14:paraId="1B2BD8D8" w14:textId="77777777" w:rsidR="007254BD" w:rsidRPr="00430B27" w:rsidRDefault="007254BD" w:rsidP="007254BD">
      <w:pPr>
        <w:widowControl/>
        <w:sectPr w:rsidR="007254BD" w:rsidRPr="00430B27" w:rsidSect="00790A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C2A9CAC" w14:textId="77777777" w:rsidR="007254BD" w:rsidRPr="00430B27" w:rsidRDefault="007254BD" w:rsidP="007254BD">
      <w:pPr>
        <w:pStyle w:val="PageHeadingNotTOC"/>
      </w:pPr>
      <w:bookmarkStart w:id="1" w:name="FootprintPageAD"/>
      <w:r w:rsidRPr="00430B27">
        <w:lastRenderedPageBreak/>
        <w:t>ZAŁĄCZNIK: PODMIOTY LUB OSOBY,</w:t>
      </w:r>
      <w:r w:rsidRPr="00430B27">
        <w:br/>
        <w:t>OD KTÓRYCH SPRAWOZDAWCA OTRZYMAŁ INFORMACJE</w:t>
      </w:r>
    </w:p>
    <w:p w14:paraId="09C97A42" w14:textId="20EBD7AC" w:rsidR="007254BD" w:rsidRPr="00430B27" w:rsidRDefault="007254BD" w:rsidP="007254BD">
      <w:pPr>
        <w:pStyle w:val="Normal24a"/>
      </w:pPr>
      <w:r w:rsidRPr="00430B27">
        <w:rPr>
          <w:rStyle w:val="HideTWBExt"/>
        </w:rPr>
        <w:t>&lt;FootprintIntro&gt;</w:t>
      </w:r>
      <w:r w:rsidRPr="00430B27">
        <w:t>Zgodnie z art. 8 załącznika I do Regulaminu sprawozdawca komisji opiniodawczej oświadcza, że przy sporządzaniu opinii, do czasu przyjęcia jej przez komisję, otrzymał informacje od następujących podmiotów lub osób:</w:t>
      </w:r>
      <w:r w:rsidRPr="00430B2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254BD" w:rsidRPr="00430B27" w14:paraId="41C35005" w14:textId="77777777" w:rsidTr="0044075D">
        <w:tc>
          <w:tcPr>
            <w:tcW w:w="9286" w:type="dxa"/>
            <w:shd w:val="clear" w:color="auto" w:fill="auto"/>
          </w:tcPr>
          <w:p w14:paraId="1163EE8D" w14:textId="77777777" w:rsidR="007254BD" w:rsidRPr="00430B27" w:rsidRDefault="007254BD" w:rsidP="0044075D">
            <w:pPr>
              <w:pStyle w:val="NormalBoldCenter"/>
            </w:pPr>
            <w:r w:rsidRPr="00430B27">
              <w:t>Podmiot lub osoba</w:t>
            </w:r>
          </w:p>
        </w:tc>
      </w:tr>
      <w:tr w:rsidR="007254BD" w:rsidRPr="00430B27" w14:paraId="7664B8A7" w14:textId="77777777" w:rsidTr="0044075D">
        <w:tc>
          <w:tcPr>
            <w:tcW w:w="9286" w:type="dxa"/>
            <w:shd w:val="clear" w:color="auto" w:fill="auto"/>
          </w:tcPr>
          <w:p w14:paraId="7CE19D83" w14:textId="77777777" w:rsidR="007254BD" w:rsidRPr="00430B27" w:rsidRDefault="007254BD" w:rsidP="0044075D">
            <w:pPr>
              <w:pStyle w:val="NormalSingle"/>
            </w:pPr>
            <w:r w:rsidRPr="00430B27">
              <w:t>Europejska Agencja Straży Granicznej i Przybrzeżnej (Frontex)</w:t>
            </w:r>
          </w:p>
        </w:tc>
      </w:tr>
    </w:tbl>
    <w:p w14:paraId="110CC77F" w14:textId="12BD9F4E" w:rsidR="007254BD" w:rsidRPr="00430B27" w:rsidRDefault="007254BD" w:rsidP="007254BD">
      <w:pPr>
        <w:pStyle w:val="Footprint12b"/>
      </w:pPr>
      <w:r w:rsidRPr="00430B27">
        <w:t>Powyższy wykaz został sporządzony na wyłączną odpowiedzialność sprawozdawcy komisji opiniodawczej.</w:t>
      </w:r>
    </w:p>
    <w:p w14:paraId="324E0B1C" w14:textId="7FAB8AC8" w:rsidR="007254BD" w:rsidRPr="00430B27" w:rsidRDefault="007254BD" w:rsidP="007254BD">
      <w:pPr>
        <w:pStyle w:val="Footprint12b"/>
      </w:pPr>
      <w:r w:rsidRPr="00430B27">
        <w:t>Gdy osoby fizyczne są wymienione w wykazie z imienia i nazwiska, zidentyfikowane poprzez swoją funkcję lub wymienione z imienia i nazwiska wraz z podaniem ich funkcji, sprawozdawca komisji opiniodawczej oświadcza, że przedstawił tym osobom fizycznym Oświadczenie o ochronie prywatności w Parlamencie Europejskim nr 484 (</w:t>
      </w:r>
      <w:hyperlink r:id="rId15" w:history="1">
        <w:r w:rsidRPr="00430B27">
          <w:rPr>
            <w:rStyle w:val="Hyperlink"/>
          </w:rPr>
          <w:t>https://www.europarl.europa.eu/data-protect/index.do</w:t>
        </w:r>
      </w:hyperlink>
      <w:r w:rsidRPr="00430B27">
        <w:t>), w którym przedstawione są warunki mające zastosowanie do przetwarzania danych osobowych tych osób oraz prawa związane z takim przetwarzaniem.</w:t>
      </w:r>
    </w:p>
    <w:p w14:paraId="770CFEF2" w14:textId="77777777" w:rsidR="007254BD" w:rsidRPr="00430B27" w:rsidRDefault="007254BD" w:rsidP="007254BD"/>
    <w:bookmarkEnd w:id="1"/>
    <w:p w14:paraId="489D7895" w14:textId="77777777" w:rsidR="007254BD" w:rsidRPr="00430B27" w:rsidRDefault="007254BD" w:rsidP="007254BD">
      <w:r w:rsidRPr="00430B27">
        <w:br w:type="page"/>
      </w:r>
    </w:p>
    <w:p w14:paraId="5C27D0E8" w14:textId="77777777" w:rsidR="007254BD" w:rsidRPr="00430B27" w:rsidRDefault="007254BD" w:rsidP="007254BD">
      <w:pPr>
        <w:pStyle w:val="PageHeadingNotTOC"/>
      </w:pPr>
      <w:bookmarkStart w:id="2" w:name="ProcPageAD"/>
      <w:r w:rsidRPr="00430B27">
        <w:lastRenderedPageBreak/>
        <w:t>INFORMACJE O PRZYJĘCIU</w:t>
      </w:r>
      <w:r w:rsidRPr="00430B27">
        <w:br/>
        <w:t>PRZEZ KOMISJĘ OPINIODAWCZĄ</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254BD" w:rsidRPr="00430B27" w14:paraId="19CF2E1C" w14:textId="77777777" w:rsidTr="0044075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8639E1" w14:textId="77777777" w:rsidR="007254BD" w:rsidRPr="00430B27" w:rsidRDefault="007254BD" w:rsidP="0044075D">
            <w:pPr>
              <w:autoSpaceDE w:val="0"/>
              <w:autoSpaceDN w:val="0"/>
              <w:adjustRightInd w:val="0"/>
              <w:rPr>
                <w:b/>
                <w:bCs/>
                <w:color w:val="000000"/>
                <w:sz w:val="20"/>
              </w:rPr>
            </w:pPr>
            <w:r w:rsidRPr="00430B27">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E6778A0" w14:textId="77777777" w:rsidR="007254BD" w:rsidRPr="00430B27" w:rsidRDefault="007254BD" w:rsidP="0044075D">
            <w:pPr>
              <w:autoSpaceDE w:val="0"/>
              <w:autoSpaceDN w:val="0"/>
              <w:adjustRightInd w:val="0"/>
              <w:rPr>
                <w:color w:val="000000"/>
                <w:sz w:val="20"/>
              </w:rPr>
            </w:pPr>
            <w:r w:rsidRPr="00430B27">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28B971F" w14:textId="77777777" w:rsidR="007254BD" w:rsidRPr="00430B27" w:rsidRDefault="007254BD" w:rsidP="0044075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3169FD" w14:textId="77777777" w:rsidR="007254BD" w:rsidRPr="00430B27" w:rsidRDefault="007254BD" w:rsidP="0044075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BBCDB4" w14:textId="77777777" w:rsidR="007254BD" w:rsidRPr="00430B27" w:rsidRDefault="007254BD" w:rsidP="0044075D">
            <w:pPr>
              <w:autoSpaceDE w:val="0"/>
              <w:autoSpaceDN w:val="0"/>
              <w:adjustRightInd w:val="0"/>
              <w:rPr>
                <w:rFonts w:ascii="sans-serif" w:hAnsi="sans-serif" w:cs="sans-serif"/>
                <w:color w:val="000000"/>
                <w:szCs w:val="24"/>
              </w:rPr>
            </w:pPr>
          </w:p>
        </w:tc>
      </w:tr>
      <w:tr w:rsidR="007254BD" w:rsidRPr="00430B27" w14:paraId="6DF991E6" w14:textId="77777777" w:rsidTr="0044075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C28B918" w14:textId="77777777" w:rsidR="007254BD" w:rsidRPr="00430B27" w:rsidRDefault="007254BD" w:rsidP="0044075D">
            <w:pPr>
              <w:autoSpaceDE w:val="0"/>
              <w:autoSpaceDN w:val="0"/>
              <w:adjustRightInd w:val="0"/>
              <w:rPr>
                <w:b/>
                <w:bCs/>
                <w:color w:val="000000"/>
                <w:sz w:val="20"/>
              </w:rPr>
            </w:pPr>
            <w:r w:rsidRPr="00430B27">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51AE28" w14:textId="77777777" w:rsidR="007254BD" w:rsidRPr="00430B27" w:rsidRDefault="007254BD" w:rsidP="0044075D">
            <w:pPr>
              <w:autoSpaceDE w:val="0"/>
              <w:autoSpaceDN w:val="0"/>
              <w:adjustRightInd w:val="0"/>
              <w:rPr>
                <w:color w:val="000000"/>
                <w:sz w:val="20"/>
              </w:rPr>
            </w:pPr>
            <w:r w:rsidRPr="00430B27">
              <w:rPr>
                <w:color w:val="000000"/>
                <w:sz w:val="20"/>
              </w:rPr>
              <w:t>+:</w:t>
            </w:r>
          </w:p>
          <w:p w14:paraId="3592DF3E" w14:textId="77777777" w:rsidR="007254BD" w:rsidRPr="00430B27" w:rsidRDefault="007254BD" w:rsidP="0044075D">
            <w:pPr>
              <w:autoSpaceDE w:val="0"/>
              <w:autoSpaceDN w:val="0"/>
              <w:adjustRightInd w:val="0"/>
              <w:rPr>
                <w:color w:val="000000"/>
                <w:sz w:val="20"/>
              </w:rPr>
            </w:pPr>
            <w:r w:rsidRPr="00430B27">
              <w:rPr>
                <w:color w:val="000000"/>
                <w:sz w:val="20"/>
              </w:rPr>
              <w:t>–:</w:t>
            </w:r>
          </w:p>
          <w:p w14:paraId="5E8B1587" w14:textId="77777777" w:rsidR="007254BD" w:rsidRPr="00430B27" w:rsidRDefault="007254BD" w:rsidP="0044075D">
            <w:pPr>
              <w:autoSpaceDE w:val="0"/>
              <w:autoSpaceDN w:val="0"/>
              <w:adjustRightInd w:val="0"/>
              <w:rPr>
                <w:color w:val="000000"/>
                <w:sz w:val="20"/>
              </w:rPr>
            </w:pPr>
            <w:r w:rsidRPr="00430B2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C5D6B4" w14:textId="77777777" w:rsidR="007254BD" w:rsidRPr="00430B27" w:rsidRDefault="007254BD" w:rsidP="0044075D">
            <w:pPr>
              <w:autoSpaceDE w:val="0"/>
              <w:autoSpaceDN w:val="0"/>
              <w:adjustRightInd w:val="0"/>
              <w:rPr>
                <w:color w:val="000000"/>
                <w:sz w:val="20"/>
              </w:rPr>
            </w:pPr>
            <w:r w:rsidRPr="00430B27">
              <w:rPr>
                <w:color w:val="000000"/>
                <w:sz w:val="20"/>
              </w:rPr>
              <w:t>37</w:t>
            </w:r>
          </w:p>
          <w:p w14:paraId="78CA7820" w14:textId="77777777" w:rsidR="007254BD" w:rsidRPr="00430B27" w:rsidRDefault="007254BD" w:rsidP="0044075D">
            <w:pPr>
              <w:autoSpaceDE w:val="0"/>
              <w:autoSpaceDN w:val="0"/>
              <w:adjustRightInd w:val="0"/>
              <w:rPr>
                <w:color w:val="000000"/>
                <w:sz w:val="20"/>
              </w:rPr>
            </w:pPr>
            <w:r w:rsidRPr="00430B27">
              <w:rPr>
                <w:color w:val="000000"/>
                <w:sz w:val="20"/>
              </w:rPr>
              <w:t>13</w:t>
            </w:r>
          </w:p>
          <w:p w14:paraId="0A6F616F" w14:textId="77777777" w:rsidR="007254BD" w:rsidRPr="00430B27" w:rsidRDefault="007254BD" w:rsidP="0044075D">
            <w:pPr>
              <w:autoSpaceDE w:val="0"/>
              <w:autoSpaceDN w:val="0"/>
              <w:adjustRightInd w:val="0"/>
              <w:rPr>
                <w:color w:val="000000"/>
                <w:sz w:val="20"/>
              </w:rPr>
            </w:pPr>
            <w:r w:rsidRPr="00430B27">
              <w:rPr>
                <w:color w:val="000000"/>
                <w:sz w:val="20"/>
              </w:rPr>
              <w:t>9</w:t>
            </w:r>
          </w:p>
        </w:tc>
      </w:tr>
      <w:tr w:rsidR="007254BD" w:rsidRPr="00430B27" w14:paraId="6A263EE9" w14:textId="77777777" w:rsidTr="0044075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5F15B3" w14:textId="77777777" w:rsidR="007254BD" w:rsidRPr="00430B27" w:rsidRDefault="007254BD" w:rsidP="0044075D">
            <w:pPr>
              <w:autoSpaceDE w:val="0"/>
              <w:autoSpaceDN w:val="0"/>
              <w:adjustRightInd w:val="0"/>
              <w:rPr>
                <w:b/>
                <w:bCs/>
                <w:color w:val="000000"/>
                <w:sz w:val="20"/>
              </w:rPr>
            </w:pPr>
            <w:r w:rsidRPr="00430B27">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D0324B" w14:textId="77777777" w:rsidR="007254BD" w:rsidRPr="00430B27" w:rsidRDefault="007254BD" w:rsidP="0044075D">
            <w:pPr>
              <w:autoSpaceDE w:val="0"/>
              <w:autoSpaceDN w:val="0"/>
              <w:adjustRightInd w:val="0"/>
              <w:rPr>
                <w:color w:val="000000"/>
                <w:sz w:val="20"/>
              </w:rPr>
            </w:pPr>
            <w:r w:rsidRPr="00430B27">
              <w:rPr>
                <w:color w:val="000000"/>
                <w:sz w:val="20"/>
              </w:rPr>
              <w:t>Magdalena Adamowicz, Giuseppe Antoci, Jaume Asens Llodrà, Nikola Bartůšek, Krzysztof Brejza, Saskia Bricmont, Jaroslav Bžoch, Veronika Cifrová Ostrihoňová, Lena Düpont, Marieke Ehlers, Raquel García Hermida-Van Der Walle, Branko Grims, Evin Incir, Irena Joveva, Erik Kaliňák, Marina Kaljurand, Fabienne Keller, András László, Juan Fernando López Aguilar, Erik Marquardt, Michael McNamara, Birgit Sippel, Krzysztof Śmiszek, Petra Steger, Cecilia Strada, Georgiana Teodorescu, Milan Uhrík, Tom Vandendriessche, Charlie Weimers, Sophie Wilmès, Alessandro Zan, Javier Zarzalejos, Tomáš Zdechovský</w:t>
            </w:r>
          </w:p>
        </w:tc>
      </w:tr>
      <w:tr w:rsidR="007254BD" w:rsidRPr="00430B27" w14:paraId="19429B27" w14:textId="77777777" w:rsidTr="0044075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8485E6A" w14:textId="77777777" w:rsidR="007254BD" w:rsidRPr="00430B27" w:rsidRDefault="007254BD" w:rsidP="0044075D">
            <w:pPr>
              <w:autoSpaceDE w:val="0"/>
              <w:autoSpaceDN w:val="0"/>
              <w:adjustRightInd w:val="0"/>
              <w:rPr>
                <w:b/>
                <w:bCs/>
                <w:color w:val="000000"/>
                <w:sz w:val="20"/>
              </w:rPr>
            </w:pPr>
            <w:r w:rsidRPr="00430B27">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B5AE651" w14:textId="77777777" w:rsidR="007254BD" w:rsidRPr="00430B27" w:rsidRDefault="007254BD" w:rsidP="0044075D">
            <w:pPr>
              <w:autoSpaceDE w:val="0"/>
              <w:autoSpaceDN w:val="0"/>
              <w:adjustRightInd w:val="0"/>
              <w:rPr>
                <w:color w:val="000000"/>
                <w:sz w:val="20"/>
              </w:rPr>
            </w:pPr>
            <w:r w:rsidRPr="00430B27">
              <w:rPr>
                <w:color w:val="000000"/>
                <w:sz w:val="20"/>
              </w:rPr>
              <w:t>Fredis Beleris, David Casa, Sigrid Friis, Markéta Gregorová, Hannah Neumann, Gaetano Pedulla’, Oliver Schenk, Alexander Sell, Bartłomiej Sienkiewicz, Malika Sorel, António Tânger Corrêa, Marco Tarquinio, Pekka Toveri, Loránt Vincze, Petar Volgin, Axel Voss, Michał Wawrykiewicz, Lucia Yar</w:t>
            </w:r>
          </w:p>
        </w:tc>
      </w:tr>
      <w:tr w:rsidR="007254BD" w:rsidRPr="00430B27" w14:paraId="73CBE8CD" w14:textId="77777777" w:rsidTr="0044075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B46E609" w14:textId="77777777" w:rsidR="007254BD" w:rsidRPr="00430B27" w:rsidRDefault="007254BD" w:rsidP="0044075D">
            <w:pPr>
              <w:autoSpaceDE w:val="0"/>
              <w:autoSpaceDN w:val="0"/>
              <w:adjustRightInd w:val="0"/>
              <w:rPr>
                <w:b/>
                <w:bCs/>
                <w:color w:val="000000"/>
                <w:sz w:val="20"/>
              </w:rPr>
            </w:pPr>
            <w:r w:rsidRPr="00430B27">
              <w:rPr>
                <w:b/>
                <w:color w:val="000000"/>
                <w:sz w:val="20"/>
              </w:rPr>
              <w:t>Posłowie, o których mowa w art. 216 ust. 7 Regulaminu,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9F3A9F4" w14:textId="77777777" w:rsidR="007254BD" w:rsidRPr="00430B27" w:rsidRDefault="007254BD" w:rsidP="0044075D">
            <w:pPr>
              <w:autoSpaceDE w:val="0"/>
              <w:autoSpaceDN w:val="0"/>
              <w:adjustRightInd w:val="0"/>
              <w:rPr>
                <w:color w:val="000000"/>
                <w:sz w:val="20"/>
              </w:rPr>
            </w:pPr>
            <w:r w:rsidRPr="00430B27">
              <w:rPr>
                <w:color w:val="000000"/>
                <w:sz w:val="20"/>
              </w:rPr>
              <w:t>Bart Groothuis, Rima Hassan, Anja Hazekamp, Pär Holmgren, Sérgio Humberto, Evelyn Regner, Carla Tavares, Ingeborg Ter Laak</w:t>
            </w:r>
          </w:p>
        </w:tc>
      </w:tr>
    </w:tbl>
    <w:p w14:paraId="70AF07A4" w14:textId="77777777" w:rsidR="007254BD" w:rsidRPr="00430B27" w:rsidRDefault="007254BD" w:rsidP="007254BD"/>
    <w:bookmarkEnd w:id="2"/>
    <w:p w14:paraId="05C5127F" w14:textId="77777777" w:rsidR="007254BD" w:rsidRPr="00430B27" w:rsidRDefault="007254BD" w:rsidP="007254BD">
      <w:pPr>
        <w:sectPr w:rsidR="007254BD" w:rsidRPr="00430B27" w:rsidSect="00720A3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63459C" w14:textId="77777777" w:rsidR="007254BD" w:rsidRPr="00430B27" w:rsidRDefault="007254BD" w:rsidP="007254BD">
      <w:pPr>
        <w:pStyle w:val="PageHeadingNotTOC"/>
      </w:pPr>
      <w:bookmarkStart w:id="3" w:name="RollCallPageAD"/>
      <w:r w:rsidRPr="00430B27">
        <w:lastRenderedPageBreak/>
        <w:t>GŁOSOWANIE KOŃCOWE W FORMIE GŁOSOWANIA IMIENNEGO</w:t>
      </w:r>
      <w:r w:rsidRPr="00430B27">
        <w:br/>
        <w:t>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254BD" w:rsidRPr="00430B27" w14:paraId="66ECFF68" w14:textId="77777777" w:rsidTr="0044075D">
        <w:trPr>
          <w:cantSplit/>
        </w:trPr>
        <w:tc>
          <w:tcPr>
            <w:tcW w:w="1701" w:type="dxa"/>
            <w:shd w:val="pct10" w:color="000000" w:fill="FFFFFF"/>
            <w:vAlign w:val="center"/>
          </w:tcPr>
          <w:p w14:paraId="1F7269B6" w14:textId="77777777" w:rsidR="007254BD" w:rsidRPr="00430B27" w:rsidRDefault="007254BD" w:rsidP="0044075D">
            <w:pPr>
              <w:pStyle w:val="RollCallVotes"/>
            </w:pPr>
            <w:r w:rsidRPr="00430B27">
              <w:t>37</w:t>
            </w:r>
          </w:p>
        </w:tc>
        <w:tc>
          <w:tcPr>
            <w:tcW w:w="7371" w:type="dxa"/>
            <w:shd w:val="pct10" w:color="000000" w:fill="FFFFFF"/>
          </w:tcPr>
          <w:p w14:paraId="034E1E4C" w14:textId="77777777" w:rsidR="007254BD" w:rsidRPr="00430B27" w:rsidRDefault="007254BD" w:rsidP="0044075D">
            <w:pPr>
              <w:pStyle w:val="RollCallSymbols14pt"/>
            </w:pPr>
            <w:r w:rsidRPr="00430B27">
              <w:t>+</w:t>
            </w:r>
          </w:p>
        </w:tc>
      </w:tr>
      <w:tr w:rsidR="007254BD" w:rsidRPr="00430B27" w14:paraId="09598B9E" w14:textId="77777777" w:rsidTr="0044075D">
        <w:trPr>
          <w:cantSplit/>
        </w:trPr>
        <w:tc>
          <w:tcPr>
            <w:tcW w:w="1701" w:type="dxa"/>
            <w:shd w:val="clear" w:color="auto" w:fill="FFFFFF"/>
          </w:tcPr>
          <w:p w14:paraId="2D0F22A9" w14:textId="77777777" w:rsidR="007254BD" w:rsidRPr="00430B27" w:rsidRDefault="007254BD" w:rsidP="0044075D">
            <w:pPr>
              <w:pStyle w:val="RollCallTable"/>
            </w:pPr>
            <w:r w:rsidRPr="00430B27">
              <w:t>ECR</w:t>
            </w:r>
          </w:p>
        </w:tc>
        <w:tc>
          <w:tcPr>
            <w:tcW w:w="7371" w:type="dxa"/>
            <w:shd w:val="clear" w:color="auto" w:fill="FFFFFF"/>
          </w:tcPr>
          <w:p w14:paraId="38B16AC3" w14:textId="77777777" w:rsidR="007254BD" w:rsidRPr="00430B27" w:rsidRDefault="007254BD" w:rsidP="0044075D">
            <w:pPr>
              <w:pStyle w:val="RollCallTable"/>
            </w:pPr>
            <w:r w:rsidRPr="00430B27">
              <w:t>Georgiana Teodorescu</w:t>
            </w:r>
          </w:p>
        </w:tc>
      </w:tr>
      <w:tr w:rsidR="007254BD" w:rsidRPr="00430B27" w14:paraId="256D2A77" w14:textId="77777777" w:rsidTr="0044075D">
        <w:trPr>
          <w:cantSplit/>
        </w:trPr>
        <w:tc>
          <w:tcPr>
            <w:tcW w:w="1701" w:type="dxa"/>
            <w:shd w:val="clear" w:color="auto" w:fill="FFFFFF"/>
          </w:tcPr>
          <w:p w14:paraId="4B4DD888" w14:textId="77777777" w:rsidR="007254BD" w:rsidRPr="00430B27" w:rsidRDefault="007254BD" w:rsidP="0044075D">
            <w:pPr>
              <w:pStyle w:val="RollCallTable"/>
            </w:pPr>
            <w:r w:rsidRPr="00430B27">
              <w:t>PPE</w:t>
            </w:r>
          </w:p>
        </w:tc>
        <w:tc>
          <w:tcPr>
            <w:tcW w:w="7371" w:type="dxa"/>
            <w:shd w:val="clear" w:color="auto" w:fill="FFFFFF"/>
          </w:tcPr>
          <w:p w14:paraId="0478B2BA" w14:textId="77777777" w:rsidR="007254BD" w:rsidRPr="00430B27" w:rsidRDefault="007254BD" w:rsidP="0044075D">
            <w:pPr>
              <w:pStyle w:val="RollCallTable"/>
            </w:pPr>
            <w:r w:rsidRPr="00430B27">
              <w:t>Magdalena Adamowicz, Fredis Beleris, Krzysztof Brejza, David Casa, Lena Düpont, Branko Grims, Sérgio Humberto, Oliver Schenk, Bartłomiej Sienkiewicz, Ingeborg Ter Laak, Pekka Toveri, Loránt Vincze, Axel Voss, Michał Wawrykiewicz, Tomáš Zdechovský</w:t>
            </w:r>
          </w:p>
        </w:tc>
      </w:tr>
      <w:tr w:rsidR="007254BD" w:rsidRPr="00430B27" w14:paraId="17F71A8D" w14:textId="77777777" w:rsidTr="0044075D">
        <w:trPr>
          <w:cantSplit/>
        </w:trPr>
        <w:tc>
          <w:tcPr>
            <w:tcW w:w="1701" w:type="dxa"/>
            <w:shd w:val="clear" w:color="auto" w:fill="FFFFFF"/>
          </w:tcPr>
          <w:p w14:paraId="6802E71A" w14:textId="77777777" w:rsidR="007254BD" w:rsidRPr="00430B27" w:rsidRDefault="007254BD" w:rsidP="0044075D">
            <w:pPr>
              <w:pStyle w:val="RollCallTable"/>
            </w:pPr>
            <w:r w:rsidRPr="00430B27">
              <w:t>Renew</w:t>
            </w:r>
          </w:p>
        </w:tc>
        <w:tc>
          <w:tcPr>
            <w:tcW w:w="7371" w:type="dxa"/>
            <w:shd w:val="clear" w:color="auto" w:fill="FFFFFF"/>
          </w:tcPr>
          <w:p w14:paraId="5268C269" w14:textId="77777777" w:rsidR="007254BD" w:rsidRPr="00430B27" w:rsidRDefault="007254BD" w:rsidP="0044075D">
            <w:pPr>
              <w:pStyle w:val="RollCallTable"/>
            </w:pPr>
            <w:r w:rsidRPr="00430B27">
              <w:t>Veronika Cifrová Ostrihoňová, Sigrid Friis, Raquel García Hermida-Van Der Walle, Bart Groothuis, Irena Joveva, Fabienne Keller, Michael McNamara, Sophie Wilmès, Lucia Yar</w:t>
            </w:r>
          </w:p>
        </w:tc>
      </w:tr>
      <w:tr w:rsidR="007254BD" w:rsidRPr="00430B27" w14:paraId="20399844" w14:textId="77777777" w:rsidTr="0044075D">
        <w:trPr>
          <w:cantSplit/>
        </w:trPr>
        <w:tc>
          <w:tcPr>
            <w:tcW w:w="1701" w:type="dxa"/>
            <w:shd w:val="clear" w:color="auto" w:fill="FFFFFF"/>
          </w:tcPr>
          <w:p w14:paraId="7DC255FB" w14:textId="77777777" w:rsidR="007254BD" w:rsidRPr="00430B27" w:rsidRDefault="007254BD" w:rsidP="0044075D">
            <w:pPr>
              <w:pStyle w:val="RollCallTable"/>
            </w:pPr>
            <w:r w:rsidRPr="00430B27">
              <w:t>S&amp;D</w:t>
            </w:r>
          </w:p>
        </w:tc>
        <w:tc>
          <w:tcPr>
            <w:tcW w:w="7371" w:type="dxa"/>
            <w:shd w:val="clear" w:color="auto" w:fill="FFFFFF"/>
          </w:tcPr>
          <w:p w14:paraId="23697852" w14:textId="77777777" w:rsidR="007254BD" w:rsidRPr="00430B27" w:rsidRDefault="007254BD" w:rsidP="0044075D">
            <w:pPr>
              <w:pStyle w:val="RollCallTable"/>
            </w:pPr>
            <w:r w:rsidRPr="00430B27">
              <w:t>Evin Incir, Marina Kaljurand, Juan Fernando López Aguilar, Evelyn Regner, Birgit Sippel, Krzysztof Śmiszek, Cecilia Strada, Marco Tarquinio, Carla Tavares, Alessandro Zan</w:t>
            </w:r>
          </w:p>
        </w:tc>
      </w:tr>
      <w:tr w:rsidR="007254BD" w:rsidRPr="00430B27" w14:paraId="2EE2CE0A" w14:textId="77777777" w:rsidTr="0044075D">
        <w:trPr>
          <w:cantSplit/>
        </w:trPr>
        <w:tc>
          <w:tcPr>
            <w:tcW w:w="1701" w:type="dxa"/>
            <w:shd w:val="clear" w:color="auto" w:fill="FFFFFF"/>
          </w:tcPr>
          <w:p w14:paraId="5C931E33" w14:textId="77777777" w:rsidR="007254BD" w:rsidRPr="00430B27" w:rsidRDefault="007254BD" w:rsidP="0044075D">
            <w:pPr>
              <w:pStyle w:val="RollCallTable"/>
            </w:pPr>
            <w:r w:rsidRPr="00430B27">
              <w:t>The Left</w:t>
            </w:r>
          </w:p>
        </w:tc>
        <w:tc>
          <w:tcPr>
            <w:tcW w:w="7371" w:type="dxa"/>
            <w:shd w:val="clear" w:color="auto" w:fill="FFFFFF"/>
          </w:tcPr>
          <w:p w14:paraId="12FA7EE5" w14:textId="77777777" w:rsidR="007254BD" w:rsidRPr="00430B27" w:rsidRDefault="007254BD" w:rsidP="0044075D">
            <w:pPr>
              <w:pStyle w:val="RollCallTable"/>
            </w:pPr>
            <w:r w:rsidRPr="00430B27">
              <w:t>Giuseppe Antoci, Gaetano Pedulla'</w:t>
            </w:r>
          </w:p>
        </w:tc>
      </w:tr>
    </w:tbl>
    <w:p w14:paraId="4E072DF9" w14:textId="77777777" w:rsidR="007254BD" w:rsidRPr="00430B27" w:rsidRDefault="007254BD" w:rsidP="007254B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254BD" w:rsidRPr="00430B27" w14:paraId="042C6CE9" w14:textId="77777777" w:rsidTr="0044075D">
        <w:trPr>
          <w:cantSplit/>
        </w:trPr>
        <w:tc>
          <w:tcPr>
            <w:tcW w:w="1701" w:type="dxa"/>
            <w:shd w:val="pct10" w:color="000000" w:fill="FFFFFF"/>
            <w:vAlign w:val="center"/>
          </w:tcPr>
          <w:p w14:paraId="047B8938" w14:textId="77777777" w:rsidR="007254BD" w:rsidRPr="00430B27" w:rsidRDefault="007254BD" w:rsidP="0044075D">
            <w:pPr>
              <w:pStyle w:val="RollCallVotes"/>
            </w:pPr>
            <w:r w:rsidRPr="00430B27">
              <w:t>13</w:t>
            </w:r>
          </w:p>
        </w:tc>
        <w:tc>
          <w:tcPr>
            <w:tcW w:w="7371" w:type="dxa"/>
            <w:shd w:val="pct10" w:color="000000" w:fill="FFFFFF"/>
          </w:tcPr>
          <w:p w14:paraId="124BE211" w14:textId="77777777" w:rsidR="007254BD" w:rsidRPr="00430B27" w:rsidRDefault="007254BD" w:rsidP="0044075D">
            <w:pPr>
              <w:pStyle w:val="RollCallSymbols14pt"/>
            </w:pPr>
            <w:r w:rsidRPr="00430B27">
              <w:t>-</w:t>
            </w:r>
          </w:p>
        </w:tc>
      </w:tr>
      <w:tr w:rsidR="007254BD" w:rsidRPr="00430B27" w14:paraId="1956F7FA" w14:textId="77777777" w:rsidTr="0044075D">
        <w:trPr>
          <w:cantSplit/>
        </w:trPr>
        <w:tc>
          <w:tcPr>
            <w:tcW w:w="1701" w:type="dxa"/>
            <w:shd w:val="clear" w:color="auto" w:fill="FFFFFF"/>
          </w:tcPr>
          <w:p w14:paraId="375AEC1B" w14:textId="77777777" w:rsidR="007254BD" w:rsidRPr="00430B27" w:rsidRDefault="007254BD" w:rsidP="0044075D">
            <w:pPr>
              <w:pStyle w:val="RollCallTable"/>
            </w:pPr>
            <w:r w:rsidRPr="00430B27">
              <w:t>ESN</w:t>
            </w:r>
          </w:p>
        </w:tc>
        <w:tc>
          <w:tcPr>
            <w:tcW w:w="7371" w:type="dxa"/>
            <w:shd w:val="clear" w:color="auto" w:fill="FFFFFF"/>
          </w:tcPr>
          <w:p w14:paraId="362089E5" w14:textId="77777777" w:rsidR="007254BD" w:rsidRPr="00430B27" w:rsidRDefault="007254BD" w:rsidP="0044075D">
            <w:pPr>
              <w:pStyle w:val="RollCallTable"/>
            </w:pPr>
            <w:r w:rsidRPr="00430B27">
              <w:t>Alexander Sell, Milan Uhrík, Petar Volgin</w:t>
            </w:r>
          </w:p>
        </w:tc>
      </w:tr>
      <w:tr w:rsidR="007254BD" w:rsidRPr="00430B27" w14:paraId="54976140" w14:textId="77777777" w:rsidTr="0044075D">
        <w:trPr>
          <w:cantSplit/>
        </w:trPr>
        <w:tc>
          <w:tcPr>
            <w:tcW w:w="1701" w:type="dxa"/>
            <w:shd w:val="clear" w:color="auto" w:fill="FFFFFF"/>
          </w:tcPr>
          <w:p w14:paraId="3873E6DF" w14:textId="77777777" w:rsidR="007254BD" w:rsidRPr="00430B27" w:rsidRDefault="007254BD" w:rsidP="0044075D">
            <w:pPr>
              <w:pStyle w:val="RollCallTable"/>
            </w:pPr>
            <w:r w:rsidRPr="00430B27">
              <w:t>NI</w:t>
            </w:r>
          </w:p>
        </w:tc>
        <w:tc>
          <w:tcPr>
            <w:tcW w:w="7371" w:type="dxa"/>
            <w:shd w:val="clear" w:color="auto" w:fill="FFFFFF"/>
          </w:tcPr>
          <w:p w14:paraId="516CC391" w14:textId="77777777" w:rsidR="007254BD" w:rsidRPr="00430B27" w:rsidRDefault="007254BD" w:rsidP="0044075D">
            <w:pPr>
              <w:pStyle w:val="RollCallTable"/>
            </w:pPr>
            <w:r w:rsidRPr="00430B27">
              <w:t>Erik Kaliňák</w:t>
            </w:r>
          </w:p>
        </w:tc>
      </w:tr>
      <w:tr w:rsidR="007254BD" w:rsidRPr="00430B27" w14:paraId="53168966" w14:textId="77777777" w:rsidTr="0044075D">
        <w:trPr>
          <w:cantSplit/>
        </w:trPr>
        <w:tc>
          <w:tcPr>
            <w:tcW w:w="1701" w:type="dxa"/>
            <w:shd w:val="clear" w:color="auto" w:fill="FFFFFF"/>
          </w:tcPr>
          <w:p w14:paraId="4E7AAA58" w14:textId="77777777" w:rsidR="007254BD" w:rsidRPr="00430B27" w:rsidRDefault="007254BD" w:rsidP="0044075D">
            <w:pPr>
              <w:pStyle w:val="RollCallTable"/>
            </w:pPr>
            <w:r w:rsidRPr="00430B27">
              <w:t>PPE</w:t>
            </w:r>
          </w:p>
        </w:tc>
        <w:tc>
          <w:tcPr>
            <w:tcW w:w="7371" w:type="dxa"/>
            <w:shd w:val="clear" w:color="auto" w:fill="FFFFFF"/>
          </w:tcPr>
          <w:p w14:paraId="52E5C07E" w14:textId="77777777" w:rsidR="007254BD" w:rsidRPr="00430B27" w:rsidRDefault="007254BD" w:rsidP="0044075D">
            <w:pPr>
              <w:pStyle w:val="RollCallTable"/>
            </w:pPr>
            <w:r w:rsidRPr="00430B27">
              <w:t>Javier Zarzalejos</w:t>
            </w:r>
          </w:p>
        </w:tc>
      </w:tr>
      <w:tr w:rsidR="007254BD" w:rsidRPr="00430B27" w14:paraId="2370F2FA" w14:textId="77777777" w:rsidTr="0044075D">
        <w:trPr>
          <w:cantSplit/>
        </w:trPr>
        <w:tc>
          <w:tcPr>
            <w:tcW w:w="1701" w:type="dxa"/>
            <w:shd w:val="clear" w:color="auto" w:fill="FFFFFF"/>
          </w:tcPr>
          <w:p w14:paraId="22A1EFEA" w14:textId="77777777" w:rsidR="007254BD" w:rsidRPr="00430B27" w:rsidRDefault="007254BD" w:rsidP="0044075D">
            <w:pPr>
              <w:pStyle w:val="RollCallTable"/>
            </w:pPr>
            <w:r w:rsidRPr="00430B27">
              <w:t>PfE</w:t>
            </w:r>
          </w:p>
        </w:tc>
        <w:tc>
          <w:tcPr>
            <w:tcW w:w="7371" w:type="dxa"/>
            <w:shd w:val="clear" w:color="auto" w:fill="FFFFFF"/>
          </w:tcPr>
          <w:p w14:paraId="397DA007" w14:textId="77777777" w:rsidR="007254BD" w:rsidRPr="00430B27" w:rsidRDefault="007254BD" w:rsidP="0044075D">
            <w:pPr>
              <w:pStyle w:val="RollCallTable"/>
            </w:pPr>
            <w:r w:rsidRPr="00430B27">
              <w:t>Nikola Bartůšek, Jaroslav Bžoch, Marieke Ehlers, András László, Malika Sorel, Petra Steger, António Tânger Corrêa, Tom Vandendriessche</w:t>
            </w:r>
          </w:p>
        </w:tc>
      </w:tr>
    </w:tbl>
    <w:p w14:paraId="3F2630C5" w14:textId="77777777" w:rsidR="007254BD" w:rsidRPr="00430B27" w:rsidRDefault="007254BD" w:rsidP="007254B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254BD" w:rsidRPr="00430B27" w14:paraId="01B20E24" w14:textId="77777777" w:rsidTr="0044075D">
        <w:trPr>
          <w:cantSplit/>
        </w:trPr>
        <w:tc>
          <w:tcPr>
            <w:tcW w:w="1701" w:type="dxa"/>
            <w:shd w:val="pct10" w:color="000000" w:fill="FFFFFF"/>
            <w:vAlign w:val="center"/>
          </w:tcPr>
          <w:p w14:paraId="3729C823" w14:textId="77777777" w:rsidR="007254BD" w:rsidRPr="00430B27" w:rsidRDefault="007254BD" w:rsidP="0044075D">
            <w:pPr>
              <w:pStyle w:val="RollCallVotes"/>
            </w:pPr>
            <w:r w:rsidRPr="00430B27">
              <w:t>9</w:t>
            </w:r>
          </w:p>
        </w:tc>
        <w:tc>
          <w:tcPr>
            <w:tcW w:w="7371" w:type="dxa"/>
            <w:shd w:val="pct10" w:color="000000" w:fill="FFFFFF"/>
          </w:tcPr>
          <w:p w14:paraId="58EFC6FF" w14:textId="77777777" w:rsidR="007254BD" w:rsidRPr="00430B27" w:rsidRDefault="007254BD" w:rsidP="0044075D">
            <w:pPr>
              <w:pStyle w:val="RollCallSymbols14pt"/>
            </w:pPr>
            <w:r w:rsidRPr="00430B27">
              <w:t>0</w:t>
            </w:r>
          </w:p>
        </w:tc>
      </w:tr>
      <w:tr w:rsidR="007254BD" w:rsidRPr="00430B27" w14:paraId="1552155E" w14:textId="77777777" w:rsidTr="0044075D">
        <w:trPr>
          <w:cantSplit/>
        </w:trPr>
        <w:tc>
          <w:tcPr>
            <w:tcW w:w="1701" w:type="dxa"/>
            <w:shd w:val="clear" w:color="auto" w:fill="FFFFFF"/>
          </w:tcPr>
          <w:p w14:paraId="26D524F7" w14:textId="77777777" w:rsidR="007254BD" w:rsidRPr="00430B27" w:rsidRDefault="007254BD" w:rsidP="0044075D">
            <w:pPr>
              <w:pStyle w:val="RollCallTable"/>
            </w:pPr>
            <w:r w:rsidRPr="00430B27">
              <w:t>ECR</w:t>
            </w:r>
          </w:p>
        </w:tc>
        <w:tc>
          <w:tcPr>
            <w:tcW w:w="7371" w:type="dxa"/>
            <w:shd w:val="clear" w:color="auto" w:fill="FFFFFF"/>
          </w:tcPr>
          <w:p w14:paraId="59F7DFD0" w14:textId="77777777" w:rsidR="007254BD" w:rsidRPr="00430B27" w:rsidRDefault="007254BD" w:rsidP="0044075D">
            <w:pPr>
              <w:pStyle w:val="RollCallTable"/>
            </w:pPr>
            <w:r w:rsidRPr="00430B27">
              <w:t>Charlie Weimers</w:t>
            </w:r>
          </w:p>
        </w:tc>
      </w:tr>
      <w:tr w:rsidR="007254BD" w:rsidRPr="00430B27" w14:paraId="52CF10B1" w14:textId="77777777" w:rsidTr="0044075D">
        <w:trPr>
          <w:cantSplit/>
        </w:trPr>
        <w:tc>
          <w:tcPr>
            <w:tcW w:w="1701" w:type="dxa"/>
            <w:shd w:val="clear" w:color="auto" w:fill="FFFFFF"/>
          </w:tcPr>
          <w:p w14:paraId="090A72B8" w14:textId="77777777" w:rsidR="007254BD" w:rsidRPr="00430B27" w:rsidRDefault="007254BD" w:rsidP="0044075D">
            <w:pPr>
              <w:pStyle w:val="RollCallTable"/>
            </w:pPr>
            <w:r w:rsidRPr="00430B27">
              <w:t>The Left</w:t>
            </w:r>
          </w:p>
        </w:tc>
        <w:tc>
          <w:tcPr>
            <w:tcW w:w="7371" w:type="dxa"/>
            <w:shd w:val="clear" w:color="auto" w:fill="FFFFFF"/>
          </w:tcPr>
          <w:p w14:paraId="70DFBFD4" w14:textId="77777777" w:rsidR="007254BD" w:rsidRPr="00430B27" w:rsidRDefault="007254BD" w:rsidP="0044075D">
            <w:pPr>
              <w:pStyle w:val="RollCallTable"/>
            </w:pPr>
            <w:r w:rsidRPr="00430B27">
              <w:t>Rima Hassan, Anja Hazekamp</w:t>
            </w:r>
          </w:p>
        </w:tc>
      </w:tr>
      <w:tr w:rsidR="007254BD" w:rsidRPr="00430B27" w14:paraId="7478CEEA" w14:textId="77777777" w:rsidTr="0044075D">
        <w:trPr>
          <w:cantSplit/>
        </w:trPr>
        <w:tc>
          <w:tcPr>
            <w:tcW w:w="1701" w:type="dxa"/>
            <w:shd w:val="clear" w:color="auto" w:fill="FFFFFF"/>
          </w:tcPr>
          <w:p w14:paraId="6CC026B2" w14:textId="77777777" w:rsidR="007254BD" w:rsidRPr="00430B27" w:rsidRDefault="007254BD" w:rsidP="0044075D">
            <w:pPr>
              <w:pStyle w:val="RollCallTable"/>
            </w:pPr>
            <w:r w:rsidRPr="00430B27">
              <w:t>Verts/ALE</w:t>
            </w:r>
          </w:p>
        </w:tc>
        <w:tc>
          <w:tcPr>
            <w:tcW w:w="7371" w:type="dxa"/>
            <w:shd w:val="clear" w:color="auto" w:fill="FFFFFF"/>
          </w:tcPr>
          <w:p w14:paraId="2299770C" w14:textId="77777777" w:rsidR="007254BD" w:rsidRPr="00430B27" w:rsidRDefault="007254BD" w:rsidP="0044075D">
            <w:pPr>
              <w:pStyle w:val="RollCallTable"/>
            </w:pPr>
            <w:r w:rsidRPr="00430B27">
              <w:t>Jaume Asens Llodrà, Saskia Bricmont, Markéta Gregorová, Pär Holmgren, Erik Marquardt, Hannah Neumann</w:t>
            </w:r>
          </w:p>
        </w:tc>
      </w:tr>
    </w:tbl>
    <w:p w14:paraId="59A6D2C1" w14:textId="77777777" w:rsidR="007254BD" w:rsidRPr="00430B27" w:rsidRDefault="007254BD" w:rsidP="007254BD">
      <w:pPr>
        <w:pStyle w:val="Normal12a"/>
      </w:pPr>
    </w:p>
    <w:p w14:paraId="6FF017BE" w14:textId="77777777" w:rsidR="007254BD" w:rsidRPr="00430B27" w:rsidRDefault="007254BD" w:rsidP="007254BD">
      <w:r w:rsidRPr="00430B27">
        <w:t>Objaśnienie używanych znaków:</w:t>
      </w:r>
    </w:p>
    <w:p w14:paraId="68CBC7DC" w14:textId="77777777" w:rsidR="007254BD" w:rsidRPr="00430B27" w:rsidRDefault="007254BD" w:rsidP="007254BD">
      <w:pPr>
        <w:pStyle w:val="RollCallTabs"/>
      </w:pPr>
      <w:r w:rsidRPr="00430B27">
        <w:t>+</w:t>
      </w:r>
      <w:r w:rsidRPr="00430B27">
        <w:tab/>
        <w:t>:</w:t>
      </w:r>
      <w:r w:rsidRPr="00430B27">
        <w:tab/>
        <w:t>za</w:t>
      </w:r>
    </w:p>
    <w:p w14:paraId="6CBF3C3A" w14:textId="77777777" w:rsidR="007254BD" w:rsidRPr="00430B27" w:rsidRDefault="007254BD" w:rsidP="007254BD">
      <w:pPr>
        <w:pStyle w:val="RollCallTabs"/>
      </w:pPr>
      <w:r w:rsidRPr="00430B27">
        <w:t>-</w:t>
      </w:r>
      <w:r w:rsidRPr="00430B27">
        <w:tab/>
        <w:t>:</w:t>
      </w:r>
      <w:r w:rsidRPr="00430B27">
        <w:tab/>
        <w:t>przeciw</w:t>
      </w:r>
    </w:p>
    <w:p w14:paraId="7F768031" w14:textId="77777777" w:rsidR="007254BD" w:rsidRPr="00430B27" w:rsidRDefault="007254BD" w:rsidP="007254BD">
      <w:pPr>
        <w:pStyle w:val="RollCallTabs"/>
      </w:pPr>
      <w:r w:rsidRPr="00430B27">
        <w:t>0</w:t>
      </w:r>
      <w:r w:rsidRPr="00430B27">
        <w:tab/>
        <w:t>:</w:t>
      </w:r>
      <w:r w:rsidRPr="00430B27">
        <w:tab/>
        <w:t>wstrzymało się</w:t>
      </w:r>
    </w:p>
    <w:p w14:paraId="0020D336" w14:textId="77777777" w:rsidR="007254BD" w:rsidRPr="00430B27" w:rsidRDefault="007254BD" w:rsidP="007254BD"/>
    <w:bookmarkEnd w:id="3"/>
    <w:p w14:paraId="06537864" w14:textId="77777777" w:rsidR="007254BD" w:rsidRPr="00430B27" w:rsidRDefault="007254BD" w:rsidP="007254BD"/>
    <w:p w14:paraId="57F8EC09" w14:textId="66245839" w:rsidR="00E05697" w:rsidRPr="00430B27" w:rsidRDefault="00E05697" w:rsidP="007254BD">
      <w:pPr>
        <w:pStyle w:val="CoverReference"/>
      </w:pPr>
    </w:p>
    <w:sectPr w:rsidR="00E05697" w:rsidRPr="00430B27" w:rsidSect="007E044C">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7F454" w14:textId="77777777" w:rsidR="00763674" w:rsidRPr="00790A3E" w:rsidRDefault="00763674">
      <w:r w:rsidRPr="00790A3E">
        <w:separator/>
      </w:r>
    </w:p>
  </w:endnote>
  <w:endnote w:type="continuationSeparator" w:id="0">
    <w:p w14:paraId="4F6033E8" w14:textId="77777777" w:rsidR="00763674" w:rsidRPr="00790A3E" w:rsidRDefault="00763674">
      <w:r w:rsidRPr="00790A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FCCB" w14:textId="5E21DBE5" w:rsidR="00790A3E" w:rsidRPr="00790A3E" w:rsidRDefault="00790A3E" w:rsidP="00790A3E">
    <w:pPr>
      <w:pStyle w:val="EPFooter"/>
    </w:pPr>
    <w:r w:rsidRPr="00790A3E">
      <w:t>PE</w:t>
    </w:r>
    <w:r w:rsidRPr="00790A3E">
      <w:rPr>
        <w:rStyle w:val="HideTWBExt"/>
      </w:rPr>
      <w:t>&lt;NoPE&gt;</w:t>
    </w:r>
    <w:r w:rsidRPr="00790A3E">
      <w:t>765.284</w:t>
    </w:r>
    <w:r w:rsidRPr="00790A3E">
      <w:rPr>
        <w:rStyle w:val="HideTWBExt"/>
      </w:rPr>
      <w:t>&lt;/NoPE&gt;&lt;Version&gt;</w:t>
    </w:r>
    <w:r w:rsidRPr="00790A3E">
      <w:t>v02-00</w:t>
    </w:r>
    <w:r w:rsidRPr="00790A3E">
      <w:rPr>
        <w:rStyle w:val="HideTWBExt"/>
      </w:rPr>
      <w:t>&lt;/Version&gt;</w:t>
    </w:r>
    <w:r w:rsidRPr="00790A3E">
      <w:tab/>
    </w:r>
    <w:r w:rsidRPr="00790A3E">
      <w:fldChar w:fldCharType="begin"/>
    </w:r>
    <w:r w:rsidRPr="00790A3E">
      <w:instrText xml:space="preserve"> PAGE  \* MERGEFORMAT </w:instrText>
    </w:r>
    <w:r w:rsidRPr="00790A3E">
      <w:fldChar w:fldCharType="separate"/>
    </w:r>
    <w:r w:rsidR="00430B27">
      <w:rPr>
        <w:noProof/>
      </w:rPr>
      <w:t>8</w:t>
    </w:r>
    <w:r w:rsidRPr="00790A3E">
      <w:fldChar w:fldCharType="end"/>
    </w:r>
    <w:r w:rsidRPr="00790A3E">
      <w:t>/</w:t>
    </w:r>
    <w:fldSimple w:instr=" NUMPAGES  \* MERGEFORMAT ">
      <w:r w:rsidR="00430B27">
        <w:rPr>
          <w:noProof/>
        </w:rPr>
        <w:t>16</w:t>
      </w:r>
    </w:fldSimple>
    <w:r w:rsidRPr="00790A3E">
      <w:tab/>
    </w:r>
    <w:r w:rsidRPr="00790A3E">
      <w:rPr>
        <w:rStyle w:val="HideTWBExt"/>
      </w:rPr>
      <w:t>&lt;PathFdR&gt;</w:t>
    </w:r>
    <w:r w:rsidRPr="00790A3E">
      <w:t>AD\1313624PL.docx</w:t>
    </w:r>
    <w:r w:rsidRPr="00790A3E">
      <w:rPr>
        <w:rStyle w:val="HideTWBExt"/>
      </w:rPr>
      <w:t>&lt;/PathFdR&gt;</w:t>
    </w:r>
  </w:p>
  <w:p w14:paraId="7CA0D9DC" w14:textId="7E5093D3" w:rsidR="007254BD" w:rsidRPr="00790A3E" w:rsidRDefault="00790A3E" w:rsidP="00790A3E">
    <w:pPr>
      <w:pStyle w:val="EPFooter2"/>
    </w:pPr>
    <w:r w:rsidRPr="00790A3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5A96C" w14:textId="788F9263" w:rsidR="00790A3E" w:rsidRPr="00790A3E" w:rsidRDefault="00790A3E" w:rsidP="00790A3E">
    <w:pPr>
      <w:pStyle w:val="EPFooter"/>
    </w:pPr>
    <w:r w:rsidRPr="00790A3E">
      <w:rPr>
        <w:rStyle w:val="HideTWBExt"/>
      </w:rPr>
      <w:t>&lt;PathFdR&gt;</w:t>
    </w:r>
    <w:r w:rsidRPr="00790A3E">
      <w:t>AD\1313624PL.docx</w:t>
    </w:r>
    <w:r w:rsidRPr="00790A3E">
      <w:rPr>
        <w:rStyle w:val="HideTWBExt"/>
      </w:rPr>
      <w:t>&lt;/PathFdR&gt;</w:t>
    </w:r>
    <w:r w:rsidRPr="00790A3E">
      <w:tab/>
    </w:r>
    <w:r w:rsidRPr="00790A3E">
      <w:fldChar w:fldCharType="begin"/>
    </w:r>
    <w:r w:rsidRPr="00790A3E">
      <w:instrText xml:space="preserve"> PAGE  \* MERGEFORMAT </w:instrText>
    </w:r>
    <w:r w:rsidRPr="00790A3E">
      <w:fldChar w:fldCharType="separate"/>
    </w:r>
    <w:r w:rsidR="00430B27">
      <w:rPr>
        <w:noProof/>
      </w:rPr>
      <w:t>7</w:t>
    </w:r>
    <w:r w:rsidRPr="00790A3E">
      <w:fldChar w:fldCharType="end"/>
    </w:r>
    <w:r w:rsidRPr="00790A3E">
      <w:t>/</w:t>
    </w:r>
    <w:fldSimple w:instr=" NUMPAGES  \* MERGEFORMAT ">
      <w:r w:rsidR="00430B27">
        <w:rPr>
          <w:noProof/>
        </w:rPr>
        <w:t>16</w:t>
      </w:r>
    </w:fldSimple>
    <w:r w:rsidRPr="00790A3E">
      <w:tab/>
      <w:t>PE</w:t>
    </w:r>
    <w:r w:rsidRPr="00790A3E">
      <w:rPr>
        <w:rStyle w:val="HideTWBExt"/>
      </w:rPr>
      <w:t>&lt;NoPE&gt;</w:t>
    </w:r>
    <w:r w:rsidRPr="00790A3E">
      <w:t>765.284</w:t>
    </w:r>
    <w:r w:rsidRPr="00790A3E">
      <w:rPr>
        <w:rStyle w:val="HideTWBExt"/>
      </w:rPr>
      <w:t>&lt;/NoPE&gt;&lt;Version&gt;</w:t>
    </w:r>
    <w:r w:rsidRPr="00790A3E">
      <w:t>v02-00</w:t>
    </w:r>
    <w:r w:rsidRPr="00790A3E">
      <w:rPr>
        <w:rStyle w:val="HideTWBExt"/>
      </w:rPr>
      <w:t>&lt;/Version&gt;</w:t>
    </w:r>
  </w:p>
  <w:p w14:paraId="54F5576D" w14:textId="7E17A942" w:rsidR="007254BD" w:rsidRPr="00790A3E" w:rsidRDefault="00790A3E" w:rsidP="00790A3E">
    <w:pPr>
      <w:pStyle w:val="EPFooter2"/>
    </w:pPr>
    <w:r w:rsidRPr="00790A3E">
      <w:tab/>
    </w:r>
    <w:r w:rsidRPr="00790A3E">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E698" w14:textId="77777777" w:rsidR="00790A3E" w:rsidRPr="00790A3E" w:rsidRDefault="00790A3E" w:rsidP="00790A3E">
    <w:pPr>
      <w:pStyle w:val="EPFooter"/>
    </w:pPr>
    <w:r w:rsidRPr="00790A3E">
      <w:rPr>
        <w:rStyle w:val="HideTWBExt"/>
      </w:rPr>
      <w:t>&lt;PathFdR&gt;</w:t>
    </w:r>
    <w:r w:rsidRPr="00790A3E">
      <w:t>AD\1313624PL.docx</w:t>
    </w:r>
    <w:r w:rsidRPr="00790A3E">
      <w:rPr>
        <w:rStyle w:val="HideTWBExt"/>
      </w:rPr>
      <w:t>&lt;/PathFdR&gt;</w:t>
    </w:r>
    <w:r w:rsidRPr="00790A3E">
      <w:tab/>
    </w:r>
    <w:r w:rsidRPr="00790A3E">
      <w:tab/>
      <w:t>PE</w:t>
    </w:r>
    <w:r w:rsidRPr="00790A3E">
      <w:rPr>
        <w:rStyle w:val="HideTWBExt"/>
      </w:rPr>
      <w:t>&lt;NoPE&gt;</w:t>
    </w:r>
    <w:r w:rsidRPr="00790A3E">
      <w:t>765.284</w:t>
    </w:r>
    <w:r w:rsidRPr="00790A3E">
      <w:rPr>
        <w:rStyle w:val="HideTWBExt"/>
      </w:rPr>
      <w:t>&lt;/NoPE&gt;&lt;Version&gt;</w:t>
    </w:r>
    <w:r w:rsidRPr="00790A3E">
      <w:t>v02-00</w:t>
    </w:r>
    <w:r w:rsidRPr="00790A3E">
      <w:rPr>
        <w:rStyle w:val="HideTWBExt"/>
      </w:rPr>
      <w:t>&lt;/Version&gt;</w:t>
    </w:r>
  </w:p>
  <w:p w14:paraId="5919A3A4" w14:textId="25D2ECE6" w:rsidR="007254BD" w:rsidRPr="00790A3E" w:rsidRDefault="00790A3E" w:rsidP="00790A3E">
    <w:pPr>
      <w:pStyle w:val="EPFooter2"/>
    </w:pPr>
    <w:r w:rsidRPr="00790A3E">
      <w:t>PL</w:t>
    </w:r>
    <w:r w:rsidRPr="00790A3E">
      <w:tab/>
    </w:r>
    <w:r w:rsidRPr="00790A3E">
      <w:rPr>
        <w:b w:val="0"/>
        <w:i/>
        <w:color w:val="C0C0C0"/>
        <w:sz w:val="22"/>
      </w:rPr>
      <w:t>Zjednoczona w różnorodności</w:t>
    </w:r>
    <w:r w:rsidRPr="00790A3E">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B4BD4" w14:textId="77777777" w:rsidR="0026311F" w:rsidRPr="00790A3E" w:rsidRDefault="0026311F" w:rsidP="0026311F">
    <w:pPr>
      <w:pStyle w:val="EPFooter"/>
    </w:pPr>
    <w:r w:rsidRPr="00790A3E">
      <w:rPr>
        <w:rStyle w:val="HideTWBExt"/>
      </w:rPr>
      <w:t>&lt;PathFdR&gt;</w:t>
    </w:r>
    <w:r w:rsidRPr="00790A3E">
      <w:t>AD\1313624EN.docx</w:t>
    </w:r>
    <w:r w:rsidRPr="00790A3E">
      <w:rPr>
        <w:rStyle w:val="HideTWBExt"/>
      </w:rPr>
      <w:t>&lt;/PathFdR&gt;</w:t>
    </w:r>
    <w:r w:rsidRPr="00790A3E">
      <w:tab/>
    </w:r>
    <w:r w:rsidRPr="00790A3E">
      <w:tab/>
      <w:t>PE</w:t>
    </w:r>
    <w:r w:rsidRPr="00790A3E">
      <w:rPr>
        <w:rStyle w:val="HideTWBExt"/>
      </w:rPr>
      <w:t>&lt;NoPE&gt;</w:t>
    </w:r>
    <w:r w:rsidRPr="00790A3E">
      <w:t>765.284</w:t>
    </w:r>
    <w:r w:rsidRPr="00790A3E">
      <w:rPr>
        <w:rStyle w:val="HideTWBExt"/>
      </w:rPr>
      <w:t>&lt;/NoPE&gt;&lt;Version&gt;</w:t>
    </w:r>
    <w:r w:rsidRPr="00790A3E">
      <w:t>v02-00</w:t>
    </w:r>
    <w:r w:rsidRPr="00790A3E">
      <w:rPr>
        <w:rStyle w:val="HideTWBExt"/>
      </w:rPr>
      <w:t>&lt;/Version&gt;</w:t>
    </w:r>
  </w:p>
  <w:p w14:paraId="40AF6DEB" w14:textId="34556DA7" w:rsidR="00763674" w:rsidRPr="00790A3E" w:rsidRDefault="0026311F" w:rsidP="0026311F">
    <w:pPr>
      <w:pStyle w:val="EPFooter2"/>
    </w:pPr>
    <w:r w:rsidRPr="00790A3E">
      <w:t>EN</w:t>
    </w:r>
    <w:r w:rsidRPr="00790A3E">
      <w:tab/>
    </w:r>
    <w:r w:rsidRPr="00790A3E">
      <w:rPr>
        <w:b w:val="0"/>
        <w:i/>
        <w:color w:val="C0C0C0"/>
        <w:sz w:val="22"/>
      </w:rPr>
      <w:t>United in diversity</w:t>
    </w:r>
    <w:r w:rsidRPr="00790A3E">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6465C" w14:textId="77777777" w:rsidR="00763674" w:rsidRPr="00790A3E" w:rsidRDefault="00763674">
      <w:r w:rsidRPr="00790A3E">
        <w:separator/>
      </w:r>
    </w:p>
  </w:footnote>
  <w:footnote w:type="continuationSeparator" w:id="0">
    <w:p w14:paraId="7680E9CD" w14:textId="77777777" w:rsidR="00763674" w:rsidRPr="00790A3E" w:rsidRDefault="00763674">
      <w:r w:rsidRPr="00790A3E">
        <w:continuationSeparator/>
      </w:r>
    </w:p>
  </w:footnote>
  <w:footnote w:id="1">
    <w:p w14:paraId="4B3E4987" w14:textId="365D541D" w:rsidR="007254BD" w:rsidRPr="00790A3E" w:rsidRDefault="007254BD" w:rsidP="007254BD">
      <w:pPr>
        <w:pStyle w:val="FootnoteText"/>
      </w:pPr>
      <w:r w:rsidRPr="00790A3E">
        <w:rPr>
          <w:rStyle w:val="FootnoteReference"/>
        </w:rPr>
        <w:footnoteRef/>
      </w:r>
      <w:r w:rsidRPr="00790A3E">
        <w:t xml:space="preserve"> Rozporządzenie Parlamentu Europejskiego i Rady (UE) 2023/2131 z dnia 4 października 2023 r. w sprawie zmiany rozporządzenia Parlamentu Europejskiego i Rady (UE) 2018/1727 oraz decyzji Rady 2005/671/WSiSW w odniesieniu do cyfrowej wymiany informacji w sprawach związanych z terroryzmem (Dz.U. L, 2023/2131, 11.10.2023, ELI: </w:t>
      </w:r>
      <w:hyperlink r:id="rId1" w:tgtFrame="_blank" w:tooltip="Dostęp do dokumentu poprzez ELI URI." w:history="1">
        <w:r w:rsidRPr="00790A3E">
          <w:rPr>
            <w:rStyle w:val="Hyperlink"/>
          </w:rPr>
          <w:t>http://data.europa.eu/eli/reg/2023/2131/oj</w:t>
        </w:r>
      </w:hyperlink>
      <w:r w:rsidRPr="00790A3E">
        <w:t>).</w:t>
      </w:r>
    </w:p>
  </w:footnote>
  <w:footnote w:id="2">
    <w:p w14:paraId="2F97A6E8" w14:textId="3F4036D7" w:rsidR="007254BD" w:rsidRPr="00790A3E" w:rsidRDefault="007254BD" w:rsidP="007254BD">
      <w:pPr>
        <w:pStyle w:val="FootnoteText"/>
      </w:pPr>
      <w:r w:rsidRPr="00790A3E">
        <w:rPr>
          <w:rStyle w:val="FootnoteReference"/>
        </w:rPr>
        <w:footnoteRef/>
      </w:r>
      <w:r w:rsidRPr="00790A3E">
        <w:t xml:space="preserve"> Rozporządzenie Parlamentu Europejskiego i Rady (UE) 2023/969 z dnia 10 maja 2023 r. ustanawiające platformę współpracy mającą na celu wspieranie funkcjonowania wspólnych zespołów dochodzeniowo-śledczych oraz zmieniające rozporządzenie (UE) 2018/1726 (Dz.U. L, 2023/969, 17.5.2023, </w:t>
      </w:r>
      <w:r w:rsidRPr="00790A3E">
        <w:rPr>
          <w:rFonts w:ascii="Roboto" w:hAnsi="Roboto"/>
          <w:color w:val="333333"/>
          <w:sz w:val="21"/>
          <w:shd w:val="clear" w:color="auto" w:fill="FFFFFF"/>
        </w:rPr>
        <w:t>ELI: </w:t>
      </w:r>
      <w:hyperlink r:id="rId2" w:tooltip="Dostęp do dokumentu poprzez ELI URI." w:history="1">
        <w:r w:rsidRPr="00790A3E">
          <w:rPr>
            <w:rFonts w:ascii="Roboto" w:hAnsi="Roboto"/>
            <w:color w:val="337AB7"/>
            <w:sz w:val="21"/>
            <w:u w:val="single"/>
            <w:shd w:val="clear" w:color="auto" w:fill="FFFFFF"/>
          </w:rPr>
          <w:t>http://data.europa.eu/eli/reg/2023/969/oj</w:t>
        </w:r>
      </w:hyperlink>
      <w:r w:rsidRPr="00790A3E">
        <w:t>).</w:t>
      </w:r>
    </w:p>
  </w:footnote>
  <w:footnote w:id="3">
    <w:p w14:paraId="67EAE453" w14:textId="5414B992" w:rsidR="007254BD" w:rsidRPr="00790A3E" w:rsidRDefault="007254BD" w:rsidP="007254BD">
      <w:pPr>
        <w:pStyle w:val="FootnoteText"/>
      </w:pPr>
      <w:r w:rsidRPr="00790A3E">
        <w:rPr>
          <w:rStyle w:val="FootnoteReference"/>
        </w:rPr>
        <w:footnoteRef/>
      </w:r>
      <w:r w:rsidRPr="00790A3E">
        <w:t xml:space="preserve"> Rozporządzenie Parlamentu Europejskiego i Rady (UE) 2019/1896 z dnia 13 listopada 2019 r. w sprawie Europejskiej Straży Granicznej i Przybrzeżnej oraz uchylenia rozporządzeń (UE) nr 1052/2013 i (UE) 2016/1624 (Dz.U. L, 2019/1896, 14.11.2019, </w:t>
      </w:r>
      <w:r w:rsidRPr="00790A3E">
        <w:rPr>
          <w:rFonts w:ascii="Roboto" w:hAnsi="Roboto"/>
          <w:color w:val="333333"/>
          <w:sz w:val="21"/>
          <w:shd w:val="clear" w:color="auto" w:fill="FFFFFF"/>
        </w:rPr>
        <w:t>ELI: </w:t>
      </w:r>
      <w:hyperlink r:id="rId3" w:tooltip="Dostęp do dokumentu poprzez ELI URI." w:history="1">
        <w:r w:rsidRPr="00790A3E">
          <w:rPr>
            <w:rFonts w:ascii="Roboto" w:hAnsi="Roboto"/>
            <w:color w:val="337AB7"/>
            <w:sz w:val="21"/>
            <w:u w:val="single"/>
            <w:shd w:val="clear" w:color="auto" w:fill="FFFFFF"/>
          </w:rPr>
          <w:t>http://data.europa.eu/eli/reg/2019/1896/oj</w:t>
        </w:r>
      </w:hyperlink>
      <w:r w:rsidRPr="00790A3E">
        <w:t>).</w:t>
      </w:r>
    </w:p>
  </w:footnote>
  <w:footnote w:id="4">
    <w:p w14:paraId="39464062" w14:textId="77777777" w:rsidR="007254BD" w:rsidRPr="00790A3E" w:rsidRDefault="007254BD" w:rsidP="007254BD">
      <w:pPr>
        <w:pStyle w:val="FootnoteText"/>
      </w:pPr>
      <w:r w:rsidRPr="00790A3E">
        <w:rPr>
          <w:rStyle w:val="FootnoteReference"/>
        </w:rPr>
        <w:footnoteRef/>
      </w:r>
      <w:r w:rsidRPr="00790A3E">
        <w:t xml:space="preserve"> Państwa UE+ obejmują państwa członkowskie Unii Europejskiej (UE) oraz państwa stowarzyszone w ramach Schengen.</w:t>
      </w:r>
    </w:p>
  </w:footnote>
  <w:footnote w:id="5">
    <w:p w14:paraId="5720CF95" w14:textId="6E760AC8" w:rsidR="007254BD" w:rsidRPr="00790A3E" w:rsidRDefault="007254BD" w:rsidP="007254BD">
      <w:pPr>
        <w:pStyle w:val="FootnoteText"/>
      </w:pPr>
      <w:r w:rsidRPr="00790A3E">
        <w:rPr>
          <w:rStyle w:val="FootnoteReference"/>
        </w:rPr>
        <w:footnoteRef/>
      </w:r>
      <w:r w:rsidRPr="00790A3E">
        <w:t xml:space="preserve"> </w:t>
      </w:r>
      <w:hyperlink r:id="rId4" w:history="1">
        <w:r w:rsidRPr="00790A3E">
          <w:rPr>
            <w:rStyle w:val="Hyperlink"/>
          </w:rPr>
          <w:t>https://euaa.europa.eu/sites/default/files/publications/2023-05/EUAA_External_Cooperation_Strategy.pdf</w:t>
        </w:r>
      </w:hyperlink>
      <w:r w:rsidRPr="00790A3E">
        <w:t xml:space="preserve"> </w:t>
      </w:r>
    </w:p>
  </w:footnote>
  <w:footnote w:id="6">
    <w:p w14:paraId="20C87B1F" w14:textId="3D0294DA" w:rsidR="007254BD" w:rsidRPr="00790A3E" w:rsidRDefault="007254BD" w:rsidP="007254BD">
      <w:pPr>
        <w:pStyle w:val="FootnoteText"/>
      </w:pPr>
      <w:r w:rsidRPr="00790A3E">
        <w:rPr>
          <w:rStyle w:val="FootnoteReference"/>
        </w:rPr>
        <w:footnoteRef/>
      </w:r>
      <w:r w:rsidRPr="00790A3E">
        <w:t xml:space="preserve"> </w:t>
      </w:r>
      <w:hyperlink r:id="rId5" w:history="1">
        <w:r w:rsidRPr="00790A3E">
          <w:rPr>
            <w:rStyle w:val="Hyperlink"/>
          </w:rPr>
          <w:t>https://euaa.europa.eu/sites/default/files/publications/2023-12/EUAA_Vulnerability_Strategy.pdf</w:t>
        </w:r>
      </w:hyperlink>
      <w:r w:rsidRPr="00790A3E">
        <w:t xml:space="preserve"> </w:t>
      </w:r>
    </w:p>
  </w:footnote>
  <w:footnote w:id="7">
    <w:p w14:paraId="46280EA1" w14:textId="64FE3075" w:rsidR="007254BD" w:rsidRPr="00790A3E" w:rsidRDefault="007254BD" w:rsidP="007254BD">
      <w:pPr>
        <w:pStyle w:val="FootnoteText"/>
      </w:pPr>
      <w:r w:rsidRPr="00790A3E">
        <w:rPr>
          <w:rStyle w:val="FootnoteReference"/>
        </w:rPr>
        <w:footnoteRef/>
      </w:r>
      <w:r w:rsidRPr="00790A3E">
        <w:t xml:space="preserve"> </w:t>
      </w:r>
      <w:hyperlink r:id="rId6" w:history="1">
        <w:r w:rsidRPr="00790A3E">
          <w:rPr>
            <w:rStyle w:val="Hyperlink"/>
          </w:rPr>
          <w:t>https://euaa.europa.eu/sites/default/files/publications/2023-10/2023_EUAA-Strategy-on-Digital-Innovation-in-Asylum-Procedures-and-Reception-Systems_EN.pdf</w:t>
        </w:r>
      </w:hyperlink>
      <w:r w:rsidRPr="00790A3E">
        <w:t xml:space="preserve"> </w:t>
      </w:r>
    </w:p>
  </w:footnote>
  <w:footnote w:id="8">
    <w:p w14:paraId="09C62370" w14:textId="4CCE0119" w:rsidR="007254BD" w:rsidRPr="00790A3E" w:rsidRDefault="007254BD" w:rsidP="007254BD">
      <w:pPr>
        <w:pStyle w:val="FootnoteText"/>
      </w:pPr>
      <w:r w:rsidRPr="00790A3E">
        <w:rPr>
          <w:rStyle w:val="FootnoteReference"/>
        </w:rPr>
        <w:footnoteRef/>
      </w:r>
      <w:r w:rsidRPr="00790A3E">
        <w:t xml:space="preserve"> Rozporządzenie Parlamentu Europejskiego i Rady (UE) 2023/1322 z dnia 27 czerwca 2023 r. w sprawie Agencji Unii Europejskiej ds. Narkotyków (EUDA) i uchylenia rozporządzenia (WE) nr 1920/2006 (Dz.U. L, 2023/1322, 30.6.2023, </w:t>
      </w:r>
      <w:r w:rsidRPr="00790A3E">
        <w:rPr>
          <w:rFonts w:ascii="Roboto" w:hAnsi="Roboto"/>
          <w:color w:val="333333"/>
          <w:sz w:val="21"/>
          <w:shd w:val="clear" w:color="auto" w:fill="FFFFFF"/>
        </w:rPr>
        <w:t>ELI: </w:t>
      </w:r>
      <w:hyperlink r:id="rId7" w:tooltip="Dostęp do dokumentu poprzez ELI URI." w:history="1">
        <w:r w:rsidRPr="00790A3E">
          <w:rPr>
            <w:rFonts w:ascii="Roboto" w:hAnsi="Roboto"/>
            <w:color w:val="337AB7"/>
            <w:sz w:val="21"/>
            <w:u w:val="single"/>
            <w:shd w:val="clear" w:color="auto" w:fill="FFFFFF"/>
          </w:rPr>
          <w:t>http://data.europa.eu/eli/reg/2023/1322/oj</w:t>
        </w:r>
      </w:hyperlink>
      <w:r w:rsidRPr="00790A3E">
        <w:t xml:space="preserve">). </w:t>
      </w:r>
    </w:p>
  </w:footnote>
  <w:footnote w:id="9">
    <w:p w14:paraId="114A3736" w14:textId="759CBC45" w:rsidR="007254BD" w:rsidRPr="00790A3E" w:rsidRDefault="007254BD" w:rsidP="007254BD">
      <w:pPr>
        <w:pStyle w:val="FootnoteText"/>
      </w:pPr>
      <w:r w:rsidRPr="00790A3E">
        <w:rPr>
          <w:rStyle w:val="FootnoteReference"/>
        </w:rPr>
        <w:footnoteRef/>
      </w:r>
      <w:r w:rsidRPr="00790A3E">
        <w:t xml:space="preserve"> Rozporządzenie (WE) nr 1920/2006 Parlamentu Europejskiego i Rady z dnia 12 grudnia 2006 r. w sprawie Europejskiego Centrum Monitorowania Narkotyków i Narkomanii (Dz.U. L, 1920/2006, 27.12.2006,</w:t>
      </w:r>
      <w:r w:rsidRPr="00790A3E">
        <w:rPr>
          <w:rFonts w:ascii="Roboto" w:hAnsi="Roboto"/>
          <w:color w:val="333333"/>
          <w:sz w:val="21"/>
          <w:shd w:val="clear" w:color="auto" w:fill="FFFFFF"/>
        </w:rPr>
        <w:t xml:space="preserve"> ELI: </w:t>
      </w:r>
      <w:hyperlink r:id="rId8" w:tooltip="Dostęp do dokumentu poprzez ELI URI." w:history="1">
        <w:r w:rsidRPr="00790A3E">
          <w:rPr>
            <w:rFonts w:ascii="Roboto" w:hAnsi="Roboto"/>
            <w:color w:val="337AB7"/>
            <w:sz w:val="21"/>
            <w:u w:val="single"/>
            <w:shd w:val="clear" w:color="auto" w:fill="FFFFFF"/>
          </w:rPr>
          <w:t>http://data.europa.eu/eli/reg/2006/1920/oj</w:t>
        </w:r>
      </w:hyperlink>
      <w:r w:rsidRPr="00790A3E">
        <w:t>).</w:t>
      </w:r>
    </w:p>
  </w:footnote>
  <w:footnote w:id="10">
    <w:p w14:paraId="6734DCF2" w14:textId="55E98CE6" w:rsidR="007254BD" w:rsidRPr="00790A3E" w:rsidRDefault="007254BD" w:rsidP="007254BD">
      <w:pPr>
        <w:pStyle w:val="FootnoteText"/>
      </w:pPr>
      <w:r w:rsidRPr="00790A3E">
        <w:rPr>
          <w:rStyle w:val="FootnoteReference"/>
        </w:rPr>
        <w:footnoteRef/>
      </w:r>
      <w:r w:rsidRPr="00790A3E">
        <w:t xml:space="preserve"> </w:t>
      </w:r>
      <w:hyperlink r:id="rId9" w:history="1">
        <w:r w:rsidRPr="00790A3E">
          <w:rPr>
            <w:rStyle w:val="Hyperlink"/>
          </w:rPr>
          <w:t>https://ec.europa.eu/commission/presscorner/detail/pl/ip_23_4981</w:t>
        </w:r>
      </w:hyperlink>
      <w:r w:rsidRPr="00790A3E">
        <w:t xml:space="preserve"> </w:t>
      </w:r>
    </w:p>
  </w:footnote>
  <w:footnote w:id="11">
    <w:p w14:paraId="720D10F2" w14:textId="6DDC2CFA" w:rsidR="007254BD" w:rsidRPr="00790A3E" w:rsidRDefault="007254BD" w:rsidP="007254BD">
      <w:pPr>
        <w:pStyle w:val="FootnoteText"/>
      </w:pPr>
      <w:r w:rsidRPr="00790A3E">
        <w:rPr>
          <w:rStyle w:val="FootnoteReference"/>
        </w:rPr>
        <w:footnoteRef/>
      </w:r>
      <w:r w:rsidRPr="00790A3E">
        <w:t xml:space="preserve"> Rozporządzenie Parlamentu Europejskiego i Rady (UE) 2016/794 z dnia 11 maja 2016 r. w sprawie Agencji Unii Europejskiej ds. Współpracy Organów Ścigania (Europol), zastępujące i uchylające decyzje Rady 2009/371/WSiSW, 2009/934/WSiSW, 2009/935/WSiSW, 2009/936/WSiSW i 2009/968/WSiSW (Dz.U. L, 2016/794, 24.5.2016,</w:t>
      </w:r>
      <w:r w:rsidRPr="00790A3E">
        <w:rPr>
          <w:rFonts w:ascii="Roboto" w:hAnsi="Roboto"/>
          <w:color w:val="333333"/>
          <w:sz w:val="21"/>
          <w:shd w:val="clear" w:color="auto" w:fill="FFFFFF"/>
        </w:rPr>
        <w:t xml:space="preserve"> ELI: </w:t>
      </w:r>
      <w:hyperlink r:id="rId10" w:tooltip="Dostęp do dokumentu poprzez ELI URI." w:history="1">
        <w:r w:rsidRPr="00790A3E">
          <w:rPr>
            <w:rFonts w:ascii="Roboto" w:hAnsi="Roboto"/>
            <w:color w:val="337AB7"/>
            <w:sz w:val="21"/>
            <w:u w:val="single"/>
            <w:shd w:val="clear" w:color="auto" w:fill="FFFFFF"/>
          </w:rPr>
          <w:t>http://data.europa.eu/eli/reg/2016/794/oj</w:t>
        </w:r>
      </w:hyperlink>
      <w:r w:rsidRPr="00790A3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E0928" w14:textId="77777777" w:rsidR="00430B27" w:rsidRDefault="00430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F931A" w14:textId="77777777" w:rsidR="00430B27" w:rsidRDefault="00430B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26F07" w14:textId="77777777" w:rsidR="00430B27" w:rsidRDefault="00430B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A3B7B" w14:textId="77777777" w:rsidR="0026311F" w:rsidRPr="0026311F" w:rsidRDefault="002631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2B13F" w14:textId="77777777" w:rsidR="0026311F" w:rsidRPr="0026311F" w:rsidRDefault="002631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0CA6" w14:textId="77777777" w:rsidR="0026311F" w:rsidRPr="0026311F" w:rsidRDefault="00263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GENCIEMNU" w:val=" 1"/>
    <w:docVar w:name="ATITLEMNU" w:val=" 1"/>
    <w:docVar w:name="AUTHORMFMNU" w:val=" 1"/>
    <w:docVar w:name="COMKEY" w:val="LIBE"/>
    <w:docVar w:name="CONTRIBUTIONMNU" w:val=" 1"/>
    <w:docVar w:name="CopyToNetwork" w:val="-1"/>
    <w:docVar w:name="DOCDT" w:val="13/11/2024"/>
    <w:docVar w:name="FONCTIONMNU" w:val=" 1"/>
    <w:docVar w:name="LastEditedSection" w:val=" 1"/>
    <w:docVar w:name="strDocTypeID" w:val="PA_NonLegDec"/>
    <w:docVar w:name="strSubDir" w:val="1313"/>
    <w:docVar w:name="TITLEMNU" w:val=" 1"/>
    <w:docVar w:name="TXTAUTHOR" w:val="Tomáš Zdechovský"/>
    <w:docVar w:name="TXTBUDYEAR" w:val="2023"/>
    <w:docVar w:name="TXTLANGUE" w:val="EN"/>
    <w:docVar w:name="TXTLANGUEMIN" w:val="en"/>
    <w:docVar w:name="TXTNRPE" w:val="765.284"/>
    <w:docVar w:name="TXTNRPROC" w:val="2024/2030"/>
    <w:docVar w:name="TXTPEorAP" w:val="PE"/>
    <w:docVar w:name="TXTROUTE" w:val="AD\1313624EN.docx"/>
    <w:docVar w:name="TXTVERSION" w:val="02-00"/>
  </w:docVars>
  <w:rsids>
    <w:rsidRoot w:val="00E74372"/>
    <w:rsid w:val="000048A8"/>
    <w:rsid w:val="00007A18"/>
    <w:rsid w:val="00012D14"/>
    <w:rsid w:val="00020503"/>
    <w:rsid w:val="00025023"/>
    <w:rsid w:val="00036B6A"/>
    <w:rsid w:val="00052746"/>
    <w:rsid w:val="00052E1A"/>
    <w:rsid w:val="00062634"/>
    <w:rsid w:val="00084CC3"/>
    <w:rsid w:val="000A05CA"/>
    <w:rsid w:val="000B6C4B"/>
    <w:rsid w:val="000C2FFF"/>
    <w:rsid w:val="000D001F"/>
    <w:rsid w:val="000D099F"/>
    <w:rsid w:val="000E6813"/>
    <w:rsid w:val="000F07FE"/>
    <w:rsid w:val="001115C3"/>
    <w:rsid w:val="00113430"/>
    <w:rsid w:val="001275F4"/>
    <w:rsid w:val="001538A3"/>
    <w:rsid w:val="00163165"/>
    <w:rsid w:val="001A455F"/>
    <w:rsid w:val="001F044C"/>
    <w:rsid w:val="001F2766"/>
    <w:rsid w:val="001F6ED8"/>
    <w:rsid w:val="00212D35"/>
    <w:rsid w:val="0022063A"/>
    <w:rsid w:val="00245C7F"/>
    <w:rsid w:val="0026311F"/>
    <w:rsid w:val="00271180"/>
    <w:rsid w:val="00282C21"/>
    <w:rsid w:val="00295523"/>
    <w:rsid w:val="002A4AC9"/>
    <w:rsid w:val="002B2892"/>
    <w:rsid w:val="002B2DF0"/>
    <w:rsid w:val="002C0EE6"/>
    <w:rsid w:val="002C34AE"/>
    <w:rsid w:val="002C3C73"/>
    <w:rsid w:val="002E2F2E"/>
    <w:rsid w:val="00307C14"/>
    <w:rsid w:val="00311B13"/>
    <w:rsid w:val="00316545"/>
    <w:rsid w:val="003608B0"/>
    <w:rsid w:val="003707A7"/>
    <w:rsid w:val="00375542"/>
    <w:rsid w:val="00385BAB"/>
    <w:rsid w:val="0039003E"/>
    <w:rsid w:val="00396FA9"/>
    <w:rsid w:val="003B72FC"/>
    <w:rsid w:val="003D684B"/>
    <w:rsid w:val="003E06CF"/>
    <w:rsid w:val="003E35FB"/>
    <w:rsid w:val="003F3B83"/>
    <w:rsid w:val="0042219E"/>
    <w:rsid w:val="00430B27"/>
    <w:rsid w:val="00431E30"/>
    <w:rsid w:val="00487232"/>
    <w:rsid w:val="00495CA4"/>
    <w:rsid w:val="004A03A6"/>
    <w:rsid w:val="004A2969"/>
    <w:rsid w:val="004A34E6"/>
    <w:rsid w:val="004C28FB"/>
    <w:rsid w:val="004D652F"/>
    <w:rsid w:val="004E54DC"/>
    <w:rsid w:val="004F48ED"/>
    <w:rsid w:val="0050255A"/>
    <w:rsid w:val="00514664"/>
    <w:rsid w:val="0052721F"/>
    <w:rsid w:val="0055017A"/>
    <w:rsid w:val="00574CA5"/>
    <w:rsid w:val="00577018"/>
    <w:rsid w:val="005779E7"/>
    <w:rsid w:val="005A2186"/>
    <w:rsid w:val="005D0786"/>
    <w:rsid w:val="005E3670"/>
    <w:rsid w:val="00600DC9"/>
    <w:rsid w:val="00605A49"/>
    <w:rsid w:val="00643F39"/>
    <w:rsid w:val="0066728C"/>
    <w:rsid w:val="006819E0"/>
    <w:rsid w:val="00695240"/>
    <w:rsid w:val="006A47A5"/>
    <w:rsid w:val="006A6E05"/>
    <w:rsid w:val="006C1A44"/>
    <w:rsid w:val="006C5A3D"/>
    <w:rsid w:val="006C72D6"/>
    <w:rsid w:val="0071319E"/>
    <w:rsid w:val="00713D29"/>
    <w:rsid w:val="007148FC"/>
    <w:rsid w:val="00720A3C"/>
    <w:rsid w:val="00722749"/>
    <w:rsid w:val="00722F52"/>
    <w:rsid w:val="007254BD"/>
    <w:rsid w:val="007503D2"/>
    <w:rsid w:val="007614F6"/>
    <w:rsid w:val="00763674"/>
    <w:rsid w:val="00790A3E"/>
    <w:rsid w:val="007C6A84"/>
    <w:rsid w:val="007D09B2"/>
    <w:rsid w:val="007E044C"/>
    <w:rsid w:val="00806587"/>
    <w:rsid w:val="008818A9"/>
    <w:rsid w:val="008C6240"/>
    <w:rsid w:val="008E7494"/>
    <w:rsid w:val="008F36CD"/>
    <w:rsid w:val="008F7002"/>
    <w:rsid w:val="0091750B"/>
    <w:rsid w:val="0095301E"/>
    <w:rsid w:val="0095497D"/>
    <w:rsid w:val="009669A8"/>
    <w:rsid w:val="00972FD8"/>
    <w:rsid w:val="00977F76"/>
    <w:rsid w:val="0098140C"/>
    <w:rsid w:val="009A33F4"/>
    <w:rsid w:val="009A403C"/>
    <w:rsid w:val="009B5265"/>
    <w:rsid w:val="009C7BA7"/>
    <w:rsid w:val="00A16247"/>
    <w:rsid w:val="00A2041C"/>
    <w:rsid w:val="00A722B1"/>
    <w:rsid w:val="00A8267E"/>
    <w:rsid w:val="00A93570"/>
    <w:rsid w:val="00A9617A"/>
    <w:rsid w:val="00AA1A2C"/>
    <w:rsid w:val="00AA223C"/>
    <w:rsid w:val="00AB5116"/>
    <w:rsid w:val="00AC34C8"/>
    <w:rsid w:val="00AE59CE"/>
    <w:rsid w:val="00AF77DA"/>
    <w:rsid w:val="00B107A4"/>
    <w:rsid w:val="00B1441B"/>
    <w:rsid w:val="00B23614"/>
    <w:rsid w:val="00B272FA"/>
    <w:rsid w:val="00B362F7"/>
    <w:rsid w:val="00BB2AC1"/>
    <w:rsid w:val="00BF3C7B"/>
    <w:rsid w:val="00C04938"/>
    <w:rsid w:val="00C175C0"/>
    <w:rsid w:val="00C241B0"/>
    <w:rsid w:val="00C340BD"/>
    <w:rsid w:val="00C47E30"/>
    <w:rsid w:val="00C54F53"/>
    <w:rsid w:val="00C57ECA"/>
    <w:rsid w:val="00C75378"/>
    <w:rsid w:val="00C8686E"/>
    <w:rsid w:val="00CA0D01"/>
    <w:rsid w:val="00CD5ECC"/>
    <w:rsid w:val="00CD65A0"/>
    <w:rsid w:val="00CF7076"/>
    <w:rsid w:val="00D41244"/>
    <w:rsid w:val="00D438D0"/>
    <w:rsid w:val="00D44697"/>
    <w:rsid w:val="00D47632"/>
    <w:rsid w:val="00D501EE"/>
    <w:rsid w:val="00D625A2"/>
    <w:rsid w:val="00D71751"/>
    <w:rsid w:val="00D759AA"/>
    <w:rsid w:val="00DA5DC5"/>
    <w:rsid w:val="00DA7632"/>
    <w:rsid w:val="00DB0347"/>
    <w:rsid w:val="00DE2109"/>
    <w:rsid w:val="00E01434"/>
    <w:rsid w:val="00E05697"/>
    <w:rsid w:val="00E07EEF"/>
    <w:rsid w:val="00E12435"/>
    <w:rsid w:val="00E3462E"/>
    <w:rsid w:val="00E729C7"/>
    <w:rsid w:val="00E74372"/>
    <w:rsid w:val="00E83B40"/>
    <w:rsid w:val="00E8571C"/>
    <w:rsid w:val="00E94ACF"/>
    <w:rsid w:val="00E9601C"/>
    <w:rsid w:val="00EA6A11"/>
    <w:rsid w:val="00EA78B3"/>
    <w:rsid w:val="00EB19AA"/>
    <w:rsid w:val="00EC2C85"/>
    <w:rsid w:val="00F036E0"/>
    <w:rsid w:val="00F129D0"/>
    <w:rsid w:val="00F46E44"/>
    <w:rsid w:val="00F611FC"/>
    <w:rsid w:val="00F612A0"/>
    <w:rsid w:val="00F61E8C"/>
    <w:rsid w:val="00F707AB"/>
    <w:rsid w:val="00F96D53"/>
    <w:rsid w:val="00FB459D"/>
    <w:rsid w:val="00FD3381"/>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B0BA0"/>
  <w15:chartTrackingRefBased/>
  <w15:docId w15:val="{E5FE2D00-F200-432D-BAF6-1B34F06D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DA5DC5"/>
    <w:pPr>
      <w:tabs>
        <w:tab w:val="center" w:pos="4513"/>
        <w:tab w:val="right" w:pos="9026"/>
      </w:tabs>
    </w:pPr>
  </w:style>
  <w:style w:type="character" w:customStyle="1" w:styleId="FooterChar">
    <w:name w:val="Footer Char"/>
    <w:basedOn w:val="DefaultParagraphFont"/>
    <w:link w:val="Footer"/>
    <w:semiHidden/>
    <w:rsid w:val="00DA5DC5"/>
    <w:rPr>
      <w:sz w:val="24"/>
    </w:rPr>
  </w:style>
  <w:style w:type="paragraph" w:styleId="FootnoteText">
    <w:name w:val="footnote text"/>
    <w:basedOn w:val="Normal"/>
    <w:link w:val="FootnoteTextChar"/>
    <w:uiPriority w:val="99"/>
    <w:unhideWhenUsed/>
    <w:rsid w:val="00282C21"/>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282C21"/>
    <w:rPr>
      <w:rFonts w:eastAsiaTheme="minorHAnsi"/>
      <w:lang w:eastAsia="en-US"/>
    </w:rPr>
  </w:style>
  <w:style w:type="character" w:styleId="FootnoteReference">
    <w:name w:val="footnote reference"/>
    <w:basedOn w:val="DefaultParagraphFont"/>
    <w:uiPriority w:val="99"/>
    <w:unhideWhenUsed/>
    <w:rsid w:val="00282C21"/>
    <w:rPr>
      <w:vertAlign w:val="superscript"/>
    </w:rPr>
  </w:style>
  <w:style w:type="character" w:styleId="Hyperlink">
    <w:name w:val="Hyperlink"/>
    <w:basedOn w:val="DefaultParagraphFont"/>
    <w:uiPriority w:val="99"/>
    <w:unhideWhenUsed/>
    <w:rsid w:val="00282C21"/>
    <w:rPr>
      <w:color w:val="0563C1" w:themeColor="hyperlink"/>
      <w:u w:val="single"/>
    </w:rPr>
  </w:style>
  <w:style w:type="paragraph" w:styleId="NormalWeb">
    <w:name w:val="Normal (Web)"/>
    <w:basedOn w:val="Normal"/>
    <w:uiPriority w:val="99"/>
    <w:unhideWhenUsed/>
    <w:rsid w:val="00282C21"/>
    <w:pPr>
      <w:widowControl/>
      <w:spacing w:before="100" w:beforeAutospacing="1" w:after="100" w:afterAutospacing="1"/>
    </w:pPr>
    <w:rPr>
      <w:szCs w:val="24"/>
    </w:rPr>
  </w:style>
  <w:style w:type="character" w:styleId="CommentReference">
    <w:name w:val="annotation reference"/>
    <w:basedOn w:val="DefaultParagraphFont"/>
    <w:rsid w:val="007503D2"/>
    <w:rPr>
      <w:sz w:val="16"/>
      <w:szCs w:val="16"/>
    </w:rPr>
  </w:style>
  <w:style w:type="paragraph" w:styleId="CommentText">
    <w:name w:val="annotation text"/>
    <w:basedOn w:val="Normal"/>
    <w:link w:val="CommentTextChar"/>
    <w:rsid w:val="007503D2"/>
    <w:rPr>
      <w:sz w:val="20"/>
    </w:rPr>
  </w:style>
  <w:style w:type="character" w:customStyle="1" w:styleId="CommentTextChar">
    <w:name w:val="Comment Text Char"/>
    <w:basedOn w:val="DefaultParagraphFont"/>
    <w:link w:val="CommentText"/>
    <w:rsid w:val="007503D2"/>
  </w:style>
  <w:style w:type="paragraph" w:styleId="CommentSubject">
    <w:name w:val="annotation subject"/>
    <w:basedOn w:val="CommentText"/>
    <w:next w:val="CommentText"/>
    <w:link w:val="CommentSubjectChar"/>
    <w:semiHidden/>
    <w:unhideWhenUsed/>
    <w:rsid w:val="007503D2"/>
    <w:rPr>
      <w:b/>
      <w:bCs/>
    </w:rPr>
  </w:style>
  <w:style w:type="character" w:customStyle="1" w:styleId="CommentSubjectChar">
    <w:name w:val="Comment Subject Char"/>
    <w:basedOn w:val="CommentTextChar"/>
    <w:link w:val="CommentSubject"/>
    <w:semiHidden/>
    <w:rsid w:val="007503D2"/>
    <w:rPr>
      <w:b/>
      <w:bCs/>
    </w:rPr>
  </w:style>
  <w:style w:type="paragraph" w:styleId="BalloonText">
    <w:name w:val="Balloon Text"/>
    <w:basedOn w:val="Normal"/>
    <w:link w:val="BalloonTextChar"/>
    <w:semiHidden/>
    <w:unhideWhenUsed/>
    <w:rsid w:val="007503D2"/>
    <w:rPr>
      <w:rFonts w:ascii="Segoe UI" w:hAnsi="Segoe UI" w:cs="Segoe UI"/>
      <w:sz w:val="18"/>
      <w:szCs w:val="18"/>
    </w:rPr>
  </w:style>
  <w:style w:type="character" w:customStyle="1" w:styleId="BalloonTextChar">
    <w:name w:val="Balloon Text Char"/>
    <w:basedOn w:val="DefaultParagraphFont"/>
    <w:link w:val="BalloonText"/>
    <w:semiHidden/>
    <w:rsid w:val="007503D2"/>
    <w:rPr>
      <w:rFonts w:ascii="Segoe UI" w:hAnsi="Segoe UI" w:cs="Segoe UI"/>
      <w:sz w:val="18"/>
      <w:szCs w:val="18"/>
    </w:rPr>
  </w:style>
  <w:style w:type="character" w:styleId="Emphasis">
    <w:name w:val="Emphasis"/>
    <w:basedOn w:val="DefaultParagraphFont"/>
    <w:uiPriority w:val="20"/>
    <w:qFormat/>
    <w:rsid w:val="00295523"/>
    <w:rPr>
      <w:i/>
      <w:iCs/>
    </w:rPr>
  </w:style>
  <w:style w:type="character" w:styleId="FollowedHyperlink">
    <w:name w:val="FollowedHyperlink"/>
    <w:basedOn w:val="DefaultParagraphFont"/>
    <w:rsid w:val="00295523"/>
    <w:rPr>
      <w:color w:val="954F72" w:themeColor="followedHyperlink"/>
      <w:u w:val="single"/>
    </w:rPr>
  </w:style>
  <w:style w:type="paragraph" w:customStyle="1" w:styleId="Normal24a">
    <w:name w:val="Normal24a"/>
    <w:basedOn w:val="Normal"/>
    <w:rsid w:val="00720A3C"/>
    <w:pPr>
      <w:spacing w:after="480"/>
    </w:pPr>
    <w:rPr>
      <w:szCs w:val="24"/>
    </w:rPr>
  </w:style>
  <w:style w:type="paragraph" w:customStyle="1" w:styleId="NormalBoldCenter">
    <w:name w:val="NormalBoldCenter"/>
    <w:basedOn w:val="Normal"/>
    <w:rsid w:val="00720A3C"/>
    <w:pPr>
      <w:jc w:val="center"/>
    </w:pPr>
    <w:rPr>
      <w:b/>
      <w:szCs w:val="24"/>
    </w:rPr>
  </w:style>
  <w:style w:type="paragraph" w:customStyle="1" w:styleId="Footprint12b">
    <w:name w:val="Footprint12b"/>
    <w:basedOn w:val="Normal"/>
    <w:rsid w:val="00720A3C"/>
    <w:pPr>
      <w:spacing w:before="240"/>
    </w:pPr>
    <w:rPr>
      <w:szCs w:val="24"/>
    </w:rPr>
  </w:style>
  <w:style w:type="paragraph" w:customStyle="1" w:styleId="NormalSingle">
    <w:name w:val="NormalSingle"/>
    <w:basedOn w:val="Normal"/>
    <w:qFormat/>
    <w:rsid w:val="00720A3C"/>
    <w:rPr>
      <w:szCs w:val="24"/>
    </w:rPr>
  </w:style>
  <w:style w:type="paragraph" w:customStyle="1" w:styleId="RollCallSymbols14pt">
    <w:name w:val="RollCallSymbols14pt"/>
    <w:basedOn w:val="Normal"/>
    <w:rsid w:val="00720A3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20A3C"/>
    <w:pPr>
      <w:tabs>
        <w:tab w:val="center" w:pos="284"/>
        <w:tab w:val="left" w:pos="426"/>
      </w:tabs>
    </w:pPr>
    <w:rPr>
      <w:snapToGrid w:val="0"/>
      <w:lang w:eastAsia="en-US"/>
    </w:rPr>
  </w:style>
  <w:style w:type="paragraph" w:customStyle="1" w:styleId="RollCallVotes">
    <w:name w:val="RollCallVotes"/>
    <w:basedOn w:val="Normal"/>
    <w:rsid w:val="00720A3C"/>
    <w:pPr>
      <w:spacing w:before="120" w:after="120"/>
      <w:jc w:val="center"/>
    </w:pPr>
    <w:rPr>
      <w:b/>
      <w:bCs/>
      <w:snapToGrid w:val="0"/>
      <w:sz w:val="16"/>
      <w:lang w:eastAsia="en-US"/>
    </w:rPr>
  </w:style>
  <w:style w:type="paragraph" w:customStyle="1" w:styleId="RollCallTable">
    <w:name w:val="RollCallTable"/>
    <w:basedOn w:val="Normal"/>
    <w:rsid w:val="00720A3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920/oj" TargetMode="External"/><Relationship Id="rId3" Type="http://schemas.openxmlformats.org/officeDocument/2006/relationships/hyperlink" Target="http://data.europa.eu/eli/reg/2019/1896/oj" TargetMode="External"/><Relationship Id="rId7" Type="http://schemas.openxmlformats.org/officeDocument/2006/relationships/hyperlink" Target="http://data.europa.eu/eli/reg/2023/1322/oj" TargetMode="External"/><Relationship Id="rId2" Type="http://schemas.openxmlformats.org/officeDocument/2006/relationships/hyperlink" Target="http://data.europa.eu/eli/reg/2023/969/oj" TargetMode="External"/><Relationship Id="rId1" Type="http://schemas.openxmlformats.org/officeDocument/2006/relationships/hyperlink" Target="http://data.europa.eu/eli/reg/2023/2131/oj" TargetMode="External"/><Relationship Id="rId6" Type="http://schemas.openxmlformats.org/officeDocument/2006/relationships/hyperlink" Target="https://euaa.europa.eu/sites/default/files/publications/2023-10/2023_EUAA-Strategy-on-Digital-Innovation-in-Asylum-Procedures-and-Reception-Systems_EN.pdf" TargetMode="External"/><Relationship Id="rId5" Type="http://schemas.openxmlformats.org/officeDocument/2006/relationships/hyperlink" Target="https://euaa.europa.eu/sites/default/files/publications/2023-12/EUAA_Vulnerability_Strategy.pdf" TargetMode="External"/><Relationship Id="rId10" Type="http://schemas.openxmlformats.org/officeDocument/2006/relationships/hyperlink" Target="http://data.europa.eu/eli/reg/2016/794/oj" TargetMode="External"/><Relationship Id="rId4" Type="http://schemas.openxmlformats.org/officeDocument/2006/relationships/hyperlink" Target="https://euaa.europa.eu/sites/default/files/publications/2023-05/EUAA_External_Cooperation_Strategy.pdf" TargetMode="External"/><Relationship Id="rId9" Type="http://schemas.openxmlformats.org/officeDocument/2006/relationships/hyperlink" Target="https://ec.europa.eu/commission/presscorner/detail/pl/ip_23_49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A6DB9-B00E-4C62-B011-08334A58B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4863</Words>
  <Characters>32000</Characters>
  <Application>Microsoft Office Word</Application>
  <DocSecurity>0</DocSecurity>
  <Lines>551</Lines>
  <Paragraphs>156</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36707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2025-03-07T10:10:00Z</dcterms:created>
  <dcterms:modified xsi:type="dcterms:W3CDTF">2025-03-07T10:10:00Z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10.0.0 Build [20241005]</vt:lpwstr>
  </property>
  <property fmtid="{D5CDD505-2E9C-101B-9397-08002B2CF9AE}" pid="4" name="LastEdited with">
    <vt:lpwstr>10.0.0 Build [20241202]</vt:lpwstr>
  </property>
  <property fmtid="{D5CDD505-2E9C-101B-9397-08002B2CF9AE}" pid="5" name="&lt;FdR&gt;">
    <vt:lpwstr>1313624</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AD\1313624PL.docx</vt:lpwstr>
  </property>
  <property fmtid="{D5CDD505-2E9C-101B-9397-08002B2CF9AE}" pid="11" name="PE number">
    <vt:lpwstr>765.284</vt:lpwstr>
  </property>
  <property fmtid="{D5CDD505-2E9C-101B-9397-08002B2CF9AE}" pid="12" name="SendToEpades">
    <vt:lpwstr>OK - 2025/02/13 16:23</vt:lpwstr>
  </property>
  <property fmtid="{D5CDD505-2E9C-101B-9397-08002B2CF9AE}" pid="13" name="SDLStudio">
    <vt:lpwstr/>
  </property>
  <property fmtid="{D5CDD505-2E9C-101B-9397-08002B2CF9AE}" pid="14" name="Bookout">
    <vt:lpwstr>OK - 2025/03/07 11:10</vt:lpwstr>
  </property>
</Properties>
</file>