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4A0" w:firstRow="1" w:lastRow="0" w:firstColumn="1" w:lastColumn="0" w:noHBand="0" w:noVBand="1"/>
      </w:tblPr>
      <w:tblGrid>
        <w:gridCol w:w="6804"/>
        <w:gridCol w:w="2488"/>
      </w:tblGrid>
      <w:tr w:rsidR="00062749" w14:paraId="3AB4ED60" w14:textId="77777777">
        <w:trPr>
          <w:trHeight w:hRule="exact" w:val="1420"/>
        </w:trPr>
        <w:tc>
          <w:tcPr>
            <w:tcW w:w="6804" w:type="dxa"/>
            <w:vAlign w:val="center"/>
          </w:tcPr>
          <w:p w14:paraId="3DC9AF5F" w14:textId="77777777" w:rsidR="00927196" w:rsidRPr="002A32EA" w:rsidRDefault="00A516D4">
            <w:pPr>
              <w:pStyle w:val="EPName"/>
            </w:pPr>
            <w:bookmarkStart w:id="0" w:name="_GoBack"/>
            <w:bookmarkEnd w:id="0"/>
            <w:r>
              <w:t>Evropski parlament</w:t>
            </w:r>
          </w:p>
          <w:p w14:paraId="7D59AA3F" w14:textId="77777777" w:rsidR="00927196" w:rsidRPr="002A32EA" w:rsidRDefault="00A516D4">
            <w:pPr>
              <w:pStyle w:val="EPTerm"/>
            </w:pPr>
            <w:r>
              <w:t>2024-2029</w:t>
            </w:r>
          </w:p>
        </w:tc>
        <w:tc>
          <w:tcPr>
            <w:tcW w:w="2488" w:type="dxa"/>
          </w:tcPr>
          <w:p w14:paraId="73E531D0" w14:textId="77777777" w:rsidR="00927196" w:rsidRPr="002A32EA" w:rsidRDefault="00A516D4">
            <w:pPr>
              <w:pStyle w:val="EPLogo"/>
            </w:pPr>
            <w:r w:rsidRPr="002A32EA">
              <w:rPr>
                <w:noProof/>
                <w:lang w:val="en-GB"/>
              </w:rPr>
              <w:drawing>
                <wp:inline distT="0" distB="0" distL="0" distR="0" wp14:anchorId="053B30F4" wp14:editId="4AD1C0B4">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7"/>
                          <a:stretch>
                            <a:fillRect/>
                          </a:stretch>
                        </pic:blipFill>
                        <pic:spPr>
                          <a:xfrm>
                            <a:off x="0" y="0"/>
                            <a:ext cx="1162812" cy="647954"/>
                          </a:xfrm>
                          <a:prstGeom prst="rect">
                            <a:avLst/>
                          </a:prstGeom>
                        </pic:spPr>
                      </pic:pic>
                    </a:graphicData>
                  </a:graphic>
                </wp:inline>
              </w:drawing>
            </w:r>
          </w:p>
        </w:tc>
      </w:tr>
    </w:tbl>
    <w:p w14:paraId="4A035C9B" w14:textId="77777777" w:rsidR="00927196" w:rsidRPr="002A32EA" w:rsidRDefault="00927196">
      <w:pPr>
        <w:pStyle w:val="LineTop"/>
      </w:pPr>
    </w:p>
    <w:p w14:paraId="7E049340" w14:textId="77777777" w:rsidR="00927196" w:rsidRPr="002A32EA" w:rsidRDefault="00A516D4">
      <w:pPr>
        <w:pStyle w:val="EPBody"/>
      </w:pPr>
      <w:r>
        <w:rPr>
          <w:rStyle w:val="HideTWBExt"/>
        </w:rPr>
        <w:t>&lt;Commission&gt;</w:t>
      </w:r>
      <w:r>
        <w:rPr>
          <w:rStyle w:val="HideTWBInt"/>
          <w:color w:val="auto"/>
        </w:rPr>
        <w:t>{LIBE}</w:t>
      </w:r>
      <w:r>
        <w:t>Odbor za državljanske svoboščine, pravosodje in notranje zadeve</w:t>
      </w:r>
      <w:r>
        <w:rPr>
          <w:rStyle w:val="HideTWBExt"/>
        </w:rPr>
        <w:t>&lt;/Commission&gt;</w:t>
      </w:r>
    </w:p>
    <w:p w14:paraId="10920280" w14:textId="77777777" w:rsidR="00927196" w:rsidRPr="002A32EA" w:rsidRDefault="00927196">
      <w:pPr>
        <w:pStyle w:val="LineBottom"/>
      </w:pPr>
    </w:p>
    <w:p w14:paraId="4C76B2E7" w14:textId="77777777" w:rsidR="00927196" w:rsidRPr="002A32EA" w:rsidRDefault="00A516D4">
      <w:pPr>
        <w:pStyle w:val="CoverReference"/>
      </w:pPr>
      <w:r>
        <w:rPr>
          <w:rStyle w:val="HideTWBExt"/>
        </w:rPr>
        <w:t>&lt;RefProc&gt;</w:t>
      </w:r>
      <w:r>
        <w:t>2024/2108</w:t>
      </w:r>
      <w:r>
        <w:rPr>
          <w:rStyle w:val="HideTWBExt"/>
        </w:rPr>
        <w:t>&lt;/RefProc&gt;&lt;RefTypeProc&gt;</w:t>
      </w:r>
      <w:r>
        <w:t>(INI)</w:t>
      </w:r>
      <w:r>
        <w:rPr>
          <w:rStyle w:val="HideTWBExt"/>
        </w:rPr>
        <w:t>&lt;/RefTypeProc&gt;</w:t>
      </w:r>
    </w:p>
    <w:p w14:paraId="00BA2FEC" w14:textId="77777777" w:rsidR="00927196" w:rsidRPr="002A32EA" w:rsidRDefault="00A516D4">
      <w:pPr>
        <w:pStyle w:val="CoverDate"/>
      </w:pPr>
      <w:r>
        <w:rPr>
          <w:rStyle w:val="HideTWBExt"/>
        </w:rPr>
        <w:t>&lt;Date&gt;</w:t>
      </w:r>
      <w:r>
        <w:rPr>
          <w:rStyle w:val="HideTWBInt"/>
          <w:color w:val="auto"/>
        </w:rPr>
        <w:t>{16/07/2025}</w:t>
      </w:r>
      <w:r>
        <w:t>16.7.2025</w:t>
      </w:r>
      <w:r>
        <w:rPr>
          <w:rStyle w:val="HideTWBExt"/>
        </w:rPr>
        <w:t>&lt;/Date&gt;</w:t>
      </w:r>
    </w:p>
    <w:p w14:paraId="01CD28B6" w14:textId="77777777" w:rsidR="00927196" w:rsidRPr="002A32EA" w:rsidRDefault="00A516D4">
      <w:pPr>
        <w:pStyle w:val="CoverDocType24a"/>
      </w:pPr>
      <w:r>
        <w:rPr>
          <w:rStyle w:val="HideTWBExt"/>
        </w:rPr>
        <w:t>&lt;TitreType&gt;</w:t>
      </w:r>
      <w:r>
        <w:t>MNENJE</w:t>
      </w:r>
      <w:r>
        <w:rPr>
          <w:rStyle w:val="HideTWBExt"/>
        </w:rPr>
        <w:t>&lt;/TitreType&gt;</w:t>
      </w:r>
    </w:p>
    <w:p w14:paraId="369F7588" w14:textId="77777777" w:rsidR="00927196" w:rsidRPr="002A32EA" w:rsidRDefault="00A516D4">
      <w:pPr>
        <w:pStyle w:val="CoverNormal24a"/>
      </w:pPr>
      <w:r>
        <w:rPr>
          <w:rStyle w:val="HideTWBExt"/>
        </w:rPr>
        <w:t>&lt;CommissionResp&gt;</w:t>
      </w:r>
      <w:r>
        <w:t>Odbora za državljanske svoboščine, pravosodje in notranje zadeve</w:t>
      </w:r>
      <w:r>
        <w:rPr>
          <w:rStyle w:val="HideTWBExt"/>
        </w:rPr>
        <w:t>&lt;/CommissionResp&gt;</w:t>
      </w:r>
    </w:p>
    <w:p w14:paraId="1E6CB637" w14:textId="77777777" w:rsidR="00927196" w:rsidRPr="002A32EA" w:rsidRDefault="00A516D4">
      <w:pPr>
        <w:pStyle w:val="CoverNormal24a"/>
      </w:pPr>
      <w:r>
        <w:rPr>
          <w:rStyle w:val="HideTWBExt"/>
        </w:rPr>
        <w:t>&lt;CommissionInt&gt;</w:t>
      </w:r>
      <w:r>
        <w:t>za Odbor za zunanje zadeve in Odbor za mednarodno trgovino</w:t>
      </w:r>
      <w:r>
        <w:rPr>
          <w:rStyle w:val="HideTWBExt"/>
        </w:rPr>
        <w:t>&lt;/CommissionInt&gt;</w:t>
      </w:r>
    </w:p>
    <w:p w14:paraId="4B971201" w14:textId="77777777" w:rsidR="00927196" w:rsidRPr="002A32EA" w:rsidRDefault="00A516D4">
      <w:pPr>
        <w:pStyle w:val="CoverNormal"/>
      </w:pPr>
      <w:r>
        <w:rPr>
          <w:rStyle w:val="HideTWBExt"/>
        </w:rPr>
        <w:t>&lt;Titre&gt;</w:t>
      </w:r>
      <w:r>
        <w:t>o izvajanju sporazuma o trgovini in sodelovanju med EU in Združenim kraljestvom</w:t>
      </w:r>
      <w:r>
        <w:rPr>
          <w:rStyle w:val="HideTWBExt"/>
        </w:rPr>
        <w:t>&lt;/Titre&gt;</w:t>
      </w:r>
    </w:p>
    <w:p w14:paraId="7D9A88C6" w14:textId="77777777" w:rsidR="00927196" w:rsidRPr="002A32EA" w:rsidRDefault="00A516D4">
      <w:pPr>
        <w:pStyle w:val="CoverNormal24a"/>
      </w:pPr>
      <w:r>
        <w:rPr>
          <w:rStyle w:val="HideTWBExt"/>
        </w:rPr>
        <w:t>&lt;DocRef&gt;</w:t>
      </w:r>
      <w:r>
        <w:t>(2024/2108(INI))</w:t>
      </w:r>
      <w:r>
        <w:rPr>
          <w:rStyle w:val="HideTWBExt"/>
        </w:rPr>
        <w:t>&lt;/DocRef&gt;</w:t>
      </w:r>
    </w:p>
    <w:p w14:paraId="2C7E2105" w14:textId="77777777" w:rsidR="00927196" w:rsidRPr="002A32EA" w:rsidRDefault="00A516D4">
      <w:pPr>
        <w:pStyle w:val="CoverNormal24a"/>
      </w:pPr>
      <w:r>
        <w:t xml:space="preserve">Pripravljavec mnenja: </w:t>
      </w:r>
      <w:r>
        <w:rPr>
          <w:rStyle w:val="HideTWBExt"/>
        </w:rPr>
        <w:t>&lt;Depute&gt;</w:t>
      </w:r>
      <w:r>
        <w:t>Loránt Vincze</w:t>
      </w:r>
      <w:r>
        <w:rPr>
          <w:rStyle w:val="HideTWBExt"/>
        </w:rPr>
        <w:t>&lt;/Depute&gt;</w:t>
      </w:r>
    </w:p>
    <w:p w14:paraId="7DC597DA" w14:textId="77777777" w:rsidR="00927196" w:rsidRPr="002A32EA" w:rsidRDefault="00A516D4">
      <w:r>
        <w:br w:type="page"/>
      </w:r>
      <w:r>
        <w:lastRenderedPageBreak/>
        <w:t>PA_NonLeg</w:t>
      </w:r>
    </w:p>
    <w:p w14:paraId="205F7AA3" w14:textId="77777777" w:rsidR="00927196" w:rsidRPr="002A32EA" w:rsidRDefault="00927196">
      <w:pPr>
        <w:sectPr w:rsidR="00927196" w:rsidRPr="002A32EA" w:rsidSect="00112453">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417" w:left="1417" w:header="1134" w:footer="567" w:gutter="0"/>
          <w:cols w:space="708"/>
          <w:titlePg/>
          <w:docGrid w:linePitch="360"/>
        </w:sectPr>
      </w:pPr>
    </w:p>
    <w:p w14:paraId="09F07D2F" w14:textId="77777777" w:rsidR="00927196" w:rsidRPr="002A32EA" w:rsidRDefault="00A516D4">
      <w:pPr>
        <w:pStyle w:val="PageHeadingNotTOC"/>
      </w:pPr>
      <w:r>
        <w:t>PREDLOGI SPREMEMB</w:t>
      </w:r>
    </w:p>
    <w:p w14:paraId="69FF2FDD" w14:textId="77777777" w:rsidR="002A32EA" w:rsidRPr="002A32EA" w:rsidRDefault="00A516D4">
      <w:pPr>
        <w:pStyle w:val="Normal12a"/>
      </w:pPr>
      <w:r>
        <w:t>Odbor za državljanske svoboščine, pravosodje in notranje zadeve predlaga Odboru za zunanje zadeve in Odboru za mednarodno trgovino kot pristojnima odboroma naslednje:</w:t>
      </w:r>
    </w:p>
    <w:p w14:paraId="7DDC2F89" w14:textId="77777777" w:rsidR="002A32EA" w:rsidRPr="002A32EA" w:rsidRDefault="00A516D4" w:rsidP="002A32EA">
      <w:pPr>
        <w:pStyle w:val="AMNumberTabs0"/>
        <w:keepNext/>
      </w:pPr>
      <w:r>
        <w:rPr>
          <w:rStyle w:val="HideTWBExt"/>
        </w:rPr>
        <w:t>&lt;RepeatBlock-Amend&gt;&lt;Amend&gt;</w:t>
      </w:r>
      <w:r>
        <w:t>Predlog spremembe</w:t>
      </w:r>
      <w:r>
        <w:tab/>
      </w:r>
      <w:r>
        <w:tab/>
      </w:r>
      <w:r>
        <w:rPr>
          <w:rStyle w:val="HideTWBExt"/>
        </w:rPr>
        <w:t>&lt;NumAm&gt;</w:t>
      </w:r>
      <w:r>
        <w:t>1</w:t>
      </w:r>
      <w:r>
        <w:rPr>
          <w:rStyle w:val="HideTWBExt"/>
        </w:rPr>
        <w:t>&lt;/NumAm&gt;</w:t>
      </w:r>
    </w:p>
    <w:p w14:paraId="03189D73" w14:textId="77777777" w:rsidR="002A32EA" w:rsidRPr="002A32EA" w:rsidRDefault="00A516D4" w:rsidP="002A32EA">
      <w:pPr>
        <w:pStyle w:val="AMNumberTabs0"/>
        <w:keepNext/>
      </w:pPr>
      <w:r>
        <w:rPr>
          <w:rStyle w:val="HideTWBExt"/>
        </w:rPr>
        <w:t>&lt;</w:t>
      </w:r>
      <w:r>
        <w:rPr>
          <w:rStyle w:val="HideTWBExt"/>
          <w:b w:val="0"/>
        </w:rPr>
        <w:t>DocAmend</w:t>
      </w:r>
      <w:r>
        <w:rPr>
          <w:rStyle w:val="HideTWBExt"/>
        </w:rPr>
        <w:t>&gt;</w:t>
      </w:r>
      <w:r>
        <w:t>Predlog resolucije</w:t>
      </w:r>
      <w:r>
        <w:rPr>
          <w:rStyle w:val="HideTWBExt"/>
        </w:rPr>
        <w:t>&lt;/DocAmend&gt;</w:t>
      </w:r>
    </w:p>
    <w:p w14:paraId="625CEFDC" w14:textId="77777777" w:rsidR="002A32EA" w:rsidRPr="002A32EA" w:rsidRDefault="00A516D4" w:rsidP="002A32EA">
      <w:pPr>
        <w:pStyle w:val="NormalBold"/>
      </w:pPr>
      <w:r>
        <w:rPr>
          <w:rStyle w:val="HideTWBExt"/>
        </w:rPr>
        <w:t>&lt;Article&gt;</w:t>
      </w:r>
      <w:r>
        <w:t>Odstavek 36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749" w14:paraId="72CC3828" w14:textId="77777777" w:rsidTr="002C64D6">
        <w:trPr>
          <w:jc w:val="center"/>
        </w:trPr>
        <w:tc>
          <w:tcPr>
            <w:tcW w:w="9752" w:type="dxa"/>
            <w:gridSpan w:val="2"/>
          </w:tcPr>
          <w:p w14:paraId="226AB5C6" w14:textId="77777777" w:rsidR="002A32EA" w:rsidRPr="002A32EA" w:rsidRDefault="002A32EA" w:rsidP="002C64D6">
            <w:pPr>
              <w:keepNext/>
            </w:pPr>
          </w:p>
        </w:tc>
      </w:tr>
      <w:tr w:rsidR="00062749" w14:paraId="38B54DC8" w14:textId="77777777" w:rsidTr="002C64D6">
        <w:trPr>
          <w:jc w:val="center"/>
        </w:trPr>
        <w:tc>
          <w:tcPr>
            <w:tcW w:w="4876" w:type="dxa"/>
            <w:hideMark/>
          </w:tcPr>
          <w:p w14:paraId="1F933E76" w14:textId="77777777" w:rsidR="002A32EA" w:rsidRPr="002A32EA" w:rsidRDefault="00A516D4" w:rsidP="002C64D6">
            <w:pPr>
              <w:pStyle w:val="ColumnHeading"/>
              <w:keepNext/>
            </w:pPr>
            <w:r>
              <w:t>Predlog resolucije</w:t>
            </w:r>
          </w:p>
        </w:tc>
        <w:tc>
          <w:tcPr>
            <w:tcW w:w="4876" w:type="dxa"/>
            <w:hideMark/>
          </w:tcPr>
          <w:p w14:paraId="6ECFE5F1" w14:textId="77777777" w:rsidR="002A32EA" w:rsidRPr="002A32EA" w:rsidRDefault="00A516D4" w:rsidP="002C64D6">
            <w:pPr>
              <w:pStyle w:val="ColumnHeading"/>
              <w:keepNext/>
            </w:pPr>
            <w:r>
              <w:t>Predlog spremembe</w:t>
            </w:r>
          </w:p>
        </w:tc>
      </w:tr>
      <w:tr w:rsidR="00062749" w14:paraId="3DFE4E84" w14:textId="77777777" w:rsidTr="002C64D6">
        <w:trPr>
          <w:jc w:val="center"/>
        </w:trPr>
        <w:tc>
          <w:tcPr>
            <w:tcW w:w="4876" w:type="dxa"/>
            <w:hideMark/>
          </w:tcPr>
          <w:p w14:paraId="1E75B59E" w14:textId="77777777" w:rsidR="002A32EA" w:rsidRPr="002A32EA" w:rsidRDefault="00A516D4" w:rsidP="002C64D6">
            <w:pPr>
              <w:pStyle w:val="Normal6"/>
            </w:pPr>
            <w:r>
              <w:t>36.</w:t>
            </w:r>
            <w:r>
              <w:tab/>
            </w:r>
            <w:r>
              <w:rPr>
                <w:b/>
                <w:i/>
              </w:rPr>
              <w:t>[odbori za mnenje]</w:t>
            </w:r>
            <w:r>
              <w:t>;</w:t>
            </w:r>
          </w:p>
        </w:tc>
        <w:tc>
          <w:tcPr>
            <w:tcW w:w="4876" w:type="dxa"/>
            <w:hideMark/>
          </w:tcPr>
          <w:p w14:paraId="24C53E93" w14:textId="77777777" w:rsidR="002A32EA" w:rsidRPr="002A32EA" w:rsidRDefault="00A516D4" w:rsidP="002C64D6">
            <w:pPr>
              <w:pStyle w:val="Normal6"/>
              <w:rPr>
                <w:szCs w:val="24"/>
              </w:rPr>
            </w:pPr>
            <w:r>
              <w:t>36.</w:t>
            </w:r>
            <w:r>
              <w:rPr>
                <w:b/>
                <w:i/>
              </w:rPr>
              <w:tab/>
              <w:t>pozdravlja odločitev vlade Združenega kraljestva, da na novo zastavi odnose z EU, in izraža zadovoljstvo, ker v okviru tega novega pristopa varnost državljanov ostaja ključnega pomena;</w:t>
            </w:r>
            <w:r>
              <w:t xml:space="preserve"> </w:t>
            </w:r>
            <w:r>
              <w:rPr>
                <w:b/>
                <w:i/>
              </w:rPr>
              <w:t>ponovno poudarja pomen nadaljnjega celovitega izvajanja veljavnih sporazumov med Združenim kraljestvom in EU, vključno z Velikonočnim sporazumom in Windsorskim okvirom; pozdravlja, da sta skupna izjava in skupni dogovor o prenovljeni agendi za sodelovanje med EU in Združenim kraljestvom, ki sta ju Združeno kraljestvo in Komisija sprejela na prvem vrhu med EU in Združenim kraljestvom 19. maja 2025, spodbudila okrepljeno sodelovanje na področju kazenskega pregona in pravosodnega sodelovanja v kazenskih zadevah, okrepljeno sodelovanje v zvezi s tveganji in grožnjami, povezanimi z drogami, ter poglobljeno sodelovanje pri izzivih, ki jih prinašajo nedovoljene migracije;</w:t>
            </w:r>
          </w:p>
        </w:tc>
      </w:tr>
    </w:tbl>
    <w:p w14:paraId="6016F1DF" w14:textId="77777777" w:rsidR="002A32EA" w:rsidRPr="002A32EA" w:rsidRDefault="00A516D4" w:rsidP="002A32EA">
      <w:pPr>
        <w:pStyle w:val="Normal12a"/>
      </w:pPr>
      <w:r>
        <w:rPr>
          <w:rStyle w:val="HideTWBExt"/>
          <w:b/>
        </w:rPr>
        <w:t>&lt;/Amend&gt;</w:t>
      </w:r>
    </w:p>
    <w:p w14:paraId="6B49E2A2" w14:textId="77777777" w:rsidR="002A32EA" w:rsidRPr="002A32EA" w:rsidRDefault="00A516D4" w:rsidP="002A32EA">
      <w:pPr>
        <w:pStyle w:val="AMNumberTabs0"/>
        <w:keepNext/>
      </w:pPr>
      <w:r>
        <w:rPr>
          <w:rStyle w:val="HideTWBExt"/>
        </w:rPr>
        <w:t>&lt;Amend&gt;</w:t>
      </w:r>
      <w:r>
        <w:t>Predlog spremembe</w:t>
      </w:r>
      <w:r>
        <w:tab/>
      </w:r>
      <w:r>
        <w:tab/>
      </w:r>
      <w:r>
        <w:rPr>
          <w:rStyle w:val="HideTWBExt"/>
        </w:rPr>
        <w:t>&lt;NumAm&gt;</w:t>
      </w:r>
      <w:r>
        <w:t>2</w:t>
      </w:r>
      <w:r>
        <w:rPr>
          <w:rStyle w:val="HideTWBExt"/>
        </w:rPr>
        <w:t>&lt;/NumAm&gt;</w:t>
      </w:r>
    </w:p>
    <w:p w14:paraId="0C884CE7" w14:textId="77777777" w:rsidR="002A32EA" w:rsidRPr="002A32EA" w:rsidRDefault="00A516D4" w:rsidP="002A32EA">
      <w:pPr>
        <w:pStyle w:val="AMNumberTabs0"/>
        <w:keepNext/>
      </w:pPr>
      <w:r>
        <w:rPr>
          <w:rStyle w:val="HideTWBExt"/>
        </w:rPr>
        <w:t>&lt;</w:t>
      </w:r>
      <w:r>
        <w:rPr>
          <w:rStyle w:val="HideTWBExt"/>
          <w:b w:val="0"/>
        </w:rPr>
        <w:t>DocAmend</w:t>
      </w:r>
      <w:r>
        <w:rPr>
          <w:rStyle w:val="HideTWBExt"/>
        </w:rPr>
        <w:t>&gt;</w:t>
      </w:r>
      <w:r>
        <w:t>Predlog resolucije</w:t>
      </w:r>
      <w:r>
        <w:rPr>
          <w:rStyle w:val="HideTWBExt"/>
        </w:rPr>
        <w:t>&lt;/DocAmend&gt;</w:t>
      </w:r>
    </w:p>
    <w:p w14:paraId="63FAEAB2" w14:textId="77777777" w:rsidR="002A32EA" w:rsidRPr="002A32EA" w:rsidRDefault="00A516D4" w:rsidP="002A32EA">
      <w:pPr>
        <w:pStyle w:val="NormalBold"/>
      </w:pPr>
      <w:r>
        <w:rPr>
          <w:rStyle w:val="HideTWBExt"/>
        </w:rPr>
        <w:t>&lt;Article&gt;</w:t>
      </w:r>
      <w:r>
        <w:t>Odstavek 36 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749" w14:paraId="2C909E1D" w14:textId="77777777" w:rsidTr="002C64D6">
        <w:trPr>
          <w:jc w:val="center"/>
        </w:trPr>
        <w:tc>
          <w:tcPr>
            <w:tcW w:w="9752" w:type="dxa"/>
            <w:gridSpan w:val="2"/>
          </w:tcPr>
          <w:p w14:paraId="2C0A9205" w14:textId="77777777" w:rsidR="002A32EA" w:rsidRPr="002A32EA" w:rsidRDefault="002A32EA" w:rsidP="002C64D6">
            <w:pPr>
              <w:keepNext/>
            </w:pPr>
          </w:p>
        </w:tc>
      </w:tr>
      <w:tr w:rsidR="00062749" w14:paraId="04447EE1" w14:textId="77777777" w:rsidTr="002C64D6">
        <w:trPr>
          <w:jc w:val="center"/>
        </w:trPr>
        <w:tc>
          <w:tcPr>
            <w:tcW w:w="4876" w:type="dxa"/>
            <w:hideMark/>
          </w:tcPr>
          <w:p w14:paraId="430E7F46" w14:textId="77777777" w:rsidR="002A32EA" w:rsidRPr="002A32EA" w:rsidRDefault="00A516D4" w:rsidP="002C64D6">
            <w:pPr>
              <w:pStyle w:val="ColumnHeading"/>
              <w:keepNext/>
            </w:pPr>
            <w:r>
              <w:t>Predlog resolucije</w:t>
            </w:r>
          </w:p>
        </w:tc>
        <w:tc>
          <w:tcPr>
            <w:tcW w:w="4876" w:type="dxa"/>
            <w:hideMark/>
          </w:tcPr>
          <w:p w14:paraId="1E3577E0" w14:textId="77777777" w:rsidR="002A32EA" w:rsidRPr="002A32EA" w:rsidRDefault="00A516D4" w:rsidP="002C64D6">
            <w:pPr>
              <w:pStyle w:val="ColumnHeading"/>
              <w:keepNext/>
            </w:pPr>
            <w:r>
              <w:t>Predlog spremembe</w:t>
            </w:r>
          </w:p>
        </w:tc>
      </w:tr>
      <w:tr w:rsidR="00062749" w14:paraId="5D33F838" w14:textId="77777777" w:rsidTr="002C64D6">
        <w:trPr>
          <w:jc w:val="center"/>
        </w:trPr>
        <w:tc>
          <w:tcPr>
            <w:tcW w:w="4876" w:type="dxa"/>
          </w:tcPr>
          <w:p w14:paraId="52C4418C" w14:textId="77777777" w:rsidR="002A32EA" w:rsidRPr="002A32EA" w:rsidRDefault="002A32EA" w:rsidP="002C64D6">
            <w:pPr>
              <w:pStyle w:val="Normal6"/>
            </w:pPr>
          </w:p>
        </w:tc>
        <w:tc>
          <w:tcPr>
            <w:tcW w:w="4876" w:type="dxa"/>
            <w:hideMark/>
          </w:tcPr>
          <w:p w14:paraId="4E138075" w14:textId="77777777" w:rsidR="002A32EA" w:rsidRPr="002A32EA" w:rsidRDefault="00A516D4" w:rsidP="002C64D6">
            <w:pPr>
              <w:pStyle w:val="Normal6"/>
              <w:rPr>
                <w:szCs w:val="24"/>
              </w:rPr>
            </w:pPr>
            <w:r>
              <w:rPr>
                <w:b/>
                <w:i/>
              </w:rPr>
              <w:t>36a.</w:t>
            </w:r>
            <w:r>
              <w:rPr>
                <w:b/>
                <w:i/>
              </w:rPr>
              <w:tab/>
              <w:t>pozdravlja vzajemno zavezanost spoštovanju mednarodnega prava in Evropske konvencije o človekovih pravicah (v nadaljnjem besedilu: EKČP), ki sta jo izrazila predsednik vlade Združenega kraljestva in predsednica Komisije v skupni izjavi z dne 2. oktobra 2024 o krepitvi strateškega sodelovanja in v skupni izjavi z vrha med EU in Združenim kraljestvom z dne 19. maja 2025; opozarja, da so splošni pogoji za uporabo tretjega dela, kot je določeno v členu 524(1) sporazuma o trgovini in sodelovanju, odraz dolgoletnega spoštovanja demokracije, pravne države ter varstva temeljnih pravic in svoboščin posameznikov, tudi kot je določeno v Splošni deklaraciji človekovih pravic in EKČP, ter tudi pomen, ki se pripisuje uveljavljanju pravic in svoboščin iz EKČP na nacionalni ravni; ponovno poudarja, da je treba te pogoje v celoti zagotoviti, da bosta omogočena uporaba in izvajanje sporazuma o trgovini in sodelovanju;</w:t>
            </w:r>
          </w:p>
        </w:tc>
      </w:tr>
    </w:tbl>
    <w:p w14:paraId="2DC675E1" w14:textId="77777777" w:rsidR="002A32EA" w:rsidRPr="002A32EA" w:rsidRDefault="00A516D4" w:rsidP="002A32EA">
      <w:pPr>
        <w:pStyle w:val="Normal12a"/>
      </w:pPr>
      <w:r>
        <w:rPr>
          <w:rStyle w:val="HideTWBExt"/>
          <w:b/>
        </w:rPr>
        <w:t>&lt;/Amend&gt;</w:t>
      </w:r>
    </w:p>
    <w:p w14:paraId="31A5040B" w14:textId="77777777" w:rsidR="002A32EA" w:rsidRPr="002A32EA" w:rsidRDefault="002A32EA" w:rsidP="002A32EA">
      <w:pPr>
        <w:pStyle w:val="Olang"/>
        <w:rPr>
          <w:szCs w:val="24"/>
        </w:rPr>
      </w:pPr>
    </w:p>
    <w:p w14:paraId="2298E287" w14:textId="77777777" w:rsidR="002A32EA" w:rsidRPr="002A32EA" w:rsidRDefault="00A516D4" w:rsidP="002A32EA">
      <w:pPr>
        <w:pStyle w:val="AMNumberTabs0"/>
        <w:keepNext/>
      </w:pPr>
      <w:r>
        <w:rPr>
          <w:rStyle w:val="HideTWBExt"/>
          <w:b w:val="0"/>
        </w:rPr>
        <w:t>&lt;Amend&gt;</w:t>
      </w:r>
      <w:r>
        <w:t>Predlog spremembe</w:t>
      </w:r>
      <w:r>
        <w:tab/>
      </w:r>
      <w:r>
        <w:tab/>
      </w:r>
      <w:r>
        <w:tab/>
      </w:r>
      <w:r>
        <w:rPr>
          <w:rStyle w:val="HideTWBExt"/>
          <w:b w:val="0"/>
        </w:rPr>
        <w:t>&lt;NumAm&gt;</w:t>
      </w:r>
      <w:r>
        <w:t>3</w:t>
      </w:r>
      <w:r>
        <w:rPr>
          <w:rStyle w:val="HideTWBExt"/>
          <w:b w:val="0"/>
        </w:rPr>
        <w:t>&lt;/NumAm&gt;</w:t>
      </w:r>
    </w:p>
    <w:p w14:paraId="5E372849" w14:textId="77777777" w:rsidR="002A32EA" w:rsidRPr="002A32EA" w:rsidRDefault="00A516D4" w:rsidP="002A32EA">
      <w:pPr>
        <w:pStyle w:val="AMNumberTabs0"/>
        <w:keepNext/>
      </w:pPr>
      <w:r>
        <w:rPr>
          <w:rStyle w:val="HideTWBExt"/>
          <w:b w:val="0"/>
        </w:rPr>
        <w:t>&lt;DocAmend&gt;</w:t>
      </w:r>
      <w:r>
        <w:t>Predlog resolucije</w:t>
      </w:r>
      <w:r>
        <w:rPr>
          <w:rStyle w:val="HideTWBExt"/>
          <w:b w:val="0"/>
        </w:rPr>
        <w:t>&lt;/DocAmend&gt;</w:t>
      </w:r>
    </w:p>
    <w:p w14:paraId="05117128" w14:textId="77777777" w:rsidR="002A32EA" w:rsidRPr="002A32EA" w:rsidRDefault="00A516D4" w:rsidP="002A32EA">
      <w:pPr>
        <w:pStyle w:val="NormalBold"/>
      </w:pPr>
      <w:r>
        <w:rPr>
          <w:rStyle w:val="HideTWBExt"/>
          <w:b w:val="0"/>
        </w:rPr>
        <w:t>&lt;Article&gt;</w:t>
      </w:r>
      <w:r>
        <w:t>Odstavek 36 b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749" w14:paraId="63EC242B" w14:textId="77777777" w:rsidTr="002C64D6">
        <w:trPr>
          <w:jc w:val="center"/>
        </w:trPr>
        <w:tc>
          <w:tcPr>
            <w:tcW w:w="9752" w:type="dxa"/>
            <w:gridSpan w:val="2"/>
          </w:tcPr>
          <w:p w14:paraId="092ECFF2" w14:textId="77777777" w:rsidR="002A32EA" w:rsidRPr="002A32EA" w:rsidRDefault="002A32EA" w:rsidP="002C64D6">
            <w:pPr>
              <w:keepNext/>
            </w:pPr>
          </w:p>
        </w:tc>
      </w:tr>
      <w:tr w:rsidR="00062749" w14:paraId="59962EDF" w14:textId="77777777" w:rsidTr="002C64D6">
        <w:trPr>
          <w:jc w:val="center"/>
        </w:trPr>
        <w:tc>
          <w:tcPr>
            <w:tcW w:w="4876" w:type="dxa"/>
            <w:hideMark/>
          </w:tcPr>
          <w:p w14:paraId="75347ABB" w14:textId="77777777" w:rsidR="002A32EA" w:rsidRPr="002A32EA" w:rsidRDefault="00A516D4" w:rsidP="002C64D6">
            <w:pPr>
              <w:pStyle w:val="ColumnHeading"/>
              <w:keepNext/>
            </w:pPr>
            <w:r>
              <w:t>Predlog resolucije</w:t>
            </w:r>
          </w:p>
        </w:tc>
        <w:tc>
          <w:tcPr>
            <w:tcW w:w="4876" w:type="dxa"/>
            <w:hideMark/>
          </w:tcPr>
          <w:p w14:paraId="79555476" w14:textId="77777777" w:rsidR="002A32EA" w:rsidRPr="002A32EA" w:rsidRDefault="00A516D4" w:rsidP="002C64D6">
            <w:pPr>
              <w:pStyle w:val="ColumnHeading"/>
              <w:keepNext/>
            </w:pPr>
            <w:r>
              <w:t>Predlog spremembe</w:t>
            </w:r>
          </w:p>
        </w:tc>
      </w:tr>
      <w:tr w:rsidR="00062749" w14:paraId="136D29A4" w14:textId="77777777" w:rsidTr="002C64D6">
        <w:trPr>
          <w:jc w:val="center"/>
        </w:trPr>
        <w:tc>
          <w:tcPr>
            <w:tcW w:w="4876" w:type="dxa"/>
          </w:tcPr>
          <w:p w14:paraId="71911286" w14:textId="77777777" w:rsidR="002A32EA" w:rsidRPr="002A32EA" w:rsidRDefault="002A32EA" w:rsidP="002C64D6">
            <w:pPr>
              <w:pStyle w:val="Normal6"/>
            </w:pPr>
          </w:p>
        </w:tc>
        <w:tc>
          <w:tcPr>
            <w:tcW w:w="4876" w:type="dxa"/>
            <w:hideMark/>
          </w:tcPr>
          <w:p w14:paraId="6580A600" w14:textId="77777777" w:rsidR="002A32EA" w:rsidRPr="002A32EA" w:rsidRDefault="00A516D4" w:rsidP="002C64D6">
            <w:pPr>
              <w:pStyle w:val="Normal6"/>
              <w:rPr>
                <w:szCs w:val="24"/>
              </w:rPr>
            </w:pPr>
            <w:r>
              <w:rPr>
                <w:b/>
                <w:i/>
              </w:rPr>
              <w:t>36b.</w:t>
            </w:r>
            <w:r>
              <w:rPr>
                <w:b/>
                <w:i/>
              </w:rPr>
              <w:tab/>
              <w:t>pozdravlja zaveze iz skupne izjave in skupnega dogovora, da se tesneje sodeluje v boju proti trgovini z ljudmi in tihotapljenju z njimi, trgovini s prepovedanimi drogami, hudemu in mednarodnemu organiziranemu kriminalu ter terorizmu in nasilnemu ekstremizmu, tudi s spletno razsežnostjo, in sicer s hitrejšim, učinkovitejšim in poglobljenim izvajanjem tretjega dela sporazuma o trgovini in sodelovanju ter s celovitim izkoriščanjem in razvojem njegovega potenciala;</w:t>
            </w:r>
          </w:p>
        </w:tc>
      </w:tr>
    </w:tbl>
    <w:p w14:paraId="5DE331AC" w14:textId="77777777" w:rsidR="002A32EA" w:rsidRPr="002A32EA" w:rsidRDefault="00A516D4" w:rsidP="002A32EA">
      <w:pPr>
        <w:pStyle w:val="Normal12a"/>
      </w:pPr>
      <w:r>
        <w:rPr>
          <w:rStyle w:val="HideTWBExt"/>
          <w:b/>
        </w:rPr>
        <w:t>&lt;/Amend&gt;</w:t>
      </w:r>
    </w:p>
    <w:p w14:paraId="6FF57D0E" w14:textId="77777777" w:rsidR="002A32EA" w:rsidRPr="002A32EA" w:rsidRDefault="002A32EA" w:rsidP="002A32EA">
      <w:pPr>
        <w:pStyle w:val="Normal12a"/>
      </w:pPr>
    </w:p>
    <w:p w14:paraId="37CB7FAB" w14:textId="77777777" w:rsidR="002A32EA" w:rsidRPr="002A32EA" w:rsidRDefault="00A516D4" w:rsidP="002A32EA">
      <w:pPr>
        <w:pStyle w:val="AMNumberTabs0"/>
        <w:keepNext/>
      </w:pPr>
      <w:r>
        <w:rPr>
          <w:rStyle w:val="HideTWBExt"/>
          <w:b w:val="0"/>
        </w:rPr>
        <w:t>&lt;Amend&gt;</w:t>
      </w:r>
      <w:r>
        <w:t>Predlog spremembe</w:t>
      </w:r>
      <w:r>
        <w:tab/>
      </w:r>
      <w:r>
        <w:tab/>
      </w:r>
      <w:r>
        <w:rPr>
          <w:rStyle w:val="HideTWBExt"/>
          <w:b w:val="0"/>
        </w:rPr>
        <w:t>&lt;NumAm&gt;</w:t>
      </w:r>
      <w:r>
        <w:t>4</w:t>
      </w:r>
      <w:r>
        <w:rPr>
          <w:rStyle w:val="HideTWBExt"/>
          <w:b w:val="0"/>
        </w:rPr>
        <w:t>&lt;/NumAm&gt;</w:t>
      </w:r>
    </w:p>
    <w:p w14:paraId="14ED8716" w14:textId="77777777" w:rsidR="002A32EA" w:rsidRPr="002A32EA" w:rsidRDefault="00A516D4" w:rsidP="002A32EA">
      <w:pPr>
        <w:pStyle w:val="AMNumberTabs0"/>
        <w:keepNext/>
      </w:pPr>
      <w:r>
        <w:rPr>
          <w:rStyle w:val="HideTWBExt"/>
          <w:b w:val="0"/>
        </w:rPr>
        <w:t>&lt;DocAmend&gt;</w:t>
      </w:r>
      <w:r>
        <w:t>Predlog resolucije</w:t>
      </w:r>
      <w:r>
        <w:rPr>
          <w:rStyle w:val="HideTWBExt"/>
          <w:b w:val="0"/>
        </w:rPr>
        <w:t>&lt;/DocAmend&gt;</w:t>
      </w:r>
    </w:p>
    <w:p w14:paraId="776400CD" w14:textId="77777777" w:rsidR="002A32EA" w:rsidRPr="002A32EA" w:rsidRDefault="00A516D4" w:rsidP="002A32EA">
      <w:pPr>
        <w:pStyle w:val="NormalBold"/>
      </w:pPr>
      <w:r>
        <w:rPr>
          <w:rStyle w:val="HideTWBExt"/>
          <w:b w:val="0"/>
        </w:rPr>
        <w:t>&lt;Article&gt;</w:t>
      </w:r>
      <w:r>
        <w:t>Odstavek 36 c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749" w14:paraId="05280147" w14:textId="77777777" w:rsidTr="002C64D6">
        <w:trPr>
          <w:jc w:val="center"/>
        </w:trPr>
        <w:tc>
          <w:tcPr>
            <w:tcW w:w="9752" w:type="dxa"/>
            <w:gridSpan w:val="2"/>
          </w:tcPr>
          <w:p w14:paraId="527F9FF3" w14:textId="77777777" w:rsidR="002A32EA" w:rsidRPr="002A32EA" w:rsidRDefault="002A32EA" w:rsidP="002C64D6">
            <w:pPr>
              <w:keepNext/>
            </w:pPr>
          </w:p>
        </w:tc>
      </w:tr>
      <w:tr w:rsidR="00062749" w14:paraId="79FE5F71" w14:textId="77777777" w:rsidTr="002C64D6">
        <w:trPr>
          <w:jc w:val="center"/>
        </w:trPr>
        <w:tc>
          <w:tcPr>
            <w:tcW w:w="4876" w:type="dxa"/>
            <w:hideMark/>
          </w:tcPr>
          <w:p w14:paraId="6AC5A5A8" w14:textId="77777777" w:rsidR="002A32EA" w:rsidRPr="002A32EA" w:rsidRDefault="00A516D4" w:rsidP="002C64D6">
            <w:pPr>
              <w:pStyle w:val="ColumnHeading"/>
              <w:keepNext/>
            </w:pPr>
            <w:r>
              <w:t>Predlog resolucije</w:t>
            </w:r>
          </w:p>
        </w:tc>
        <w:tc>
          <w:tcPr>
            <w:tcW w:w="4876" w:type="dxa"/>
            <w:hideMark/>
          </w:tcPr>
          <w:p w14:paraId="3B7105F5" w14:textId="77777777" w:rsidR="002A32EA" w:rsidRPr="002A32EA" w:rsidRDefault="00A516D4" w:rsidP="002C64D6">
            <w:pPr>
              <w:pStyle w:val="ColumnHeading"/>
              <w:keepNext/>
            </w:pPr>
            <w:r>
              <w:t>Predlog spremembe</w:t>
            </w:r>
          </w:p>
        </w:tc>
      </w:tr>
      <w:tr w:rsidR="00062749" w14:paraId="50199E12" w14:textId="77777777" w:rsidTr="002C64D6">
        <w:trPr>
          <w:jc w:val="center"/>
        </w:trPr>
        <w:tc>
          <w:tcPr>
            <w:tcW w:w="4876" w:type="dxa"/>
          </w:tcPr>
          <w:p w14:paraId="2EA07148" w14:textId="77777777" w:rsidR="002A32EA" w:rsidRPr="002A32EA" w:rsidRDefault="002A32EA" w:rsidP="002C64D6">
            <w:pPr>
              <w:pStyle w:val="Normal6"/>
            </w:pPr>
          </w:p>
        </w:tc>
        <w:tc>
          <w:tcPr>
            <w:tcW w:w="4876" w:type="dxa"/>
            <w:hideMark/>
          </w:tcPr>
          <w:p w14:paraId="5C269B1D" w14:textId="77777777" w:rsidR="002A32EA" w:rsidRPr="002A32EA" w:rsidRDefault="00A516D4" w:rsidP="002C64D6">
            <w:pPr>
              <w:pStyle w:val="Normal6"/>
              <w:rPr>
                <w:szCs w:val="24"/>
              </w:rPr>
            </w:pPr>
            <w:r>
              <w:rPr>
                <w:b/>
                <w:i/>
              </w:rPr>
              <w:t>36c.</w:t>
            </w:r>
            <w:r>
              <w:rPr>
                <w:b/>
                <w:i/>
              </w:rPr>
              <w:tab/>
              <w:t>pozdravlja ugotovitev iz poročila Komisije o izvajanju za leto 2024, da je bilo v preteklem letu izvajanje sporazuma o trgovini in sodelovanju na področju kazenskega pregona in pravosodnega sodelovanja nemoteno;</w:t>
            </w:r>
          </w:p>
        </w:tc>
      </w:tr>
    </w:tbl>
    <w:p w14:paraId="01D20005" w14:textId="77777777" w:rsidR="002A32EA" w:rsidRPr="002A32EA" w:rsidRDefault="00A516D4" w:rsidP="002A32EA">
      <w:pPr>
        <w:pStyle w:val="Normal12a"/>
        <w:rPr>
          <w:rStyle w:val="HideTWBExt"/>
          <w:b/>
        </w:rPr>
      </w:pPr>
      <w:r>
        <w:rPr>
          <w:rStyle w:val="HideTWBExt"/>
          <w:b/>
        </w:rPr>
        <w:t>&lt;/Amend&gt;</w:t>
      </w:r>
    </w:p>
    <w:p w14:paraId="70576D5F" w14:textId="77777777" w:rsidR="002A32EA" w:rsidRPr="002A32EA" w:rsidRDefault="00A516D4" w:rsidP="002A32EA">
      <w:pPr>
        <w:pStyle w:val="AMNumberTabs0"/>
        <w:keepNext/>
      </w:pPr>
      <w:r>
        <w:rPr>
          <w:rStyle w:val="HideTWBExt"/>
          <w:b w:val="0"/>
        </w:rPr>
        <w:t>&lt;Amend&gt;</w:t>
      </w:r>
      <w:r>
        <w:t>Predlog spremembe</w:t>
      </w:r>
      <w:r>
        <w:tab/>
      </w:r>
      <w:r>
        <w:tab/>
      </w:r>
      <w:r>
        <w:rPr>
          <w:rStyle w:val="HideTWBExt"/>
          <w:b w:val="0"/>
        </w:rPr>
        <w:t>&lt;NumAm&gt;</w:t>
      </w:r>
      <w:r>
        <w:t>5</w:t>
      </w:r>
      <w:r>
        <w:rPr>
          <w:rStyle w:val="HideTWBExt"/>
          <w:b w:val="0"/>
        </w:rPr>
        <w:t>&lt;/NumAm&gt;</w:t>
      </w:r>
    </w:p>
    <w:p w14:paraId="650BC023" w14:textId="77777777" w:rsidR="002A32EA" w:rsidRPr="002A32EA" w:rsidRDefault="00A516D4" w:rsidP="002A32EA">
      <w:pPr>
        <w:pStyle w:val="AMNumberTabs0"/>
        <w:keepNext/>
      </w:pPr>
      <w:r>
        <w:rPr>
          <w:rStyle w:val="HideTWBExt"/>
          <w:b w:val="0"/>
        </w:rPr>
        <w:t>&lt;DocAmend&gt;</w:t>
      </w:r>
      <w:r>
        <w:t>Predlog resolucije</w:t>
      </w:r>
      <w:r>
        <w:rPr>
          <w:rStyle w:val="HideTWBExt"/>
          <w:b w:val="0"/>
        </w:rPr>
        <w:t>&lt;/DocAmend&gt;</w:t>
      </w:r>
    </w:p>
    <w:p w14:paraId="0ED6DB68" w14:textId="77777777" w:rsidR="002A32EA" w:rsidRPr="002A32EA" w:rsidRDefault="00A516D4" w:rsidP="002A32EA">
      <w:pPr>
        <w:pStyle w:val="NormalBold"/>
      </w:pPr>
      <w:r>
        <w:rPr>
          <w:rStyle w:val="HideTWBExt"/>
          <w:b w:val="0"/>
        </w:rPr>
        <w:t>&lt;Article&gt;</w:t>
      </w:r>
      <w:r>
        <w:t>Odstavek 36 d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749" w14:paraId="50CB2236" w14:textId="77777777" w:rsidTr="002C64D6">
        <w:trPr>
          <w:jc w:val="center"/>
        </w:trPr>
        <w:tc>
          <w:tcPr>
            <w:tcW w:w="9752" w:type="dxa"/>
            <w:gridSpan w:val="2"/>
          </w:tcPr>
          <w:p w14:paraId="63ABCC57" w14:textId="77777777" w:rsidR="002A32EA" w:rsidRPr="002A32EA" w:rsidRDefault="002A32EA" w:rsidP="002C64D6">
            <w:pPr>
              <w:keepNext/>
            </w:pPr>
          </w:p>
        </w:tc>
      </w:tr>
      <w:tr w:rsidR="00062749" w14:paraId="5EFCA6E9" w14:textId="77777777" w:rsidTr="002C64D6">
        <w:trPr>
          <w:jc w:val="center"/>
        </w:trPr>
        <w:tc>
          <w:tcPr>
            <w:tcW w:w="4876" w:type="dxa"/>
            <w:hideMark/>
          </w:tcPr>
          <w:p w14:paraId="1BEC4E15" w14:textId="77777777" w:rsidR="002A32EA" w:rsidRPr="002A32EA" w:rsidRDefault="00A516D4" w:rsidP="002C64D6">
            <w:pPr>
              <w:pStyle w:val="ColumnHeading"/>
              <w:keepNext/>
            </w:pPr>
            <w:r>
              <w:t>Predlog resolucije</w:t>
            </w:r>
          </w:p>
        </w:tc>
        <w:tc>
          <w:tcPr>
            <w:tcW w:w="4876" w:type="dxa"/>
            <w:hideMark/>
          </w:tcPr>
          <w:p w14:paraId="537C34A6" w14:textId="77777777" w:rsidR="002A32EA" w:rsidRPr="002A32EA" w:rsidRDefault="00A516D4" w:rsidP="002C64D6">
            <w:pPr>
              <w:pStyle w:val="ColumnHeading"/>
              <w:keepNext/>
            </w:pPr>
            <w:r>
              <w:t>Predlog spremembe</w:t>
            </w:r>
          </w:p>
        </w:tc>
      </w:tr>
      <w:tr w:rsidR="00062749" w14:paraId="2308E20C" w14:textId="77777777" w:rsidTr="002C64D6">
        <w:trPr>
          <w:jc w:val="center"/>
        </w:trPr>
        <w:tc>
          <w:tcPr>
            <w:tcW w:w="4876" w:type="dxa"/>
          </w:tcPr>
          <w:p w14:paraId="1D9C13FC" w14:textId="77777777" w:rsidR="002A32EA" w:rsidRPr="002A32EA" w:rsidRDefault="002A32EA" w:rsidP="002C64D6">
            <w:pPr>
              <w:pStyle w:val="Normal6"/>
            </w:pPr>
          </w:p>
        </w:tc>
        <w:tc>
          <w:tcPr>
            <w:tcW w:w="4876" w:type="dxa"/>
            <w:hideMark/>
          </w:tcPr>
          <w:p w14:paraId="07B76E23" w14:textId="77777777" w:rsidR="002A32EA" w:rsidRPr="002A32EA" w:rsidRDefault="00A516D4" w:rsidP="002C64D6">
            <w:pPr>
              <w:pStyle w:val="Normal6"/>
              <w:rPr>
                <w:szCs w:val="24"/>
              </w:rPr>
            </w:pPr>
            <w:r>
              <w:rPr>
                <w:b/>
                <w:i/>
              </w:rPr>
              <w:t>36d.</w:t>
            </w:r>
            <w:r>
              <w:rPr>
                <w:b/>
                <w:i/>
              </w:rPr>
              <w:tab/>
              <w:t>zlasti pozdravlja, da so vse države članice in Združeno kraljestvo do konca leta 2024 v skladu s členom 530 sporazuma o trgovini in sodelovanju medsebojno odobrile dostop do svojih nacionalnih zbirk podatkov o DNK za avtomatizirano iskanje; pozdravlja, da je Združeno kraljestvo do konca leta 2024 vzpostavilo 22 povezav prstnih odtisov in je bilo pripravljeno dokončati preostalih pet; priznava, da si pogodbenici v skupnem dogovoru prizadevata povečati medsebojno in vzajemno izmenjavo podatkov o prstnih odtisih, DNK in kazenskih evidencah državljanov tretjih držav ter preučiti možnost razširitve izmenjave podatkov na podobe obraza za preprečevanje, odkrivanje in preiskovanje kaznivih dejanj, pri čemer poudarja, da so obstoječe in razširjene izmenjave odvisne od ohranjanja visokega standarda varstva podatkov in zagotavljanja, da bo razvijajoči se pravni okvir Združenega kraljestva še naprej skladen z zahtevami EU glede varstva podatkov;</w:t>
            </w:r>
          </w:p>
        </w:tc>
      </w:tr>
    </w:tbl>
    <w:p w14:paraId="26D4BC14" w14:textId="77777777" w:rsidR="002A32EA" w:rsidRPr="002A32EA" w:rsidRDefault="00A516D4" w:rsidP="002A32EA">
      <w:pPr>
        <w:rPr>
          <w:szCs w:val="24"/>
        </w:rPr>
      </w:pPr>
      <w:r>
        <w:rPr>
          <w:rStyle w:val="HideTWBExt"/>
        </w:rPr>
        <w:t>&lt;/Amend&gt;</w:t>
      </w:r>
    </w:p>
    <w:p w14:paraId="4A401D50" w14:textId="77777777" w:rsidR="002A32EA" w:rsidRPr="002A32EA" w:rsidRDefault="00A516D4" w:rsidP="002A32EA">
      <w:pPr>
        <w:pStyle w:val="AMNumberTabs0"/>
        <w:keepNext/>
      </w:pPr>
      <w:r>
        <w:rPr>
          <w:rStyle w:val="HideTWBExt"/>
          <w:b w:val="0"/>
        </w:rPr>
        <w:t>&lt;Amend&gt;</w:t>
      </w:r>
      <w:r>
        <w:t>Predlog spremembe</w:t>
      </w:r>
      <w:r>
        <w:tab/>
      </w:r>
      <w:r>
        <w:tab/>
      </w:r>
      <w:r>
        <w:rPr>
          <w:rStyle w:val="HideTWBExt"/>
          <w:b w:val="0"/>
        </w:rPr>
        <w:t>&lt;NumAm&gt;</w:t>
      </w:r>
      <w:r>
        <w:t>6</w:t>
      </w:r>
      <w:r>
        <w:rPr>
          <w:rStyle w:val="HideTWBExt"/>
          <w:b w:val="0"/>
        </w:rPr>
        <w:t>&lt;/NumAm&gt;</w:t>
      </w:r>
    </w:p>
    <w:p w14:paraId="18B15BEF" w14:textId="77777777" w:rsidR="002A32EA" w:rsidRPr="002A32EA" w:rsidRDefault="00A516D4" w:rsidP="002A32EA">
      <w:pPr>
        <w:pStyle w:val="AMNumberTabs0"/>
        <w:keepNext/>
      </w:pPr>
      <w:r>
        <w:rPr>
          <w:rStyle w:val="HideTWBExt"/>
          <w:b w:val="0"/>
        </w:rPr>
        <w:t>&lt;DocAmend&gt;</w:t>
      </w:r>
      <w:r>
        <w:t>Predlog resolucije</w:t>
      </w:r>
      <w:r>
        <w:rPr>
          <w:rStyle w:val="HideTWBExt"/>
          <w:b w:val="0"/>
        </w:rPr>
        <w:t>&lt;/DocAmend&gt;</w:t>
      </w:r>
    </w:p>
    <w:p w14:paraId="67209971" w14:textId="77777777" w:rsidR="002A32EA" w:rsidRPr="002A32EA" w:rsidRDefault="00A516D4" w:rsidP="002A32EA">
      <w:pPr>
        <w:pStyle w:val="NormalBold"/>
        <w:keepNext/>
      </w:pPr>
      <w:r>
        <w:rPr>
          <w:rStyle w:val="HideTWBExt"/>
          <w:b w:val="0"/>
        </w:rPr>
        <w:t>&lt;Article&gt;</w:t>
      </w:r>
      <w:r>
        <w:t>Odstavek 36 e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749" w14:paraId="1528F85E" w14:textId="77777777" w:rsidTr="002C64D6">
        <w:trPr>
          <w:jc w:val="center"/>
        </w:trPr>
        <w:tc>
          <w:tcPr>
            <w:tcW w:w="9752" w:type="dxa"/>
            <w:gridSpan w:val="2"/>
          </w:tcPr>
          <w:p w14:paraId="68AB780A" w14:textId="77777777" w:rsidR="002A32EA" w:rsidRPr="002A32EA" w:rsidRDefault="002A32EA" w:rsidP="002C64D6">
            <w:pPr>
              <w:keepNext/>
            </w:pPr>
          </w:p>
        </w:tc>
      </w:tr>
      <w:tr w:rsidR="00062749" w14:paraId="1EC84D9F" w14:textId="77777777" w:rsidTr="002C64D6">
        <w:trPr>
          <w:jc w:val="center"/>
        </w:trPr>
        <w:tc>
          <w:tcPr>
            <w:tcW w:w="4876" w:type="dxa"/>
            <w:hideMark/>
          </w:tcPr>
          <w:p w14:paraId="5FCCF4BB" w14:textId="77777777" w:rsidR="002A32EA" w:rsidRPr="002A32EA" w:rsidRDefault="00A516D4" w:rsidP="002C64D6">
            <w:pPr>
              <w:pStyle w:val="ColumnHeading"/>
              <w:keepNext/>
            </w:pPr>
            <w:r>
              <w:t>Predlog resolucije</w:t>
            </w:r>
          </w:p>
        </w:tc>
        <w:tc>
          <w:tcPr>
            <w:tcW w:w="4876" w:type="dxa"/>
            <w:hideMark/>
          </w:tcPr>
          <w:p w14:paraId="54D587D1" w14:textId="77777777" w:rsidR="002A32EA" w:rsidRPr="002A32EA" w:rsidRDefault="00A516D4" w:rsidP="002C64D6">
            <w:pPr>
              <w:pStyle w:val="ColumnHeading"/>
              <w:keepNext/>
            </w:pPr>
            <w:r>
              <w:t>Predlog spremembe</w:t>
            </w:r>
          </w:p>
        </w:tc>
      </w:tr>
      <w:tr w:rsidR="00062749" w14:paraId="1C56FB46" w14:textId="77777777" w:rsidTr="002C64D6">
        <w:trPr>
          <w:jc w:val="center"/>
        </w:trPr>
        <w:tc>
          <w:tcPr>
            <w:tcW w:w="4876" w:type="dxa"/>
          </w:tcPr>
          <w:p w14:paraId="0556876F" w14:textId="77777777" w:rsidR="002A32EA" w:rsidRPr="002A32EA" w:rsidRDefault="002A32EA" w:rsidP="002C64D6">
            <w:pPr>
              <w:pStyle w:val="Normal6"/>
            </w:pPr>
          </w:p>
        </w:tc>
        <w:tc>
          <w:tcPr>
            <w:tcW w:w="4876" w:type="dxa"/>
            <w:hideMark/>
          </w:tcPr>
          <w:p w14:paraId="6396696A" w14:textId="77777777" w:rsidR="002A32EA" w:rsidRPr="002A32EA" w:rsidRDefault="00A516D4" w:rsidP="002C64D6">
            <w:pPr>
              <w:pStyle w:val="Normal6"/>
              <w:rPr>
                <w:szCs w:val="24"/>
              </w:rPr>
            </w:pPr>
            <w:r>
              <w:rPr>
                <w:b/>
                <w:i/>
              </w:rPr>
              <w:t>36e.</w:t>
            </w:r>
            <w:r>
              <w:rPr>
                <w:b/>
                <w:i/>
              </w:rPr>
              <w:tab/>
              <w:t>opozarja na vzajemno korist, ki jo ima tesno sodelovanje na področju kazenskega pregona in pravosodja pri reševanju skupnih izzivov na področjih, kot so operacije boja proti terorizmu, pranje denarja, tihotapljenje ljudi in trgovina z njimi, ter na potrebo po takem sodelovanju; pozdravlja tesno sodelovanje med Združenim kraljestvom in ključnimi agencijami EU, kot so Europol, Eurojust in Frontex;</w:t>
            </w:r>
          </w:p>
        </w:tc>
      </w:tr>
    </w:tbl>
    <w:p w14:paraId="4FF27842" w14:textId="77777777" w:rsidR="002A32EA" w:rsidRPr="002A32EA" w:rsidRDefault="00A516D4" w:rsidP="002A32EA">
      <w:pPr>
        <w:rPr>
          <w:szCs w:val="24"/>
        </w:rPr>
      </w:pPr>
      <w:r>
        <w:rPr>
          <w:rStyle w:val="HideTWBExt"/>
        </w:rPr>
        <w:t>&lt;/Amend&gt;</w:t>
      </w:r>
    </w:p>
    <w:p w14:paraId="23FC4EED" w14:textId="77777777" w:rsidR="002A32EA" w:rsidRPr="002A32EA" w:rsidRDefault="00A516D4" w:rsidP="002A32EA">
      <w:pPr>
        <w:pStyle w:val="AMNumberTabs0"/>
        <w:keepNext/>
      </w:pPr>
      <w:r>
        <w:rPr>
          <w:rStyle w:val="HideTWBExt"/>
          <w:b w:val="0"/>
        </w:rPr>
        <w:t>&lt;Amend&gt;</w:t>
      </w:r>
      <w:r>
        <w:t>Predlog spremembe</w:t>
      </w:r>
      <w:r>
        <w:tab/>
      </w:r>
      <w:r>
        <w:tab/>
      </w:r>
      <w:r>
        <w:rPr>
          <w:rStyle w:val="HideTWBExt"/>
          <w:b w:val="0"/>
        </w:rPr>
        <w:t>&lt;NumAm&gt;</w:t>
      </w:r>
      <w:r>
        <w:t>7</w:t>
      </w:r>
      <w:r>
        <w:rPr>
          <w:rStyle w:val="HideTWBExt"/>
          <w:b w:val="0"/>
        </w:rPr>
        <w:t>&lt;/NumAm&gt;</w:t>
      </w:r>
    </w:p>
    <w:p w14:paraId="216C907F" w14:textId="77777777" w:rsidR="002A32EA" w:rsidRPr="002A32EA" w:rsidRDefault="00A516D4" w:rsidP="002A32EA">
      <w:pPr>
        <w:pStyle w:val="AMNumberTabs0"/>
        <w:keepNext/>
      </w:pPr>
      <w:r>
        <w:rPr>
          <w:rStyle w:val="HideTWBExt"/>
          <w:b w:val="0"/>
        </w:rPr>
        <w:t>&lt;DocAmend&gt;</w:t>
      </w:r>
      <w:r>
        <w:t>Predlog resolucije</w:t>
      </w:r>
      <w:r>
        <w:rPr>
          <w:rStyle w:val="HideTWBExt"/>
          <w:b w:val="0"/>
        </w:rPr>
        <w:t>&lt;/DocAmend&gt;</w:t>
      </w:r>
    </w:p>
    <w:p w14:paraId="5CF02D07" w14:textId="77777777" w:rsidR="002A32EA" w:rsidRPr="002A32EA" w:rsidRDefault="00A516D4" w:rsidP="002A32EA">
      <w:pPr>
        <w:pStyle w:val="NormalBold"/>
      </w:pPr>
      <w:r>
        <w:rPr>
          <w:rStyle w:val="HideTWBExt"/>
          <w:b w:val="0"/>
        </w:rPr>
        <w:t>&lt;Article&gt;</w:t>
      </w:r>
      <w:r>
        <w:t>Odstavek 36 f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749" w14:paraId="60B00F61" w14:textId="77777777" w:rsidTr="002C64D6">
        <w:trPr>
          <w:jc w:val="center"/>
        </w:trPr>
        <w:tc>
          <w:tcPr>
            <w:tcW w:w="9752" w:type="dxa"/>
            <w:gridSpan w:val="2"/>
          </w:tcPr>
          <w:p w14:paraId="04FC5E08" w14:textId="77777777" w:rsidR="002A32EA" w:rsidRPr="002A32EA" w:rsidRDefault="002A32EA" w:rsidP="002C64D6">
            <w:pPr>
              <w:keepNext/>
            </w:pPr>
          </w:p>
        </w:tc>
      </w:tr>
      <w:tr w:rsidR="00062749" w14:paraId="13FC91A1" w14:textId="77777777" w:rsidTr="002C64D6">
        <w:trPr>
          <w:jc w:val="center"/>
        </w:trPr>
        <w:tc>
          <w:tcPr>
            <w:tcW w:w="4876" w:type="dxa"/>
            <w:hideMark/>
          </w:tcPr>
          <w:p w14:paraId="5D4AD819" w14:textId="77777777" w:rsidR="002A32EA" w:rsidRPr="002A32EA" w:rsidRDefault="00A516D4" w:rsidP="002C64D6">
            <w:pPr>
              <w:pStyle w:val="ColumnHeading"/>
              <w:keepNext/>
            </w:pPr>
            <w:r>
              <w:t>Predlog resolucije</w:t>
            </w:r>
          </w:p>
        </w:tc>
        <w:tc>
          <w:tcPr>
            <w:tcW w:w="4876" w:type="dxa"/>
            <w:hideMark/>
          </w:tcPr>
          <w:p w14:paraId="1B512B73" w14:textId="77777777" w:rsidR="002A32EA" w:rsidRPr="002A32EA" w:rsidRDefault="00A516D4" w:rsidP="002C64D6">
            <w:pPr>
              <w:pStyle w:val="ColumnHeading"/>
              <w:keepNext/>
            </w:pPr>
            <w:r>
              <w:t>Predlog spremembe</w:t>
            </w:r>
          </w:p>
        </w:tc>
      </w:tr>
      <w:tr w:rsidR="00062749" w14:paraId="693BE3FE" w14:textId="77777777" w:rsidTr="002C64D6">
        <w:trPr>
          <w:jc w:val="center"/>
        </w:trPr>
        <w:tc>
          <w:tcPr>
            <w:tcW w:w="4876" w:type="dxa"/>
          </w:tcPr>
          <w:p w14:paraId="5B6B7F77" w14:textId="77777777" w:rsidR="002A32EA" w:rsidRPr="002A32EA" w:rsidRDefault="002A32EA" w:rsidP="002C64D6">
            <w:pPr>
              <w:pStyle w:val="Normal6"/>
            </w:pPr>
          </w:p>
        </w:tc>
        <w:tc>
          <w:tcPr>
            <w:tcW w:w="4876" w:type="dxa"/>
            <w:hideMark/>
          </w:tcPr>
          <w:p w14:paraId="4605D7FD" w14:textId="77777777" w:rsidR="002A32EA" w:rsidRPr="002A32EA" w:rsidRDefault="00A516D4" w:rsidP="002C64D6">
            <w:pPr>
              <w:pStyle w:val="Normal6"/>
              <w:rPr>
                <w:szCs w:val="24"/>
              </w:rPr>
            </w:pPr>
            <w:r>
              <w:rPr>
                <w:b/>
                <w:i/>
              </w:rPr>
              <w:t>36f.</w:t>
            </w:r>
            <w:r>
              <w:rPr>
                <w:b/>
                <w:i/>
              </w:rPr>
              <w:tab/>
              <w:t>pozdravlja, da je vlada Združenega kraljestva povečala prisotnost svoje nacionalne kriminalistične agencije v Europolu in da si v širšem smislu prizadeva za tesnejše odnose z Europolom, vključno z zmožnostjo izmenjave podatkov v realnem času;</w:t>
            </w:r>
          </w:p>
        </w:tc>
      </w:tr>
    </w:tbl>
    <w:p w14:paraId="39A6745F" w14:textId="77777777" w:rsidR="002A32EA" w:rsidRPr="002A32EA" w:rsidRDefault="00A516D4" w:rsidP="002A32EA">
      <w:pPr>
        <w:rPr>
          <w:szCs w:val="24"/>
        </w:rPr>
      </w:pPr>
      <w:r>
        <w:rPr>
          <w:rStyle w:val="HideTWBExt"/>
        </w:rPr>
        <w:t>&lt;/Amend&gt;</w:t>
      </w:r>
    </w:p>
    <w:p w14:paraId="41CB25F8" w14:textId="77777777" w:rsidR="002A32EA" w:rsidRPr="002A32EA" w:rsidRDefault="00A516D4" w:rsidP="002A32EA">
      <w:pPr>
        <w:pStyle w:val="AMNumberTabs0"/>
        <w:keepNext/>
      </w:pPr>
      <w:r>
        <w:rPr>
          <w:rStyle w:val="HideTWBExt"/>
          <w:b w:val="0"/>
        </w:rPr>
        <w:t>&lt;Amend&gt;</w:t>
      </w:r>
      <w:r>
        <w:t>Predlog spremembe</w:t>
      </w:r>
      <w:r>
        <w:tab/>
      </w:r>
      <w:r>
        <w:tab/>
      </w:r>
      <w:r>
        <w:rPr>
          <w:rStyle w:val="HideTWBExt"/>
          <w:b w:val="0"/>
        </w:rPr>
        <w:t>&lt;NumAm&gt;</w:t>
      </w:r>
      <w:r>
        <w:t>8</w:t>
      </w:r>
      <w:r>
        <w:rPr>
          <w:rStyle w:val="HideTWBExt"/>
          <w:b w:val="0"/>
        </w:rPr>
        <w:t>&lt;/NumAm&gt;</w:t>
      </w:r>
    </w:p>
    <w:p w14:paraId="297C838C" w14:textId="77777777" w:rsidR="002A32EA" w:rsidRPr="002A32EA" w:rsidRDefault="00A516D4" w:rsidP="002A32EA">
      <w:pPr>
        <w:pStyle w:val="AMNumberTabs0"/>
        <w:keepNext/>
      </w:pPr>
      <w:r>
        <w:rPr>
          <w:rStyle w:val="HideTWBExt"/>
          <w:b w:val="0"/>
        </w:rPr>
        <w:t>&lt;DocAmend&gt;</w:t>
      </w:r>
      <w:r>
        <w:t>Predlog resolucije</w:t>
      </w:r>
      <w:r>
        <w:rPr>
          <w:rStyle w:val="HideTWBExt"/>
          <w:b w:val="0"/>
        </w:rPr>
        <w:t>&lt;/DocAmend&gt;</w:t>
      </w:r>
    </w:p>
    <w:p w14:paraId="28CF4D47" w14:textId="77777777" w:rsidR="002A32EA" w:rsidRPr="002A32EA" w:rsidRDefault="00A516D4" w:rsidP="002A32EA">
      <w:pPr>
        <w:pStyle w:val="NormalBold"/>
      </w:pPr>
      <w:r>
        <w:rPr>
          <w:rStyle w:val="HideTWBExt"/>
          <w:b w:val="0"/>
        </w:rPr>
        <w:t>&lt;Article&gt;</w:t>
      </w:r>
      <w:r>
        <w:t>Odstavek 36 g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749" w14:paraId="791453CE" w14:textId="77777777" w:rsidTr="002C64D6">
        <w:trPr>
          <w:jc w:val="center"/>
        </w:trPr>
        <w:tc>
          <w:tcPr>
            <w:tcW w:w="9752" w:type="dxa"/>
            <w:gridSpan w:val="2"/>
          </w:tcPr>
          <w:p w14:paraId="33D47835" w14:textId="77777777" w:rsidR="002A32EA" w:rsidRPr="002A32EA" w:rsidRDefault="002A32EA" w:rsidP="002C64D6">
            <w:pPr>
              <w:keepNext/>
            </w:pPr>
          </w:p>
        </w:tc>
      </w:tr>
      <w:tr w:rsidR="00062749" w14:paraId="4CFBC172" w14:textId="77777777" w:rsidTr="002C64D6">
        <w:trPr>
          <w:jc w:val="center"/>
        </w:trPr>
        <w:tc>
          <w:tcPr>
            <w:tcW w:w="4876" w:type="dxa"/>
            <w:hideMark/>
          </w:tcPr>
          <w:p w14:paraId="1BDFFBC7" w14:textId="77777777" w:rsidR="002A32EA" w:rsidRPr="002A32EA" w:rsidRDefault="00A516D4" w:rsidP="002C64D6">
            <w:pPr>
              <w:pStyle w:val="ColumnHeading"/>
              <w:keepNext/>
            </w:pPr>
            <w:r>
              <w:t>Predlog resolucije</w:t>
            </w:r>
          </w:p>
        </w:tc>
        <w:tc>
          <w:tcPr>
            <w:tcW w:w="4876" w:type="dxa"/>
            <w:hideMark/>
          </w:tcPr>
          <w:p w14:paraId="7ACAB12B" w14:textId="77777777" w:rsidR="002A32EA" w:rsidRPr="002A32EA" w:rsidRDefault="00A516D4" w:rsidP="002C64D6">
            <w:pPr>
              <w:pStyle w:val="ColumnHeading"/>
              <w:keepNext/>
            </w:pPr>
            <w:r>
              <w:t>Predlog spremembe</w:t>
            </w:r>
          </w:p>
        </w:tc>
      </w:tr>
      <w:tr w:rsidR="00062749" w14:paraId="001198C1" w14:textId="77777777" w:rsidTr="002C64D6">
        <w:trPr>
          <w:jc w:val="center"/>
        </w:trPr>
        <w:tc>
          <w:tcPr>
            <w:tcW w:w="4876" w:type="dxa"/>
          </w:tcPr>
          <w:p w14:paraId="713911F2" w14:textId="77777777" w:rsidR="002A32EA" w:rsidRPr="002A32EA" w:rsidRDefault="002A32EA" w:rsidP="002C64D6">
            <w:pPr>
              <w:pStyle w:val="Normal6"/>
            </w:pPr>
          </w:p>
        </w:tc>
        <w:tc>
          <w:tcPr>
            <w:tcW w:w="4876" w:type="dxa"/>
            <w:hideMark/>
          </w:tcPr>
          <w:p w14:paraId="35726175" w14:textId="77777777" w:rsidR="002A32EA" w:rsidRPr="002A32EA" w:rsidRDefault="00A516D4" w:rsidP="002C64D6">
            <w:pPr>
              <w:pStyle w:val="Normal6"/>
              <w:rPr>
                <w:szCs w:val="24"/>
              </w:rPr>
            </w:pPr>
            <w:r>
              <w:rPr>
                <w:b/>
                <w:i/>
              </w:rPr>
              <w:t>36g.</w:t>
            </w:r>
            <w:r>
              <w:rPr>
                <w:b/>
                <w:i/>
              </w:rPr>
              <w:tab/>
              <w:t>je seznanjen z letnima poročiloma Eurojusta za leti 2023 in 2024 ter izraža zadovoljstvo glede sodelovanja in udeležbe Združenega kraljestva pri delu agencije, saj je to država, ki ni članica EU, a je bila najpogosteje zaprošena za sodelovanje v novih zadevah, ki so jih nacionalni uradi v agenciji začeli ti dve leti;</w:t>
            </w:r>
          </w:p>
        </w:tc>
      </w:tr>
    </w:tbl>
    <w:p w14:paraId="3E1DD006" w14:textId="77777777" w:rsidR="002A32EA" w:rsidRPr="002A32EA" w:rsidRDefault="00A516D4" w:rsidP="002A32EA">
      <w:pPr>
        <w:rPr>
          <w:szCs w:val="24"/>
        </w:rPr>
      </w:pPr>
      <w:r>
        <w:rPr>
          <w:rStyle w:val="HideTWBExt"/>
        </w:rPr>
        <w:t>&lt;/Amend&gt;</w:t>
      </w:r>
    </w:p>
    <w:p w14:paraId="18C23A98" w14:textId="77777777" w:rsidR="002A32EA" w:rsidRPr="002A32EA" w:rsidRDefault="00A516D4" w:rsidP="002A32EA">
      <w:pPr>
        <w:pStyle w:val="AMNumberTabs0"/>
        <w:keepNext/>
      </w:pPr>
      <w:r>
        <w:rPr>
          <w:rStyle w:val="HideTWBExt"/>
          <w:b w:val="0"/>
        </w:rPr>
        <w:t>&lt;Amend&gt;</w:t>
      </w:r>
      <w:r>
        <w:t>Predlog spremembe</w:t>
      </w:r>
      <w:r>
        <w:tab/>
      </w:r>
      <w:r>
        <w:tab/>
      </w:r>
      <w:r>
        <w:rPr>
          <w:rStyle w:val="HideTWBExt"/>
          <w:b w:val="0"/>
        </w:rPr>
        <w:t>&lt;NumAm&gt;</w:t>
      </w:r>
      <w:r>
        <w:t>9</w:t>
      </w:r>
      <w:r>
        <w:rPr>
          <w:rStyle w:val="HideTWBExt"/>
          <w:b w:val="0"/>
        </w:rPr>
        <w:t>&lt;/NumAm&gt;</w:t>
      </w:r>
    </w:p>
    <w:p w14:paraId="6E4E941C" w14:textId="77777777" w:rsidR="002A32EA" w:rsidRPr="002A32EA" w:rsidRDefault="00A516D4" w:rsidP="002A32EA">
      <w:pPr>
        <w:pStyle w:val="AMNumberTabs0"/>
        <w:keepNext/>
      </w:pPr>
      <w:r>
        <w:rPr>
          <w:rStyle w:val="HideTWBExt"/>
          <w:b w:val="0"/>
        </w:rPr>
        <w:t>&lt;DocAmend&gt;</w:t>
      </w:r>
      <w:r>
        <w:t>Predlog resolucije</w:t>
      </w:r>
      <w:r>
        <w:rPr>
          <w:rStyle w:val="HideTWBExt"/>
          <w:b w:val="0"/>
        </w:rPr>
        <w:t>&lt;/DocAmend&gt;</w:t>
      </w:r>
    </w:p>
    <w:p w14:paraId="5794ED88" w14:textId="77777777" w:rsidR="002A32EA" w:rsidRPr="002A32EA" w:rsidRDefault="00A516D4" w:rsidP="002A32EA">
      <w:pPr>
        <w:pStyle w:val="NormalBold"/>
      </w:pPr>
      <w:r>
        <w:rPr>
          <w:rStyle w:val="HideTWBExt"/>
          <w:b w:val="0"/>
        </w:rPr>
        <w:t>&lt;Article&gt;</w:t>
      </w:r>
      <w:r>
        <w:t>Odstavek 36 h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749" w14:paraId="70DCEF05" w14:textId="77777777" w:rsidTr="002C64D6">
        <w:trPr>
          <w:jc w:val="center"/>
        </w:trPr>
        <w:tc>
          <w:tcPr>
            <w:tcW w:w="9752" w:type="dxa"/>
            <w:gridSpan w:val="2"/>
          </w:tcPr>
          <w:p w14:paraId="076961E3" w14:textId="77777777" w:rsidR="002A32EA" w:rsidRPr="002A32EA" w:rsidRDefault="002A32EA" w:rsidP="002C64D6">
            <w:pPr>
              <w:keepNext/>
            </w:pPr>
          </w:p>
        </w:tc>
      </w:tr>
      <w:tr w:rsidR="00062749" w14:paraId="53F36C29" w14:textId="77777777" w:rsidTr="002C64D6">
        <w:trPr>
          <w:jc w:val="center"/>
        </w:trPr>
        <w:tc>
          <w:tcPr>
            <w:tcW w:w="4876" w:type="dxa"/>
            <w:hideMark/>
          </w:tcPr>
          <w:p w14:paraId="66CA7D70" w14:textId="77777777" w:rsidR="002A32EA" w:rsidRPr="002A32EA" w:rsidRDefault="00A516D4" w:rsidP="002C64D6">
            <w:pPr>
              <w:pStyle w:val="ColumnHeading"/>
              <w:keepNext/>
            </w:pPr>
            <w:r>
              <w:t>Predlog resolucije</w:t>
            </w:r>
          </w:p>
        </w:tc>
        <w:tc>
          <w:tcPr>
            <w:tcW w:w="4876" w:type="dxa"/>
            <w:hideMark/>
          </w:tcPr>
          <w:p w14:paraId="013B1DD0" w14:textId="77777777" w:rsidR="002A32EA" w:rsidRPr="002A32EA" w:rsidRDefault="00A516D4" w:rsidP="002C64D6">
            <w:pPr>
              <w:pStyle w:val="ColumnHeading"/>
              <w:keepNext/>
            </w:pPr>
            <w:r>
              <w:t>Predlog spremembe</w:t>
            </w:r>
          </w:p>
        </w:tc>
      </w:tr>
      <w:tr w:rsidR="00062749" w14:paraId="12911B2A" w14:textId="77777777" w:rsidTr="002C64D6">
        <w:trPr>
          <w:jc w:val="center"/>
        </w:trPr>
        <w:tc>
          <w:tcPr>
            <w:tcW w:w="4876" w:type="dxa"/>
          </w:tcPr>
          <w:p w14:paraId="3C893232" w14:textId="77777777" w:rsidR="002A32EA" w:rsidRPr="002A32EA" w:rsidRDefault="002A32EA" w:rsidP="002C64D6">
            <w:pPr>
              <w:pStyle w:val="Normal6"/>
            </w:pPr>
          </w:p>
        </w:tc>
        <w:tc>
          <w:tcPr>
            <w:tcW w:w="4876" w:type="dxa"/>
            <w:hideMark/>
          </w:tcPr>
          <w:p w14:paraId="76576A2C" w14:textId="77777777" w:rsidR="002A32EA" w:rsidRPr="002A32EA" w:rsidRDefault="00A516D4" w:rsidP="002C64D6">
            <w:pPr>
              <w:pStyle w:val="Normal6"/>
              <w:rPr>
                <w:szCs w:val="24"/>
              </w:rPr>
            </w:pPr>
            <w:r>
              <w:rPr>
                <w:b/>
                <w:i/>
              </w:rPr>
              <w:t>36h.</w:t>
            </w:r>
            <w:r>
              <w:rPr>
                <w:b/>
                <w:i/>
              </w:rPr>
              <w:tab/>
              <w:t>pozdravlja, da sta agencija Frontex in ministrstvo Združenega kraljestva za notranje zadeve leta 2024 sklenila delovni dogovor na podlagi skupne zaveze za izboljšanje varnosti in zaščite ob spoštovanju obveznosti na področju temeljnih pravic; verjame, da bo ta dogovor okrepil sodelovanje na področju upravljanja meja in varnosti, vključno z napotitvijo osebja za svetovalne in usklajevalne naloge;</w:t>
            </w:r>
          </w:p>
        </w:tc>
      </w:tr>
    </w:tbl>
    <w:p w14:paraId="63CBD36D" w14:textId="77777777" w:rsidR="002A32EA" w:rsidRPr="002A32EA" w:rsidRDefault="00A516D4" w:rsidP="002A32EA">
      <w:pPr>
        <w:rPr>
          <w:szCs w:val="24"/>
        </w:rPr>
      </w:pPr>
      <w:r>
        <w:rPr>
          <w:rStyle w:val="HideTWBExt"/>
        </w:rPr>
        <w:t>&lt;/Amend&gt;</w:t>
      </w:r>
    </w:p>
    <w:p w14:paraId="1D7AED24" w14:textId="77777777" w:rsidR="002A32EA" w:rsidRPr="002A32EA" w:rsidRDefault="00A516D4" w:rsidP="002A32EA">
      <w:pPr>
        <w:pStyle w:val="AMNumberTabs0"/>
        <w:keepNext/>
      </w:pPr>
      <w:r>
        <w:rPr>
          <w:rStyle w:val="HideTWBExt"/>
          <w:b w:val="0"/>
        </w:rPr>
        <w:t>&lt;Amend&gt;</w:t>
      </w:r>
      <w:r>
        <w:t>Predlog spremembe</w:t>
      </w:r>
      <w:r>
        <w:tab/>
      </w:r>
      <w:r>
        <w:tab/>
      </w:r>
      <w:r>
        <w:rPr>
          <w:rStyle w:val="HideTWBExt"/>
          <w:b w:val="0"/>
        </w:rPr>
        <w:t>&lt;NumAm&gt;</w:t>
      </w:r>
      <w:r>
        <w:t>10</w:t>
      </w:r>
      <w:r>
        <w:rPr>
          <w:rStyle w:val="HideTWBExt"/>
          <w:b w:val="0"/>
        </w:rPr>
        <w:t>&lt;/NumAm&gt;</w:t>
      </w:r>
    </w:p>
    <w:p w14:paraId="0FE8512D" w14:textId="77777777" w:rsidR="002A32EA" w:rsidRPr="002A32EA" w:rsidRDefault="00A516D4" w:rsidP="002A32EA">
      <w:pPr>
        <w:pStyle w:val="AMNumberTabs0"/>
        <w:keepNext/>
      </w:pPr>
      <w:r>
        <w:rPr>
          <w:rStyle w:val="HideTWBExt"/>
          <w:b w:val="0"/>
        </w:rPr>
        <w:t>&lt;DocAmend&gt;</w:t>
      </w:r>
      <w:r>
        <w:t>Predlog resolucije</w:t>
      </w:r>
      <w:r>
        <w:rPr>
          <w:rStyle w:val="HideTWBExt"/>
          <w:b w:val="0"/>
        </w:rPr>
        <w:t>&lt;/DocAmend&gt;</w:t>
      </w:r>
    </w:p>
    <w:p w14:paraId="5E7EEFAE" w14:textId="77777777" w:rsidR="002A32EA" w:rsidRPr="002A32EA" w:rsidRDefault="00A516D4" w:rsidP="002A32EA">
      <w:pPr>
        <w:pStyle w:val="NormalBold"/>
      </w:pPr>
      <w:r>
        <w:rPr>
          <w:rStyle w:val="HideTWBExt"/>
          <w:b w:val="0"/>
        </w:rPr>
        <w:t>&lt;Article&gt;</w:t>
      </w:r>
      <w:r>
        <w:t>Odstavek 36 i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749" w14:paraId="7C4358F0" w14:textId="77777777" w:rsidTr="002C64D6">
        <w:trPr>
          <w:jc w:val="center"/>
        </w:trPr>
        <w:tc>
          <w:tcPr>
            <w:tcW w:w="9752" w:type="dxa"/>
            <w:gridSpan w:val="2"/>
          </w:tcPr>
          <w:p w14:paraId="46BDD93A" w14:textId="77777777" w:rsidR="002A32EA" w:rsidRPr="002A32EA" w:rsidRDefault="002A32EA" w:rsidP="002C64D6">
            <w:pPr>
              <w:keepNext/>
            </w:pPr>
          </w:p>
        </w:tc>
      </w:tr>
      <w:tr w:rsidR="00062749" w14:paraId="2CC0E02A" w14:textId="77777777" w:rsidTr="002C64D6">
        <w:trPr>
          <w:jc w:val="center"/>
        </w:trPr>
        <w:tc>
          <w:tcPr>
            <w:tcW w:w="4876" w:type="dxa"/>
            <w:hideMark/>
          </w:tcPr>
          <w:p w14:paraId="3EB7EB58" w14:textId="77777777" w:rsidR="002A32EA" w:rsidRPr="002A32EA" w:rsidRDefault="00A516D4" w:rsidP="002C64D6">
            <w:pPr>
              <w:pStyle w:val="ColumnHeading"/>
              <w:keepNext/>
            </w:pPr>
            <w:r>
              <w:t>Predlog resolucije</w:t>
            </w:r>
          </w:p>
        </w:tc>
        <w:tc>
          <w:tcPr>
            <w:tcW w:w="4876" w:type="dxa"/>
            <w:hideMark/>
          </w:tcPr>
          <w:p w14:paraId="30CC680F" w14:textId="77777777" w:rsidR="002A32EA" w:rsidRPr="002A32EA" w:rsidRDefault="00A516D4" w:rsidP="002C64D6">
            <w:pPr>
              <w:pStyle w:val="ColumnHeading"/>
              <w:keepNext/>
            </w:pPr>
            <w:r>
              <w:t>Predlog spremembe</w:t>
            </w:r>
          </w:p>
        </w:tc>
      </w:tr>
      <w:tr w:rsidR="00062749" w14:paraId="5C78BF27" w14:textId="77777777" w:rsidTr="002C64D6">
        <w:trPr>
          <w:jc w:val="center"/>
        </w:trPr>
        <w:tc>
          <w:tcPr>
            <w:tcW w:w="4876" w:type="dxa"/>
          </w:tcPr>
          <w:p w14:paraId="7E64877E" w14:textId="77777777" w:rsidR="002A32EA" w:rsidRPr="002A32EA" w:rsidRDefault="002A32EA" w:rsidP="002C64D6">
            <w:pPr>
              <w:pStyle w:val="Normal6"/>
            </w:pPr>
          </w:p>
        </w:tc>
        <w:tc>
          <w:tcPr>
            <w:tcW w:w="4876" w:type="dxa"/>
            <w:hideMark/>
          </w:tcPr>
          <w:p w14:paraId="71AEDD9D" w14:textId="77777777" w:rsidR="002A32EA" w:rsidRPr="002A32EA" w:rsidRDefault="00A516D4" w:rsidP="002C64D6">
            <w:pPr>
              <w:pStyle w:val="Normal6"/>
              <w:rPr>
                <w:szCs w:val="24"/>
              </w:rPr>
            </w:pPr>
            <w:r>
              <w:rPr>
                <w:b/>
                <w:i/>
              </w:rPr>
              <w:t>36i.</w:t>
            </w:r>
            <w:r>
              <w:rPr>
                <w:b/>
                <w:i/>
              </w:rPr>
              <w:tab/>
              <w:t>spodbuja tesnejše sodelovanje med Evropsko migracijsko mrežo in agencijami, vključno z Agencijo Evropske unije za azil in agencijo Frontex, ter ustreznimi organi Združenega kraljestva v skladu z zavezo pogodbenic iz skupnega dogovora; spodbuja sklenitev delovnega dogovora o vzajemni izmenjavi informacij med Agencijo Evropske unije za droge in organi Združenega kraljestva, pristojnimi za tveganja in grožnje, povezanimi z drogami, da bi olajšali delo agencije;</w:t>
            </w:r>
          </w:p>
        </w:tc>
      </w:tr>
    </w:tbl>
    <w:p w14:paraId="1F4A2365" w14:textId="77777777" w:rsidR="002A32EA" w:rsidRPr="002A32EA" w:rsidRDefault="00A516D4" w:rsidP="002A32EA">
      <w:pPr>
        <w:rPr>
          <w:szCs w:val="24"/>
        </w:rPr>
      </w:pPr>
      <w:r>
        <w:rPr>
          <w:rStyle w:val="HideTWBExt"/>
        </w:rPr>
        <w:t>&lt;/Amend&gt;</w:t>
      </w:r>
    </w:p>
    <w:p w14:paraId="7A3CA691" w14:textId="77777777" w:rsidR="002A32EA" w:rsidRPr="002A32EA" w:rsidRDefault="00A516D4" w:rsidP="002A32EA">
      <w:pPr>
        <w:pStyle w:val="AMNumberTabs0"/>
        <w:keepNext/>
      </w:pPr>
      <w:r>
        <w:rPr>
          <w:rStyle w:val="HideTWBExt"/>
          <w:b w:val="0"/>
        </w:rPr>
        <w:t>&lt;Amend&gt;</w:t>
      </w:r>
      <w:r>
        <w:t>Predlog spremembe</w:t>
      </w:r>
      <w:r>
        <w:tab/>
      </w:r>
      <w:r>
        <w:tab/>
      </w:r>
      <w:r>
        <w:rPr>
          <w:rStyle w:val="HideTWBExt"/>
          <w:b w:val="0"/>
        </w:rPr>
        <w:t>&lt;NumAm&gt;</w:t>
      </w:r>
      <w:r>
        <w:t>11</w:t>
      </w:r>
      <w:r>
        <w:rPr>
          <w:rStyle w:val="HideTWBExt"/>
          <w:b w:val="0"/>
        </w:rPr>
        <w:t>&lt;/NumAm&gt;</w:t>
      </w:r>
    </w:p>
    <w:p w14:paraId="03CEF075" w14:textId="77777777" w:rsidR="002A32EA" w:rsidRPr="002A32EA" w:rsidRDefault="00A516D4" w:rsidP="002A32EA">
      <w:pPr>
        <w:pStyle w:val="AMNumberTabs0"/>
        <w:keepNext/>
      </w:pPr>
      <w:r>
        <w:rPr>
          <w:rStyle w:val="HideTWBExt"/>
          <w:b w:val="0"/>
        </w:rPr>
        <w:t>&lt;DocAmend&gt;</w:t>
      </w:r>
      <w:r>
        <w:t>Predlog resolucije</w:t>
      </w:r>
      <w:r>
        <w:rPr>
          <w:rStyle w:val="HideTWBExt"/>
          <w:b w:val="0"/>
        </w:rPr>
        <w:t>&lt;/DocAmend&gt;</w:t>
      </w:r>
    </w:p>
    <w:p w14:paraId="34EB5BA5" w14:textId="77777777" w:rsidR="002A32EA" w:rsidRPr="002A32EA" w:rsidRDefault="00A516D4" w:rsidP="002A32EA">
      <w:pPr>
        <w:pStyle w:val="NormalBold"/>
      </w:pPr>
      <w:r>
        <w:rPr>
          <w:rStyle w:val="HideTWBExt"/>
          <w:b w:val="0"/>
        </w:rPr>
        <w:t>&lt;Article&gt;</w:t>
      </w:r>
      <w:r>
        <w:t>Odstavek 36 j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749" w14:paraId="40B377C9" w14:textId="77777777" w:rsidTr="002C64D6">
        <w:trPr>
          <w:jc w:val="center"/>
        </w:trPr>
        <w:tc>
          <w:tcPr>
            <w:tcW w:w="9752" w:type="dxa"/>
            <w:gridSpan w:val="2"/>
          </w:tcPr>
          <w:p w14:paraId="4427AA0C" w14:textId="77777777" w:rsidR="002A32EA" w:rsidRPr="002A32EA" w:rsidRDefault="002A32EA" w:rsidP="002C64D6">
            <w:pPr>
              <w:keepNext/>
            </w:pPr>
          </w:p>
        </w:tc>
      </w:tr>
      <w:tr w:rsidR="00062749" w14:paraId="372046C6" w14:textId="77777777" w:rsidTr="002C64D6">
        <w:trPr>
          <w:jc w:val="center"/>
        </w:trPr>
        <w:tc>
          <w:tcPr>
            <w:tcW w:w="4876" w:type="dxa"/>
            <w:hideMark/>
          </w:tcPr>
          <w:p w14:paraId="4007234D" w14:textId="77777777" w:rsidR="002A32EA" w:rsidRPr="002A32EA" w:rsidRDefault="00A516D4" w:rsidP="002C64D6">
            <w:pPr>
              <w:pStyle w:val="ColumnHeading"/>
              <w:keepNext/>
            </w:pPr>
            <w:r>
              <w:t>Predlog resolucije</w:t>
            </w:r>
          </w:p>
        </w:tc>
        <w:tc>
          <w:tcPr>
            <w:tcW w:w="4876" w:type="dxa"/>
            <w:hideMark/>
          </w:tcPr>
          <w:p w14:paraId="6CE20D2C" w14:textId="77777777" w:rsidR="002A32EA" w:rsidRPr="002A32EA" w:rsidRDefault="00A516D4" w:rsidP="002C64D6">
            <w:pPr>
              <w:pStyle w:val="ColumnHeading"/>
              <w:keepNext/>
            </w:pPr>
            <w:r>
              <w:t>Predlog spremembe</w:t>
            </w:r>
          </w:p>
        </w:tc>
      </w:tr>
      <w:tr w:rsidR="00062749" w14:paraId="095CC582" w14:textId="77777777" w:rsidTr="002C64D6">
        <w:trPr>
          <w:jc w:val="center"/>
        </w:trPr>
        <w:tc>
          <w:tcPr>
            <w:tcW w:w="4876" w:type="dxa"/>
          </w:tcPr>
          <w:p w14:paraId="6C47E215" w14:textId="77777777" w:rsidR="002A32EA" w:rsidRPr="002A32EA" w:rsidRDefault="002A32EA" w:rsidP="002C64D6">
            <w:pPr>
              <w:pStyle w:val="Normal6"/>
            </w:pPr>
          </w:p>
        </w:tc>
        <w:tc>
          <w:tcPr>
            <w:tcW w:w="4876" w:type="dxa"/>
            <w:hideMark/>
          </w:tcPr>
          <w:p w14:paraId="1CB93CC3" w14:textId="77777777" w:rsidR="002A32EA" w:rsidRPr="002A32EA" w:rsidRDefault="00A516D4" w:rsidP="002C64D6">
            <w:pPr>
              <w:pStyle w:val="Normal6"/>
              <w:rPr>
                <w:szCs w:val="24"/>
              </w:rPr>
            </w:pPr>
            <w:r>
              <w:rPr>
                <w:b/>
                <w:i/>
              </w:rPr>
              <w:t>36j.</w:t>
            </w:r>
            <w:r>
              <w:rPr>
                <w:b/>
                <w:i/>
              </w:rPr>
              <w:tab/>
              <w:t>je seznanjen s skupnimi izzivi, s katerimi se spopadata Združeno kraljestvo in EU v zvezi z nedovoljenimi migracijami; izraža odločno podporo prizadevanjem strani pri tesnejšem sodelovanju v večstranskih forumih in procesih za boj proti tihotapljenju migrantov in trgovini z ljudmi, pri izmenjavi operativnih informacij o vračanju v tretje države ter pri preučevanju mehanizmov odvračanja v skladu z nacionalnim pravom, pravom EU in mednarodnim pravom, pri čemer sta še naprej zavezani zagotavljanju mednarodne zaščite tistim, ki jo potrebujejo;</w:t>
            </w:r>
          </w:p>
        </w:tc>
      </w:tr>
    </w:tbl>
    <w:p w14:paraId="4711B656" w14:textId="77777777" w:rsidR="002A32EA" w:rsidRPr="002A32EA" w:rsidRDefault="00A516D4" w:rsidP="002A32EA">
      <w:pPr>
        <w:rPr>
          <w:szCs w:val="24"/>
        </w:rPr>
      </w:pPr>
      <w:r>
        <w:rPr>
          <w:rStyle w:val="HideTWBExt"/>
        </w:rPr>
        <w:t>&lt;/Amend&gt;</w:t>
      </w:r>
    </w:p>
    <w:p w14:paraId="0D8CDE3B" w14:textId="77777777" w:rsidR="002A32EA" w:rsidRPr="002A32EA" w:rsidRDefault="00A516D4" w:rsidP="002A32EA">
      <w:pPr>
        <w:pStyle w:val="AMNumberTabs0"/>
        <w:keepNext/>
      </w:pPr>
      <w:r>
        <w:rPr>
          <w:rStyle w:val="HideTWBExt"/>
          <w:b w:val="0"/>
        </w:rPr>
        <w:t>&lt;Amend&gt;</w:t>
      </w:r>
      <w:r>
        <w:t>Predlog spremembe</w:t>
      </w:r>
      <w:r>
        <w:tab/>
      </w:r>
      <w:r>
        <w:tab/>
      </w:r>
      <w:r>
        <w:rPr>
          <w:rStyle w:val="HideTWBExt"/>
          <w:b w:val="0"/>
        </w:rPr>
        <w:t>&lt;NumAm&gt;</w:t>
      </w:r>
      <w:r>
        <w:t>12</w:t>
      </w:r>
      <w:r>
        <w:rPr>
          <w:rStyle w:val="HideTWBExt"/>
          <w:b w:val="0"/>
        </w:rPr>
        <w:t>&lt;/NumAm&gt;</w:t>
      </w:r>
    </w:p>
    <w:p w14:paraId="703640DE" w14:textId="77777777" w:rsidR="002A32EA" w:rsidRPr="002A32EA" w:rsidRDefault="00A516D4" w:rsidP="002A32EA">
      <w:pPr>
        <w:pStyle w:val="AMNumberTabs0"/>
        <w:keepNext/>
      </w:pPr>
      <w:r>
        <w:rPr>
          <w:rStyle w:val="HideTWBExt"/>
          <w:b w:val="0"/>
        </w:rPr>
        <w:t>&lt;DocAmend&gt;</w:t>
      </w:r>
      <w:r>
        <w:t>Predlog resolucije</w:t>
      </w:r>
      <w:r>
        <w:rPr>
          <w:rStyle w:val="HideTWBExt"/>
          <w:b w:val="0"/>
        </w:rPr>
        <w:t>&lt;/DocAmend&gt;</w:t>
      </w:r>
    </w:p>
    <w:p w14:paraId="6C6370C5" w14:textId="77777777" w:rsidR="002A32EA" w:rsidRPr="002A32EA" w:rsidRDefault="00A516D4" w:rsidP="002A32EA">
      <w:pPr>
        <w:pStyle w:val="NormalBold"/>
      </w:pPr>
      <w:r>
        <w:rPr>
          <w:rStyle w:val="HideTWBExt"/>
          <w:b w:val="0"/>
        </w:rPr>
        <w:t>&lt;Article&gt;</w:t>
      </w:r>
      <w:r>
        <w:t>Odstavek 36 k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749" w14:paraId="57FED349" w14:textId="77777777" w:rsidTr="002C64D6">
        <w:trPr>
          <w:jc w:val="center"/>
        </w:trPr>
        <w:tc>
          <w:tcPr>
            <w:tcW w:w="9752" w:type="dxa"/>
            <w:gridSpan w:val="2"/>
          </w:tcPr>
          <w:p w14:paraId="3DEA139A" w14:textId="77777777" w:rsidR="002A32EA" w:rsidRPr="002A32EA" w:rsidRDefault="002A32EA" w:rsidP="002C64D6">
            <w:pPr>
              <w:keepNext/>
            </w:pPr>
          </w:p>
        </w:tc>
      </w:tr>
      <w:tr w:rsidR="00062749" w14:paraId="30192779" w14:textId="77777777" w:rsidTr="002C64D6">
        <w:trPr>
          <w:jc w:val="center"/>
        </w:trPr>
        <w:tc>
          <w:tcPr>
            <w:tcW w:w="4876" w:type="dxa"/>
            <w:hideMark/>
          </w:tcPr>
          <w:p w14:paraId="65FC7747" w14:textId="77777777" w:rsidR="002A32EA" w:rsidRPr="002A32EA" w:rsidRDefault="00A516D4" w:rsidP="002C64D6">
            <w:pPr>
              <w:pStyle w:val="ColumnHeading"/>
              <w:keepNext/>
            </w:pPr>
            <w:r>
              <w:t>Predlog resolucije</w:t>
            </w:r>
          </w:p>
        </w:tc>
        <w:tc>
          <w:tcPr>
            <w:tcW w:w="4876" w:type="dxa"/>
            <w:hideMark/>
          </w:tcPr>
          <w:p w14:paraId="2178BDE1" w14:textId="77777777" w:rsidR="002A32EA" w:rsidRPr="002A32EA" w:rsidRDefault="00A516D4" w:rsidP="002C64D6">
            <w:pPr>
              <w:pStyle w:val="ColumnHeading"/>
              <w:keepNext/>
            </w:pPr>
            <w:r>
              <w:t>Predlog spremembe</w:t>
            </w:r>
          </w:p>
        </w:tc>
      </w:tr>
      <w:tr w:rsidR="00062749" w14:paraId="6B671CC8" w14:textId="77777777" w:rsidTr="002C64D6">
        <w:trPr>
          <w:jc w:val="center"/>
        </w:trPr>
        <w:tc>
          <w:tcPr>
            <w:tcW w:w="4876" w:type="dxa"/>
          </w:tcPr>
          <w:p w14:paraId="500C126A" w14:textId="77777777" w:rsidR="002A32EA" w:rsidRPr="002A32EA" w:rsidRDefault="002A32EA" w:rsidP="002C64D6">
            <w:pPr>
              <w:pStyle w:val="Normal6"/>
            </w:pPr>
          </w:p>
        </w:tc>
        <w:tc>
          <w:tcPr>
            <w:tcW w:w="4876" w:type="dxa"/>
            <w:hideMark/>
          </w:tcPr>
          <w:p w14:paraId="7A2B54F4" w14:textId="77777777" w:rsidR="002A32EA" w:rsidRPr="002A32EA" w:rsidRDefault="00A516D4" w:rsidP="002C64D6">
            <w:pPr>
              <w:pStyle w:val="Normal6"/>
              <w:rPr>
                <w:szCs w:val="24"/>
              </w:rPr>
            </w:pPr>
            <w:r>
              <w:rPr>
                <w:b/>
                <w:i/>
              </w:rPr>
              <w:t>36k.</w:t>
            </w:r>
            <w:r>
              <w:rPr>
                <w:b/>
                <w:i/>
              </w:rPr>
              <w:tab/>
              <w:t>ugotavlja, da novi zakon o varnosti na mejah, azilu in priseljevanju, ki je bil v parlamentu Združenega kraljestva predstavljen 30. januarja 2025, predvideva možnost sklenitve sporazumov z državami skupine G7 in glavnimi evropskimi partnerji, da bi se borili proti tihotapljenju; pozdravlja željo Združenega kraljestva po tesnejšem sodelovanju s posameznimi državami članicami, vključno s Francijo in skupino Calais, pri boju proti tihotapljenju ljudi in trgovini z ljudmi ter širše pri krepitvi varnosti meja, vključno z varovanjem meja;</w:t>
            </w:r>
          </w:p>
        </w:tc>
      </w:tr>
    </w:tbl>
    <w:p w14:paraId="6DC82681" w14:textId="77777777" w:rsidR="002A32EA" w:rsidRPr="002A32EA" w:rsidRDefault="00A516D4" w:rsidP="002A32EA">
      <w:pPr>
        <w:rPr>
          <w:szCs w:val="24"/>
        </w:rPr>
      </w:pPr>
      <w:r>
        <w:rPr>
          <w:rStyle w:val="HideTWBExt"/>
        </w:rPr>
        <w:t>&lt;/Amend&gt;</w:t>
      </w:r>
    </w:p>
    <w:p w14:paraId="327A1AD3" w14:textId="77777777" w:rsidR="002A32EA" w:rsidRPr="002A32EA" w:rsidRDefault="00A516D4" w:rsidP="002A32EA">
      <w:pPr>
        <w:pStyle w:val="AMNumberTabs0"/>
        <w:keepNext/>
      </w:pPr>
      <w:r>
        <w:rPr>
          <w:rStyle w:val="HideTWBExt"/>
          <w:b w:val="0"/>
        </w:rPr>
        <w:t>&lt;Amend&gt;</w:t>
      </w:r>
      <w:r>
        <w:t>Predlog spremembe</w:t>
      </w:r>
      <w:r>
        <w:tab/>
      </w:r>
      <w:r>
        <w:tab/>
      </w:r>
      <w:r>
        <w:rPr>
          <w:rStyle w:val="HideTWBExt"/>
          <w:b w:val="0"/>
        </w:rPr>
        <w:t>&lt;NumAm&gt;</w:t>
      </w:r>
      <w:r>
        <w:t>13</w:t>
      </w:r>
      <w:r>
        <w:rPr>
          <w:rStyle w:val="HideTWBExt"/>
          <w:b w:val="0"/>
        </w:rPr>
        <w:t>&lt;/NumAm&gt;</w:t>
      </w:r>
    </w:p>
    <w:p w14:paraId="1163E327" w14:textId="77777777" w:rsidR="002A32EA" w:rsidRPr="002A32EA" w:rsidRDefault="00A516D4" w:rsidP="002A32EA">
      <w:pPr>
        <w:pStyle w:val="AMNumberTabs0"/>
        <w:keepNext/>
      </w:pPr>
      <w:r>
        <w:rPr>
          <w:rStyle w:val="HideTWBExt"/>
          <w:b w:val="0"/>
        </w:rPr>
        <w:t>&lt;DocAmend&gt;</w:t>
      </w:r>
      <w:r>
        <w:t>Predlog resolucije</w:t>
      </w:r>
      <w:r>
        <w:rPr>
          <w:rStyle w:val="HideTWBExt"/>
          <w:b w:val="0"/>
        </w:rPr>
        <w:t>&lt;/DocAmend&gt;</w:t>
      </w:r>
    </w:p>
    <w:p w14:paraId="400E021F" w14:textId="77777777" w:rsidR="002A32EA" w:rsidRPr="002A32EA" w:rsidRDefault="00A516D4" w:rsidP="002A32EA">
      <w:pPr>
        <w:pStyle w:val="NormalBold"/>
      </w:pPr>
      <w:r>
        <w:rPr>
          <w:rStyle w:val="HideTWBExt"/>
          <w:b w:val="0"/>
        </w:rPr>
        <w:t>&lt;Article&gt;</w:t>
      </w:r>
      <w:r>
        <w:t>Odstavek 36 l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749" w14:paraId="26F68C31" w14:textId="77777777" w:rsidTr="002C64D6">
        <w:trPr>
          <w:jc w:val="center"/>
        </w:trPr>
        <w:tc>
          <w:tcPr>
            <w:tcW w:w="9752" w:type="dxa"/>
            <w:gridSpan w:val="2"/>
          </w:tcPr>
          <w:p w14:paraId="74742684" w14:textId="77777777" w:rsidR="002A32EA" w:rsidRPr="002A32EA" w:rsidRDefault="002A32EA" w:rsidP="002C64D6">
            <w:pPr>
              <w:keepNext/>
            </w:pPr>
          </w:p>
        </w:tc>
      </w:tr>
      <w:tr w:rsidR="00062749" w14:paraId="072C9333" w14:textId="77777777" w:rsidTr="002C64D6">
        <w:trPr>
          <w:jc w:val="center"/>
        </w:trPr>
        <w:tc>
          <w:tcPr>
            <w:tcW w:w="4876" w:type="dxa"/>
            <w:hideMark/>
          </w:tcPr>
          <w:p w14:paraId="5B6CFF8D" w14:textId="77777777" w:rsidR="002A32EA" w:rsidRPr="002A32EA" w:rsidRDefault="00A516D4" w:rsidP="002C64D6">
            <w:pPr>
              <w:pStyle w:val="ColumnHeading"/>
              <w:keepNext/>
            </w:pPr>
            <w:r>
              <w:t>Predlog resolucije</w:t>
            </w:r>
          </w:p>
        </w:tc>
        <w:tc>
          <w:tcPr>
            <w:tcW w:w="4876" w:type="dxa"/>
            <w:hideMark/>
          </w:tcPr>
          <w:p w14:paraId="7F94B68F" w14:textId="77777777" w:rsidR="002A32EA" w:rsidRPr="002A32EA" w:rsidRDefault="00A516D4" w:rsidP="002C64D6">
            <w:pPr>
              <w:pStyle w:val="ColumnHeading"/>
              <w:keepNext/>
            </w:pPr>
            <w:r>
              <w:t>Predlog spremembe</w:t>
            </w:r>
          </w:p>
        </w:tc>
      </w:tr>
      <w:tr w:rsidR="00062749" w14:paraId="43FB4D50" w14:textId="77777777" w:rsidTr="002C64D6">
        <w:trPr>
          <w:jc w:val="center"/>
        </w:trPr>
        <w:tc>
          <w:tcPr>
            <w:tcW w:w="4876" w:type="dxa"/>
          </w:tcPr>
          <w:p w14:paraId="5417B9C2" w14:textId="77777777" w:rsidR="002A32EA" w:rsidRPr="002A32EA" w:rsidRDefault="002A32EA" w:rsidP="002C64D6">
            <w:pPr>
              <w:pStyle w:val="Normal6"/>
            </w:pPr>
          </w:p>
        </w:tc>
        <w:tc>
          <w:tcPr>
            <w:tcW w:w="4876" w:type="dxa"/>
            <w:hideMark/>
          </w:tcPr>
          <w:p w14:paraId="2D3E2417" w14:textId="77777777" w:rsidR="002A32EA" w:rsidRPr="002A32EA" w:rsidRDefault="00A516D4" w:rsidP="002C64D6">
            <w:pPr>
              <w:pStyle w:val="Normal6"/>
              <w:rPr>
                <w:szCs w:val="24"/>
              </w:rPr>
            </w:pPr>
            <w:r>
              <w:rPr>
                <w:b/>
                <w:i/>
              </w:rPr>
              <w:t>36l.</w:t>
            </w:r>
            <w:r>
              <w:rPr>
                <w:b/>
                <w:i/>
              </w:rPr>
              <w:tab/>
              <w:t>opozarja, da se sistem izročitve med državami članicami in Združenim kraljestvom, kot je določen v naslovu VII tretjega dela sporazuma o trgovini in sodelovanju, razlikuje od sistema iz Okvirnega sklepa Sveta o evropskem nalogu za prijetje</w:t>
            </w:r>
            <w:r>
              <w:rPr>
                <w:b/>
                <w:i/>
                <w:vertAlign w:val="superscript"/>
              </w:rPr>
              <w:t>1a</w:t>
            </w:r>
            <w:r>
              <w:rPr>
                <w:b/>
                <w:i/>
              </w:rPr>
              <w:t>; opozarja, da je Sodišče Evropske unije v nedavni sodbi</w:t>
            </w:r>
            <w:r>
              <w:rPr>
                <w:b/>
                <w:i/>
                <w:vertAlign w:val="superscript"/>
              </w:rPr>
              <w:t>1b</w:t>
            </w:r>
            <w:r>
              <w:rPr>
                <w:b/>
                <w:i/>
              </w:rPr>
              <w:t xml:space="preserve"> navedlo, da mora izvršitveni pravosodni organ neodvisno preučiti tveganje kršenja Listine Evropske unije o temeljnih pravicah, za katero zadevna oseba trdi, da bi obstajalo v primeru predaje Združenemu kraljestvu;</w:t>
            </w:r>
          </w:p>
        </w:tc>
      </w:tr>
      <w:tr w:rsidR="00062749" w14:paraId="6F54397A" w14:textId="77777777" w:rsidTr="002C64D6">
        <w:trPr>
          <w:jc w:val="center"/>
        </w:trPr>
        <w:tc>
          <w:tcPr>
            <w:tcW w:w="4876" w:type="dxa"/>
          </w:tcPr>
          <w:p w14:paraId="1AD1D06E" w14:textId="77777777" w:rsidR="002A32EA" w:rsidRPr="002A32EA" w:rsidRDefault="002A32EA" w:rsidP="002C64D6">
            <w:pPr>
              <w:pStyle w:val="Normal6"/>
            </w:pPr>
          </w:p>
        </w:tc>
        <w:tc>
          <w:tcPr>
            <w:tcW w:w="4876" w:type="dxa"/>
            <w:hideMark/>
          </w:tcPr>
          <w:p w14:paraId="7E35C1AE" w14:textId="77777777" w:rsidR="002A32EA" w:rsidRPr="002A32EA" w:rsidRDefault="00A516D4" w:rsidP="002C64D6">
            <w:pPr>
              <w:pStyle w:val="Normal6"/>
              <w:rPr>
                <w:szCs w:val="24"/>
              </w:rPr>
            </w:pPr>
            <w:r>
              <w:rPr>
                <w:b/>
                <w:i/>
              </w:rPr>
              <w:t>__________________</w:t>
            </w:r>
          </w:p>
        </w:tc>
      </w:tr>
      <w:tr w:rsidR="00062749" w14:paraId="3717C614" w14:textId="77777777" w:rsidTr="002C64D6">
        <w:trPr>
          <w:jc w:val="center"/>
        </w:trPr>
        <w:tc>
          <w:tcPr>
            <w:tcW w:w="4876" w:type="dxa"/>
          </w:tcPr>
          <w:p w14:paraId="0D2DF489" w14:textId="77777777" w:rsidR="002A32EA" w:rsidRPr="002A32EA" w:rsidRDefault="002A32EA" w:rsidP="002C64D6">
            <w:pPr>
              <w:pStyle w:val="Normal6"/>
            </w:pPr>
          </w:p>
        </w:tc>
        <w:tc>
          <w:tcPr>
            <w:tcW w:w="4876" w:type="dxa"/>
            <w:hideMark/>
          </w:tcPr>
          <w:p w14:paraId="370ADEF2" w14:textId="28ECA742" w:rsidR="002A32EA" w:rsidRPr="002A32EA" w:rsidRDefault="00A516D4" w:rsidP="002C64D6">
            <w:pPr>
              <w:pStyle w:val="Normal6"/>
              <w:rPr>
                <w:szCs w:val="24"/>
              </w:rPr>
            </w:pPr>
            <w:r>
              <w:rPr>
                <w:b/>
                <w:i/>
                <w:vertAlign w:val="superscript"/>
              </w:rPr>
              <w:t>1a</w:t>
            </w:r>
            <w:r>
              <w:rPr>
                <w:b/>
                <w:i/>
              </w:rPr>
              <w:t xml:space="preserve"> Okvirni sklep Sveta 2002/584/PNZ z dne 13. junija 2022 o evropskem nalogu za prijetje in postopkih predaje med državami članicami (UL L 190, 18.7.2002, str. 1, ELI: </w:t>
            </w:r>
            <w:hyperlink r:id="rId14" w:history="1">
              <w:r>
                <w:rPr>
                  <w:rStyle w:val="Hyperlink"/>
                  <w:b/>
                  <w:i/>
                  <w:color w:val="auto"/>
                </w:rPr>
                <w:t>http://data.europa.eu/eli/dec_framw/2002/584/oj</w:t>
              </w:r>
            </w:hyperlink>
            <w:r>
              <w:rPr>
                <w:b/>
                <w:i/>
              </w:rPr>
              <w:t>).</w:t>
            </w:r>
          </w:p>
        </w:tc>
      </w:tr>
      <w:tr w:rsidR="00062749" w14:paraId="44E38CA8" w14:textId="77777777" w:rsidTr="002C64D6">
        <w:trPr>
          <w:jc w:val="center"/>
        </w:trPr>
        <w:tc>
          <w:tcPr>
            <w:tcW w:w="4876" w:type="dxa"/>
          </w:tcPr>
          <w:p w14:paraId="2616B0C7" w14:textId="77777777" w:rsidR="002A32EA" w:rsidRPr="002A32EA" w:rsidRDefault="002A32EA" w:rsidP="002C64D6">
            <w:pPr>
              <w:pStyle w:val="Normal6"/>
            </w:pPr>
          </w:p>
        </w:tc>
        <w:tc>
          <w:tcPr>
            <w:tcW w:w="4876" w:type="dxa"/>
            <w:hideMark/>
          </w:tcPr>
          <w:p w14:paraId="4F888F05" w14:textId="77777777" w:rsidR="002A32EA" w:rsidRPr="002A32EA" w:rsidRDefault="00A516D4" w:rsidP="002C64D6">
            <w:pPr>
              <w:pStyle w:val="Normal6"/>
              <w:rPr>
                <w:szCs w:val="24"/>
              </w:rPr>
            </w:pPr>
            <w:r>
              <w:rPr>
                <w:b/>
                <w:i/>
                <w:vertAlign w:val="superscript"/>
              </w:rPr>
              <w:t>1b</w:t>
            </w:r>
            <w:r>
              <w:t xml:space="preserve"> </w:t>
            </w:r>
            <w:r>
              <w:rPr>
                <w:b/>
                <w:i/>
              </w:rPr>
              <w:t>Sodba Sodišča z dne 29. julija 2024 v zadevi Alchaster, C-202/24, ECLI:EU:C:2024:649.</w:t>
            </w:r>
          </w:p>
        </w:tc>
      </w:tr>
    </w:tbl>
    <w:p w14:paraId="6897DAB3" w14:textId="77777777" w:rsidR="002A32EA" w:rsidRPr="002A32EA" w:rsidRDefault="00A516D4" w:rsidP="002A32EA">
      <w:pPr>
        <w:rPr>
          <w:szCs w:val="24"/>
        </w:rPr>
      </w:pPr>
      <w:r>
        <w:rPr>
          <w:rStyle w:val="HideTWBExt"/>
        </w:rPr>
        <w:t>&lt;/Amend&gt;</w:t>
      </w:r>
    </w:p>
    <w:p w14:paraId="24AE04C8" w14:textId="77777777" w:rsidR="002A32EA" w:rsidRPr="002A32EA" w:rsidRDefault="00A516D4" w:rsidP="002A32EA">
      <w:pPr>
        <w:pStyle w:val="AMNumberTabs0"/>
        <w:keepNext/>
      </w:pPr>
      <w:r>
        <w:rPr>
          <w:rStyle w:val="HideTWBExt"/>
          <w:b w:val="0"/>
        </w:rPr>
        <w:t>&lt;Amend&gt;</w:t>
      </w:r>
      <w:r>
        <w:t>Predlog spremembe</w:t>
      </w:r>
      <w:r>
        <w:tab/>
      </w:r>
      <w:r>
        <w:tab/>
      </w:r>
      <w:r>
        <w:rPr>
          <w:rStyle w:val="HideTWBExt"/>
          <w:b w:val="0"/>
        </w:rPr>
        <w:t>&lt;NumAm&gt;</w:t>
      </w:r>
      <w:r>
        <w:t>14</w:t>
      </w:r>
      <w:r>
        <w:rPr>
          <w:rStyle w:val="HideTWBExt"/>
          <w:b w:val="0"/>
        </w:rPr>
        <w:t>&lt;/NumAm&gt;</w:t>
      </w:r>
    </w:p>
    <w:p w14:paraId="42FA3AE2" w14:textId="77777777" w:rsidR="002A32EA" w:rsidRPr="002A32EA" w:rsidRDefault="00A516D4" w:rsidP="002A32EA">
      <w:pPr>
        <w:pStyle w:val="AMNumberTabs0"/>
        <w:keepNext/>
      </w:pPr>
      <w:r>
        <w:rPr>
          <w:rStyle w:val="HideTWBExt"/>
          <w:b w:val="0"/>
        </w:rPr>
        <w:t>&lt;DocAmend&gt;</w:t>
      </w:r>
      <w:r>
        <w:t>Predlog resolucije</w:t>
      </w:r>
      <w:r>
        <w:rPr>
          <w:rStyle w:val="HideTWBExt"/>
          <w:b w:val="0"/>
        </w:rPr>
        <w:t>&lt;/DocAmend&gt;</w:t>
      </w:r>
    </w:p>
    <w:p w14:paraId="14B1BBDB" w14:textId="77777777" w:rsidR="002A32EA" w:rsidRPr="002A32EA" w:rsidRDefault="00A516D4" w:rsidP="002A32EA">
      <w:pPr>
        <w:pStyle w:val="NormalBold"/>
      </w:pPr>
      <w:r>
        <w:rPr>
          <w:rStyle w:val="HideTWBExt"/>
          <w:b w:val="0"/>
        </w:rPr>
        <w:t>&lt;Article&gt;</w:t>
      </w:r>
      <w:r>
        <w:t>Odstavek 36 m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749" w14:paraId="3B9C44A7" w14:textId="77777777" w:rsidTr="002C64D6">
        <w:trPr>
          <w:jc w:val="center"/>
        </w:trPr>
        <w:tc>
          <w:tcPr>
            <w:tcW w:w="9752" w:type="dxa"/>
            <w:gridSpan w:val="2"/>
          </w:tcPr>
          <w:p w14:paraId="01808C8A" w14:textId="77777777" w:rsidR="002A32EA" w:rsidRPr="002A32EA" w:rsidRDefault="002A32EA" w:rsidP="002C64D6">
            <w:pPr>
              <w:keepNext/>
            </w:pPr>
          </w:p>
        </w:tc>
      </w:tr>
      <w:tr w:rsidR="00062749" w14:paraId="5FAD8EEB" w14:textId="77777777" w:rsidTr="002C64D6">
        <w:trPr>
          <w:jc w:val="center"/>
        </w:trPr>
        <w:tc>
          <w:tcPr>
            <w:tcW w:w="4876" w:type="dxa"/>
            <w:hideMark/>
          </w:tcPr>
          <w:p w14:paraId="75028F2F" w14:textId="77777777" w:rsidR="002A32EA" w:rsidRPr="002A32EA" w:rsidRDefault="00A516D4" w:rsidP="002C64D6">
            <w:pPr>
              <w:pStyle w:val="ColumnHeading"/>
              <w:keepNext/>
            </w:pPr>
            <w:r>
              <w:t>Predlog resolucije</w:t>
            </w:r>
          </w:p>
        </w:tc>
        <w:tc>
          <w:tcPr>
            <w:tcW w:w="4876" w:type="dxa"/>
            <w:hideMark/>
          </w:tcPr>
          <w:p w14:paraId="7E3C058B" w14:textId="77777777" w:rsidR="002A32EA" w:rsidRPr="002A32EA" w:rsidRDefault="00A516D4" w:rsidP="002C64D6">
            <w:pPr>
              <w:pStyle w:val="ColumnHeading"/>
              <w:keepNext/>
            </w:pPr>
            <w:r>
              <w:t>Predlog spremembe</w:t>
            </w:r>
          </w:p>
        </w:tc>
      </w:tr>
      <w:tr w:rsidR="00062749" w14:paraId="58357C58" w14:textId="77777777" w:rsidTr="002C64D6">
        <w:trPr>
          <w:jc w:val="center"/>
        </w:trPr>
        <w:tc>
          <w:tcPr>
            <w:tcW w:w="4876" w:type="dxa"/>
          </w:tcPr>
          <w:p w14:paraId="2050BD17" w14:textId="77777777" w:rsidR="002A32EA" w:rsidRPr="002A32EA" w:rsidRDefault="002A32EA" w:rsidP="002C64D6">
            <w:pPr>
              <w:pStyle w:val="Normal6"/>
            </w:pPr>
          </w:p>
        </w:tc>
        <w:tc>
          <w:tcPr>
            <w:tcW w:w="4876" w:type="dxa"/>
            <w:hideMark/>
          </w:tcPr>
          <w:p w14:paraId="5472EE86" w14:textId="77777777" w:rsidR="002A32EA" w:rsidRPr="002A32EA" w:rsidRDefault="00A516D4" w:rsidP="002C64D6">
            <w:pPr>
              <w:pStyle w:val="Normal6"/>
              <w:rPr>
                <w:szCs w:val="24"/>
              </w:rPr>
            </w:pPr>
            <w:r>
              <w:rPr>
                <w:b/>
                <w:i/>
              </w:rPr>
              <w:t>36m.</w:t>
            </w:r>
            <w:r>
              <w:rPr>
                <w:b/>
                <w:i/>
              </w:rPr>
              <w:tab/>
              <w:t>opozarja, da tretji del sporazuma o trgovini in sodelovanju omogoča širši pretok podatkov med EU in Združenim kraljestvom, na primer izmenjavo podatkov o DNK, podatkov iz evidence podatkov o potnikih in informacij iz kazenskih evidenc; zato poudarja, da je izjemnega pomena, da Združeno kraljestvo zagotovi, da je raven varstva v osnovi enakovredna ravni, ki jo zagotavlja EU, da ne bi pri izmenjavi podatkov z Združenim kraljestvom ogrozili standardov EU in s tem temeljnih pravic njenih državljanov;</w:t>
            </w:r>
          </w:p>
        </w:tc>
      </w:tr>
    </w:tbl>
    <w:p w14:paraId="16F02ADE" w14:textId="77777777" w:rsidR="002A32EA" w:rsidRPr="002A32EA" w:rsidRDefault="00A516D4" w:rsidP="002A32EA">
      <w:pPr>
        <w:rPr>
          <w:szCs w:val="24"/>
        </w:rPr>
      </w:pPr>
      <w:r>
        <w:rPr>
          <w:rStyle w:val="HideTWBExt"/>
        </w:rPr>
        <w:t>&lt;/Amend&gt;</w:t>
      </w:r>
    </w:p>
    <w:p w14:paraId="16A93389" w14:textId="77777777" w:rsidR="002A32EA" w:rsidRPr="002A32EA" w:rsidRDefault="00A516D4" w:rsidP="002A32EA">
      <w:pPr>
        <w:pStyle w:val="AMNumberTabs0"/>
        <w:keepNext/>
      </w:pPr>
      <w:r>
        <w:rPr>
          <w:rStyle w:val="HideTWBExt"/>
          <w:b w:val="0"/>
        </w:rPr>
        <w:t>&lt;Amend&gt;</w:t>
      </w:r>
      <w:r>
        <w:t>Predlog spremembe</w:t>
      </w:r>
      <w:r>
        <w:tab/>
      </w:r>
      <w:r>
        <w:tab/>
      </w:r>
      <w:r>
        <w:rPr>
          <w:rStyle w:val="HideTWBExt"/>
          <w:b w:val="0"/>
        </w:rPr>
        <w:t>&lt;NumAm&gt;</w:t>
      </w:r>
      <w:r>
        <w:t>15</w:t>
      </w:r>
      <w:r>
        <w:rPr>
          <w:rStyle w:val="HideTWBExt"/>
          <w:b w:val="0"/>
        </w:rPr>
        <w:t>&lt;/NumAm&gt;</w:t>
      </w:r>
    </w:p>
    <w:p w14:paraId="742ABAAD" w14:textId="77777777" w:rsidR="002A32EA" w:rsidRPr="002A32EA" w:rsidRDefault="00A516D4" w:rsidP="002A32EA">
      <w:pPr>
        <w:pStyle w:val="AMNumberTabs0"/>
        <w:keepNext/>
      </w:pPr>
      <w:r>
        <w:rPr>
          <w:rStyle w:val="HideTWBExt"/>
          <w:b w:val="0"/>
        </w:rPr>
        <w:t>&lt;DocAmend&gt;</w:t>
      </w:r>
      <w:r>
        <w:t>Predlog resolucije</w:t>
      </w:r>
      <w:r>
        <w:rPr>
          <w:rStyle w:val="HideTWBExt"/>
          <w:b w:val="0"/>
        </w:rPr>
        <w:t>&lt;/DocAmend&gt;</w:t>
      </w:r>
    </w:p>
    <w:p w14:paraId="2648699F" w14:textId="77777777" w:rsidR="002A32EA" w:rsidRPr="002A32EA" w:rsidRDefault="00A516D4" w:rsidP="002A32EA">
      <w:pPr>
        <w:pStyle w:val="NormalBold"/>
      </w:pPr>
      <w:r>
        <w:rPr>
          <w:rStyle w:val="HideTWBExt"/>
          <w:b w:val="0"/>
        </w:rPr>
        <w:t>&lt;Article&gt;</w:t>
      </w:r>
      <w:r>
        <w:t>Odstavek 36 n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749" w14:paraId="43987A39" w14:textId="77777777" w:rsidTr="002C64D6">
        <w:trPr>
          <w:jc w:val="center"/>
        </w:trPr>
        <w:tc>
          <w:tcPr>
            <w:tcW w:w="9752" w:type="dxa"/>
            <w:gridSpan w:val="2"/>
          </w:tcPr>
          <w:p w14:paraId="4308CC75" w14:textId="77777777" w:rsidR="002A32EA" w:rsidRPr="002A32EA" w:rsidRDefault="002A32EA" w:rsidP="002C64D6">
            <w:pPr>
              <w:keepNext/>
            </w:pPr>
          </w:p>
        </w:tc>
      </w:tr>
      <w:tr w:rsidR="00062749" w14:paraId="57FF382A" w14:textId="77777777" w:rsidTr="002C64D6">
        <w:trPr>
          <w:jc w:val="center"/>
        </w:trPr>
        <w:tc>
          <w:tcPr>
            <w:tcW w:w="4876" w:type="dxa"/>
            <w:hideMark/>
          </w:tcPr>
          <w:p w14:paraId="4B95AEC1" w14:textId="77777777" w:rsidR="002A32EA" w:rsidRPr="002A32EA" w:rsidRDefault="00A516D4" w:rsidP="002C64D6">
            <w:pPr>
              <w:pStyle w:val="ColumnHeading"/>
              <w:keepNext/>
            </w:pPr>
            <w:r>
              <w:t>Predlog resolucije</w:t>
            </w:r>
          </w:p>
        </w:tc>
        <w:tc>
          <w:tcPr>
            <w:tcW w:w="4876" w:type="dxa"/>
            <w:hideMark/>
          </w:tcPr>
          <w:p w14:paraId="485DF7FB" w14:textId="77777777" w:rsidR="002A32EA" w:rsidRPr="002A32EA" w:rsidRDefault="00A516D4" w:rsidP="002C64D6">
            <w:pPr>
              <w:pStyle w:val="ColumnHeading"/>
              <w:keepNext/>
            </w:pPr>
            <w:r>
              <w:t>Predlog spremembe</w:t>
            </w:r>
          </w:p>
        </w:tc>
      </w:tr>
      <w:tr w:rsidR="00062749" w14:paraId="7EA1966A" w14:textId="77777777" w:rsidTr="002C64D6">
        <w:trPr>
          <w:jc w:val="center"/>
        </w:trPr>
        <w:tc>
          <w:tcPr>
            <w:tcW w:w="4876" w:type="dxa"/>
          </w:tcPr>
          <w:p w14:paraId="751A973E" w14:textId="77777777" w:rsidR="002A32EA" w:rsidRPr="002A32EA" w:rsidRDefault="002A32EA" w:rsidP="002C64D6">
            <w:pPr>
              <w:pStyle w:val="Normal6"/>
            </w:pPr>
          </w:p>
        </w:tc>
        <w:tc>
          <w:tcPr>
            <w:tcW w:w="4876" w:type="dxa"/>
            <w:hideMark/>
          </w:tcPr>
          <w:p w14:paraId="18292C9F" w14:textId="77777777" w:rsidR="002A32EA" w:rsidRPr="002A32EA" w:rsidRDefault="00A516D4" w:rsidP="002C64D6">
            <w:pPr>
              <w:pStyle w:val="Normal6"/>
              <w:rPr>
                <w:szCs w:val="24"/>
              </w:rPr>
            </w:pPr>
            <w:r>
              <w:rPr>
                <w:b/>
                <w:i/>
              </w:rPr>
              <w:t>36n.</w:t>
            </w:r>
            <w:r>
              <w:rPr>
                <w:b/>
                <w:i/>
              </w:rPr>
              <w:tab/>
              <w:t>je seznanjen s sedanjo reformo okvira Združenega kraljestva za varstvo podatkov na podlagi zakona o podatkih (uporaba in dostop), ki za Združeno kraljestvo uvaja vrsto vsebinskih sprememb veljavnih določb splošne uredbe Združenega kraljestva o varstvu podatkov; poudarja, kako pomembno je zagotoviti, da ta reforma ne bo oslabila varstva posameznikov, katerih osebni podatki se obdelujejo v Združenem kraljestvu, zlasti kadar podatki izvirajo iz EU; ugotavlja, da je Komisija predlagala sprejetje šestmesečnega podaljšanja dveh sklepov o ustreznosti z Združenim kraljestvom iz leta 2021; ugotavlja, da bi s tem podaljšanjem zagotovili prosti pretok podatkov z Združenim kraljestvom do 27. decembra 2025 in torej dovolj časa za dokončanje zakonodajnega postopka v Združenem kraljestvu, kar zadeva zakon o podatkih (uporaba in dostop), ki je bil v tamkajšnjem parlamentu vložen 23. oktobra 2024, Komisija pa bi imela dovolj časa, da oceni sprejeto zakonodajo in odloči o njeni ustreznosti;</w:t>
            </w:r>
          </w:p>
        </w:tc>
      </w:tr>
    </w:tbl>
    <w:p w14:paraId="18146BBA" w14:textId="77777777" w:rsidR="002A32EA" w:rsidRPr="002A32EA" w:rsidRDefault="00A516D4" w:rsidP="002A32EA">
      <w:pPr>
        <w:rPr>
          <w:szCs w:val="24"/>
        </w:rPr>
      </w:pPr>
      <w:r>
        <w:rPr>
          <w:rStyle w:val="HideTWBExt"/>
        </w:rPr>
        <w:t>&lt;/Amend&gt;</w:t>
      </w:r>
    </w:p>
    <w:p w14:paraId="627584ED" w14:textId="77777777" w:rsidR="002A32EA" w:rsidRPr="002A32EA" w:rsidRDefault="00A516D4" w:rsidP="002A32EA">
      <w:pPr>
        <w:pStyle w:val="AMNumberTabs0"/>
        <w:keepNext/>
      </w:pPr>
      <w:r>
        <w:rPr>
          <w:rStyle w:val="HideTWBExt"/>
          <w:b w:val="0"/>
        </w:rPr>
        <w:t>&lt;Amend&gt;</w:t>
      </w:r>
      <w:r>
        <w:t>Predlog spremembe</w:t>
      </w:r>
      <w:r>
        <w:tab/>
      </w:r>
      <w:r>
        <w:tab/>
      </w:r>
      <w:r>
        <w:rPr>
          <w:rStyle w:val="HideTWBExt"/>
          <w:b w:val="0"/>
        </w:rPr>
        <w:t>&lt;NumAm&gt;</w:t>
      </w:r>
      <w:r>
        <w:t>16</w:t>
      </w:r>
      <w:r>
        <w:rPr>
          <w:rStyle w:val="HideTWBExt"/>
          <w:b w:val="0"/>
        </w:rPr>
        <w:t>&lt;/NumAm&gt;</w:t>
      </w:r>
    </w:p>
    <w:p w14:paraId="51796771" w14:textId="77777777" w:rsidR="002A32EA" w:rsidRPr="002A32EA" w:rsidRDefault="00A516D4" w:rsidP="002A32EA">
      <w:pPr>
        <w:pStyle w:val="AMNumberTabs0"/>
        <w:keepNext/>
      </w:pPr>
      <w:r>
        <w:rPr>
          <w:rStyle w:val="HideTWBExt"/>
          <w:b w:val="0"/>
        </w:rPr>
        <w:t>&lt;DocAmend&gt;</w:t>
      </w:r>
      <w:r>
        <w:t>Predlog resolucije</w:t>
      </w:r>
      <w:r>
        <w:rPr>
          <w:rStyle w:val="HideTWBExt"/>
          <w:b w:val="0"/>
        </w:rPr>
        <w:t>&lt;/DocAmend&gt;</w:t>
      </w:r>
    </w:p>
    <w:p w14:paraId="398230BE" w14:textId="77777777" w:rsidR="002A32EA" w:rsidRPr="002A32EA" w:rsidRDefault="00A516D4" w:rsidP="002A32EA">
      <w:pPr>
        <w:pStyle w:val="NormalBold"/>
      </w:pPr>
      <w:r>
        <w:rPr>
          <w:rStyle w:val="HideTWBExt"/>
          <w:b w:val="0"/>
        </w:rPr>
        <w:t>&lt;Article&gt;</w:t>
      </w:r>
      <w:r>
        <w:t>Odstavek 36 o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749" w14:paraId="30ED3F7C" w14:textId="77777777" w:rsidTr="002C64D6">
        <w:trPr>
          <w:jc w:val="center"/>
        </w:trPr>
        <w:tc>
          <w:tcPr>
            <w:tcW w:w="9752" w:type="dxa"/>
            <w:gridSpan w:val="2"/>
          </w:tcPr>
          <w:p w14:paraId="5294C8EE" w14:textId="77777777" w:rsidR="002A32EA" w:rsidRPr="002A32EA" w:rsidRDefault="002A32EA" w:rsidP="002C64D6">
            <w:pPr>
              <w:keepNext/>
            </w:pPr>
          </w:p>
        </w:tc>
      </w:tr>
      <w:tr w:rsidR="00062749" w14:paraId="01327504" w14:textId="77777777" w:rsidTr="002C64D6">
        <w:trPr>
          <w:jc w:val="center"/>
        </w:trPr>
        <w:tc>
          <w:tcPr>
            <w:tcW w:w="4876" w:type="dxa"/>
            <w:hideMark/>
          </w:tcPr>
          <w:p w14:paraId="18A9368A" w14:textId="77777777" w:rsidR="002A32EA" w:rsidRPr="002A32EA" w:rsidRDefault="00A516D4" w:rsidP="002C64D6">
            <w:pPr>
              <w:pStyle w:val="ColumnHeading"/>
              <w:keepNext/>
            </w:pPr>
            <w:r>
              <w:t>Predlog resolucije</w:t>
            </w:r>
          </w:p>
        </w:tc>
        <w:tc>
          <w:tcPr>
            <w:tcW w:w="4876" w:type="dxa"/>
            <w:hideMark/>
          </w:tcPr>
          <w:p w14:paraId="2E9E1258" w14:textId="77777777" w:rsidR="002A32EA" w:rsidRPr="002A32EA" w:rsidRDefault="00A516D4" w:rsidP="002C64D6">
            <w:pPr>
              <w:pStyle w:val="ColumnHeading"/>
              <w:keepNext/>
            </w:pPr>
            <w:r>
              <w:t>Predlog spremembe</w:t>
            </w:r>
          </w:p>
        </w:tc>
      </w:tr>
      <w:tr w:rsidR="00062749" w14:paraId="1BBC1ECF" w14:textId="77777777" w:rsidTr="002C64D6">
        <w:trPr>
          <w:jc w:val="center"/>
        </w:trPr>
        <w:tc>
          <w:tcPr>
            <w:tcW w:w="4876" w:type="dxa"/>
          </w:tcPr>
          <w:p w14:paraId="07BFD307" w14:textId="77777777" w:rsidR="002A32EA" w:rsidRPr="002A32EA" w:rsidRDefault="002A32EA" w:rsidP="002C64D6">
            <w:pPr>
              <w:pStyle w:val="Normal6"/>
            </w:pPr>
          </w:p>
        </w:tc>
        <w:tc>
          <w:tcPr>
            <w:tcW w:w="4876" w:type="dxa"/>
            <w:hideMark/>
          </w:tcPr>
          <w:p w14:paraId="650F6C56" w14:textId="77777777" w:rsidR="002A32EA" w:rsidRPr="002A32EA" w:rsidRDefault="00A516D4" w:rsidP="002C64D6">
            <w:pPr>
              <w:pStyle w:val="Normal6"/>
              <w:rPr>
                <w:szCs w:val="24"/>
              </w:rPr>
            </w:pPr>
            <w:r>
              <w:rPr>
                <w:b/>
                <w:i/>
              </w:rPr>
              <w:t>36o.</w:t>
            </w:r>
            <w:r>
              <w:rPr>
                <w:b/>
                <w:i/>
              </w:rPr>
              <w:tab/>
              <w:t>v zvezi s tem poudarja, da je ohranitev sklepov o ustreznosti med EU in Združenim kraljestvom bistvena za zaščito čezmejnega pretoka podatkov in zagotavljanje, da se v okviru sporazuma o trgovini in sodelovanju še naprej spoštujejo temeljne pravice državljanov EU; ugotavlja, da bo podaljšanje teh sklepov v veliki meri odvisno od končne vsebine in izvajanja novega pravnega okvira Združenega kraljestva;</w:t>
            </w:r>
          </w:p>
        </w:tc>
      </w:tr>
    </w:tbl>
    <w:p w14:paraId="1AF6BB3A" w14:textId="77777777" w:rsidR="002A32EA" w:rsidRPr="002A32EA" w:rsidRDefault="00A516D4" w:rsidP="002A32EA">
      <w:pPr>
        <w:rPr>
          <w:szCs w:val="24"/>
        </w:rPr>
      </w:pPr>
      <w:r>
        <w:rPr>
          <w:rStyle w:val="HideTWBExt"/>
        </w:rPr>
        <w:t>&lt;/Amend&gt;</w:t>
      </w:r>
    </w:p>
    <w:p w14:paraId="06795340" w14:textId="77777777" w:rsidR="002A32EA" w:rsidRPr="002A32EA" w:rsidRDefault="00A516D4" w:rsidP="002A32EA">
      <w:pPr>
        <w:pStyle w:val="AMNumberTabs0"/>
        <w:keepNext/>
      </w:pPr>
      <w:r>
        <w:rPr>
          <w:rStyle w:val="HideTWBExt"/>
          <w:b w:val="0"/>
        </w:rPr>
        <w:t>&lt;Amend&gt;</w:t>
      </w:r>
      <w:r>
        <w:t>Predlog spremembe</w:t>
      </w:r>
      <w:r>
        <w:tab/>
      </w:r>
      <w:r>
        <w:tab/>
      </w:r>
      <w:r>
        <w:rPr>
          <w:rStyle w:val="HideTWBExt"/>
          <w:b w:val="0"/>
        </w:rPr>
        <w:t>&lt;NumAm&gt;</w:t>
      </w:r>
      <w:r>
        <w:t>17</w:t>
      </w:r>
      <w:r>
        <w:rPr>
          <w:rStyle w:val="HideTWBExt"/>
          <w:b w:val="0"/>
        </w:rPr>
        <w:t>&lt;/NumAm&gt;</w:t>
      </w:r>
    </w:p>
    <w:p w14:paraId="777B740C" w14:textId="77777777" w:rsidR="002A32EA" w:rsidRPr="002A32EA" w:rsidRDefault="00A516D4" w:rsidP="002A32EA">
      <w:pPr>
        <w:pStyle w:val="AMNumberTabs0"/>
        <w:keepNext/>
      </w:pPr>
      <w:r>
        <w:rPr>
          <w:rStyle w:val="HideTWBExt"/>
          <w:b w:val="0"/>
        </w:rPr>
        <w:t>&lt;DocAmend&gt;</w:t>
      </w:r>
      <w:r>
        <w:t>Predlog resolucije</w:t>
      </w:r>
      <w:r>
        <w:rPr>
          <w:rStyle w:val="HideTWBExt"/>
          <w:b w:val="0"/>
        </w:rPr>
        <w:t>&lt;/DocAmend&gt;</w:t>
      </w:r>
    </w:p>
    <w:p w14:paraId="561FDA3B" w14:textId="77777777" w:rsidR="002A32EA" w:rsidRPr="002A32EA" w:rsidRDefault="00A516D4" w:rsidP="002A32EA">
      <w:pPr>
        <w:pStyle w:val="NormalBold"/>
      </w:pPr>
      <w:r>
        <w:rPr>
          <w:rStyle w:val="HideTWBExt"/>
          <w:b w:val="0"/>
        </w:rPr>
        <w:t>&lt;Article&gt;</w:t>
      </w:r>
      <w:r>
        <w:t>Odstavek 36 p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749" w14:paraId="76FE5A63" w14:textId="77777777" w:rsidTr="002C64D6">
        <w:trPr>
          <w:jc w:val="center"/>
        </w:trPr>
        <w:tc>
          <w:tcPr>
            <w:tcW w:w="9752" w:type="dxa"/>
            <w:gridSpan w:val="2"/>
          </w:tcPr>
          <w:p w14:paraId="1F03FC9A" w14:textId="77777777" w:rsidR="002A32EA" w:rsidRPr="002A32EA" w:rsidRDefault="002A32EA" w:rsidP="002C64D6">
            <w:pPr>
              <w:keepNext/>
            </w:pPr>
          </w:p>
        </w:tc>
      </w:tr>
      <w:tr w:rsidR="00062749" w14:paraId="5F113F70" w14:textId="77777777" w:rsidTr="002C64D6">
        <w:trPr>
          <w:jc w:val="center"/>
        </w:trPr>
        <w:tc>
          <w:tcPr>
            <w:tcW w:w="4876" w:type="dxa"/>
            <w:hideMark/>
          </w:tcPr>
          <w:p w14:paraId="16DE7BE2" w14:textId="77777777" w:rsidR="002A32EA" w:rsidRPr="002A32EA" w:rsidRDefault="00A516D4" w:rsidP="002C64D6">
            <w:pPr>
              <w:pStyle w:val="ColumnHeading"/>
              <w:keepNext/>
            </w:pPr>
            <w:r>
              <w:t>Predlog resolucije</w:t>
            </w:r>
          </w:p>
        </w:tc>
        <w:tc>
          <w:tcPr>
            <w:tcW w:w="4876" w:type="dxa"/>
            <w:hideMark/>
          </w:tcPr>
          <w:p w14:paraId="70434093" w14:textId="77777777" w:rsidR="002A32EA" w:rsidRPr="002A32EA" w:rsidRDefault="00A516D4" w:rsidP="002C64D6">
            <w:pPr>
              <w:pStyle w:val="ColumnHeading"/>
              <w:keepNext/>
            </w:pPr>
            <w:r>
              <w:t>Predlog spremembe</w:t>
            </w:r>
          </w:p>
        </w:tc>
      </w:tr>
      <w:tr w:rsidR="00062749" w14:paraId="6F44674E" w14:textId="77777777" w:rsidTr="002C64D6">
        <w:trPr>
          <w:jc w:val="center"/>
        </w:trPr>
        <w:tc>
          <w:tcPr>
            <w:tcW w:w="4876" w:type="dxa"/>
          </w:tcPr>
          <w:p w14:paraId="33BB853A" w14:textId="77777777" w:rsidR="002A32EA" w:rsidRPr="002A32EA" w:rsidRDefault="002A32EA" w:rsidP="002C64D6">
            <w:pPr>
              <w:pStyle w:val="Normal6"/>
            </w:pPr>
          </w:p>
        </w:tc>
        <w:tc>
          <w:tcPr>
            <w:tcW w:w="4876" w:type="dxa"/>
            <w:hideMark/>
          </w:tcPr>
          <w:p w14:paraId="3BF2DE3C" w14:textId="77777777" w:rsidR="002A32EA" w:rsidRPr="002A32EA" w:rsidRDefault="00A516D4" w:rsidP="002C64D6">
            <w:pPr>
              <w:pStyle w:val="Normal6"/>
              <w:rPr>
                <w:szCs w:val="24"/>
              </w:rPr>
            </w:pPr>
            <w:r>
              <w:rPr>
                <w:b/>
                <w:i/>
              </w:rPr>
              <w:t>36p.</w:t>
            </w:r>
            <w:r>
              <w:rPr>
                <w:b/>
                <w:i/>
              </w:rPr>
              <w:tab/>
              <w:t>je seznanjen z mnenjem Evropskega odbora za varstvo podatkov št. 06/2025, ki podpira tehnično in časovno omejeno podaljšanje sklepov Združenega kraljestva o ustreznosti do 27. decembra 2025 samo zato, da bi Komisija lahko ocenila posledice reforme, ko bo ta sprejeta; opozarja, da mora Komisija spremljati vse pomembne dogodke v Združenem kraljestvu v tem obdobju in zagotoviti, da bodo vsi prihodnji sklepi o ustreznosti temeljili na celoviti in posodobljeni oceni okvira Združenega kraljestva za varstvo podatkov;</w:t>
            </w:r>
          </w:p>
        </w:tc>
      </w:tr>
    </w:tbl>
    <w:p w14:paraId="2E3C0E6D" w14:textId="77777777" w:rsidR="002A32EA" w:rsidRPr="002A32EA" w:rsidRDefault="00A516D4" w:rsidP="002A32EA">
      <w:pPr>
        <w:rPr>
          <w:szCs w:val="24"/>
        </w:rPr>
      </w:pPr>
      <w:r>
        <w:rPr>
          <w:rStyle w:val="HideTWBExt"/>
        </w:rPr>
        <w:t>&lt;/Amend&gt;</w:t>
      </w:r>
    </w:p>
    <w:p w14:paraId="51024570" w14:textId="77777777" w:rsidR="002A32EA" w:rsidRPr="002A32EA" w:rsidRDefault="00A516D4" w:rsidP="002A32EA">
      <w:pPr>
        <w:pStyle w:val="AMNumberTabs0"/>
        <w:keepNext/>
      </w:pPr>
      <w:r>
        <w:rPr>
          <w:rStyle w:val="HideTWBExt"/>
          <w:b w:val="0"/>
        </w:rPr>
        <w:t>&lt;Amend&gt;</w:t>
      </w:r>
      <w:r>
        <w:t>Predlog spremembe</w:t>
      </w:r>
      <w:r>
        <w:tab/>
      </w:r>
      <w:r>
        <w:tab/>
      </w:r>
      <w:r>
        <w:rPr>
          <w:rStyle w:val="HideTWBExt"/>
          <w:b w:val="0"/>
        </w:rPr>
        <w:t>&lt;NumAm&gt;</w:t>
      </w:r>
      <w:r>
        <w:t>18</w:t>
      </w:r>
      <w:r>
        <w:rPr>
          <w:rStyle w:val="HideTWBExt"/>
          <w:b w:val="0"/>
        </w:rPr>
        <w:t>&lt;/NumAm&gt;</w:t>
      </w:r>
    </w:p>
    <w:p w14:paraId="5F2EAB5C" w14:textId="77777777" w:rsidR="002A32EA" w:rsidRPr="002A32EA" w:rsidRDefault="00A516D4" w:rsidP="002A32EA">
      <w:pPr>
        <w:pStyle w:val="AMNumberTabs0"/>
        <w:keepNext/>
      </w:pPr>
      <w:r>
        <w:rPr>
          <w:rStyle w:val="HideTWBExt"/>
          <w:b w:val="0"/>
        </w:rPr>
        <w:t>&lt;DocAmend&gt;</w:t>
      </w:r>
      <w:r>
        <w:t>Predlog resolucije</w:t>
      </w:r>
      <w:r>
        <w:rPr>
          <w:rStyle w:val="HideTWBExt"/>
          <w:b w:val="0"/>
        </w:rPr>
        <w:t>&lt;/DocAmend&gt;</w:t>
      </w:r>
    </w:p>
    <w:p w14:paraId="1C70C1D0" w14:textId="77777777" w:rsidR="002A32EA" w:rsidRPr="002A32EA" w:rsidRDefault="00A516D4" w:rsidP="002A32EA">
      <w:pPr>
        <w:pStyle w:val="NormalBold"/>
      </w:pPr>
      <w:r>
        <w:rPr>
          <w:rStyle w:val="HideTWBExt"/>
          <w:b w:val="0"/>
        </w:rPr>
        <w:t>&lt;Article&gt;</w:t>
      </w:r>
      <w:r>
        <w:t>Odstavek 36 q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749" w14:paraId="131F0F23" w14:textId="77777777" w:rsidTr="002C64D6">
        <w:trPr>
          <w:jc w:val="center"/>
        </w:trPr>
        <w:tc>
          <w:tcPr>
            <w:tcW w:w="9752" w:type="dxa"/>
            <w:gridSpan w:val="2"/>
          </w:tcPr>
          <w:p w14:paraId="2CC816CA" w14:textId="77777777" w:rsidR="002A32EA" w:rsidRPr="002A32EA" w:rsidRDefault="002A32EA" w:rsidP="002C64D6">
            <w:pPr>
              <w:keepNext/>
            </w:pPr>
          </w:p>
        </w:tc>
      </w:tr>
      <w:tr w:rsidR="00062749" w14:paraId="5A8D6F98" w14:textId="77777777" w:rsidTr="002C64D6">
        <w:trPr>
          <w:jc w:val="center"/>
        </w:trPr>
        <w:tc>
          <w:tcPr>
            <w:tcW w:w="4876" w:type="dxa"/>
            <w:hideMark/>
          </w:tcPr>
          <w:p w14:paraId="29947DB2" w14:textId="77777777" w:rsidR="002A32EA" w:rsidRPr="002A32EA" w:rsidRDefault="00A516D4" w:rsidP="002C64D6">
            <w:pPr>
              <w:pStyle w:val="ColumnHeading"/>
              <w:keepNext/>
            </w:pPr>
            <w:r>
              <w:t>Predlog resolucije</w:t>
            </w:r>
          </w:p>
        </w:tc>
        <w:tc>
          <w:tcPr>
            <w:tcW w:w="4876" w:type="dxa"/>
            <w:hideMark/>
          </w:tcPr>
          <w:p w14:paraId="40A6D02F" w14:textId="77777777" w:rsidR="002A32EA" w:rsidRPr="002A32EA" w:rsidRDefault="00A516D4" w:rsidP="002C64D6">
            <w:pPr>
              <w:pStyle w:val="ColumnHeading"/>
              <w:keepNext/>
            </w:pPr>
            <w:r>
              <w:t>Predlog spremembe</w:t>
            </w:r>
          </w:p>
        </w:tc>
      </w:tr>
      <w:tr w:rsidR="00062749" w14:paraId="08FB15ED" w14:textId="77777777" w:rsidTr="002C64D6">
        <w:trPr>
          <w:jc w:val="center"/>
        </w:trPr>
        <w:tc>
          <w:tcPr>
            <w:tcW w:w="4876" w:type="dxa"/>
          </w:tcPr>
          <w:p w14:paraId="7EFEEFDC" w14:textId="77777777" w:rsidR="002A32EA" w:rsidRPr="002A32EA" w:rsidRDefault="002A32EA" w:rsidP="002C64D6">
            <w:pPr>
              <w:pStyle w:val="Normal6"/>
            </w:pPr>
          </w:p>
        </w:tc>
        <w:tc>
          <w:tcPr>
            <w:tcW w:w="4876" w:type="dxa"/>
            <w:hideMark/>
          </w:tcPr>
          <w:p w14:paraId="1544BC5E" w14:textId="77777777" w:rsidR="002A32EA" w:rsidRPr="002A32EA" w:rsidRDefault="00A516D4" w:rsidP="002C64D6">
            <w:pPr>
              <w:pStyle w:val="Normal6"/>
              <w:rPr>
                <w:szCs w:val="24"/>
              </w:rPr>
            </w:pPr>
            <w:r>
              <w:rPr>
                <w:b/>
                <w:i/>
              </w:rPr>
              <w:t>36q.</w:t>
            </w:r>
            <w:r>
              <w:rPr>
                <w:b/>
                <w:i/>
              </w:rPr>
              <w:tab/>
              <w:t>poudarja pomen stalnega dialoga med EU in Združenim kraljestvom o upravljanju umetne inteligence za spodbujanje skupnih načel in preprečevanje regulativne razdrobitve; poziva Komisijo in vlado Združenega kraljestva, naj preučita možnosti za strukturirano sodelovanje na področju umetne inteligence in sodelovanje pri določanju standardov ter preučita ureditve vzajemnega priznavanja za ugotavljanje skladnosti;</w:t>
            </w:r>
          </w:p>
        </w:tc>
      </w:tr>
    </w:tbl>
    <w:p w14:paraId="2384EC48" w14:textId="77777777" w:rsidR="002A32EA" w:rsidRPr="002A32EA" w:rsidRDefault="00A516D4" w:rsidP="002A32EA">
      <w:pPr>
        <w:rPr>
          <w:szCs w:val="24"/>
        </w:rPr>
      </w:pPr>
      <w:r>
        <w:rPr>
          <w:rStyle w:val="HideTWBExt"/>
        </w:rPr>
        <w:t>&lt;/Amend&gt;</w:t>
      </w:r>
    </w:p>
    <w:p w14:paraId="3D694F10" w14:textId="77777777" w:rsidR="002A32EA" w:rsidRPr="002A32EA" w:rsidRDefault="00A516D4" w:rsidP="002A32EA">
      <w:pPr>
        <w:pStyle w:val="AMNumberTabs0"/>
        <w:keepNext/>
      </w:pPr>
      <w:r>
        <w:rPr>
          <w:rStyle w:val="HideTWBExt"/>
          <w:b w:val="0"/>
        </w:rPr>
        <w:t>&lt;Amend&gt;</w:t>
      </w:r>
      <w:r>
        <w:t>Predlog spremembe</w:t>
      </w:r>
      <w:r>
        <w:tab/>
      </w:r>
      <w:r>
        <w:tab/>
      </w:r>
      <w:r>
        <w:rPr>
          <w:rStyle w:val="HideTWBExt"/>
          <w:b w:val="0"/>
        </w:rPr>
        <w:t>&lt;NumAm&gt;</w:t>
      </w:r>
      <w:r>
        <w:t>19</w:t>
      </w:r>
      <w:r>
        <w:rPr>
          <w:rStyle w:val="HideTWBExt"/>
          <w:b w:val="0"/>
        </w:rPr>
        <w:t>&lt;/NumAm&gt;</w:t>
      </w:r>
    </w:p>
    <w:p w14:paraId="0C0AE88A" w14:textId="77777777" w:rsidR="002A32EA" w:rsidRPr="002A32EA" w:rsidRDefault="00A516D4" w:rsidP="002A32EA">
      <w:pPr>
        <w:pStyle w:val="AMNumberTabs0"/>
        <w:keepNext/>
      </w:pPr>
      <w:r>
        <w:rPr>
          <w:rStyle w:val="HideTWBExt"/>
          <w:b w:val="0"/>
        </w:rPr>
        <w:t>&lt;DocAmend&gt;</w:t>
      </w:r>
      <w:r>
        <w:t>Predlog resolucije</w:t>
      </w:r>
      <w:r>
        <w:rPr>
          <w:rStyle w:val="HideTWBExt"/>
          <w:b w:val="0"/>
        </w:rPr>
        <w:t>&lt;/DocAmend&gt;</w:t>
      </w:r>
    </w:p>
    <w:p w14:paraId="1987B3CD" w14:textId="77777777" w:rsidR="002A32EA" w:rsidRPr="002A32EA" w:rsidRDefault="00A516D4" w:rsidP="002A32EA">
      <w:pPr>
        <w:pStyle w:val="NormalBold"/>
      </w:pPr>
      <w:r>
        <w:rPr>
          <w:rStyle w:val="HideTWBExt"/>
          <w:b w:val="0"/>
        </w:rPr>
        <w:t>&lt;Article&gt;</w:t>
      </w:r>
      <w:r>
        <w:t>Odstavek 36 r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749" w14:paraId="365D257D" w14:textId="77777777" w:rsidTr="002C64D6">
        <w:trPr>
          <w:jc w:val="center"/>
        </w:trPr>
        <w:tc>
          <w:tcPr>
            <w:tcW w:w="9752" w:type="dxa"/>
            <w:gridSpan w:val="2"/>
          </w:tcPr>
          <w:p w14:paraId="060985C2" w14:textId="77777777" w:rsidR="002A32EA" w:rsidRPr="002A32EA" w:rsidRDefault="002A32EA" w:rsidP="002C64D6">
            <w:pPr>
              <w:keepNext/>
            </w:pPr>
          </w:p>
        </w:tc>
      </w:tr>
      <w:tr w:rsidR="00062749" w14:paraId="7ADE15B3" w14:textId="77777777" w:rsidTr="002C64D6">
        <w:trPr>
          <w:jc w:val="center"/>
        </w:trPr>
        <w:tc>
          <w:tcPr>
            <w:tcW w:w="4876" w:type="dxa"/>
            <w:hideMark/>
          </w:tcPr>
          <w:p w14:paraId="2E74073A" w14:textId="77777777" w:rsidR="002A32EA" w:rsidRPr="002A32EA" w:rsidRDefault="00A516D4" w:rsidP="002C64D6">
            <w:pPr>
              <w:pStyle w:val="ColumnHeading"/>
              <w:keepNext/>
            </w:pPr>
            <w:r>
              <w:t>Predlog resolucije</w:t>
            </w:r>
          </w:p>
        </w:tc>
        <w:tc>
          <w:tcPr>
            <w:tcW w:w="4876" w:type="dxa"/>
            <w:hideMark/>
          </w:tcPr>
          <w:p w14:paraId="3445F53E" w14:textId="77777777" w:rsidR="002A32EA" w:rsidRPr="002A32EA" w:rsidRDefault="00A516D4" w:rsidP="002C64D6">
            <w:pPr>
              <w:pStyle w:val="ColumnHeading"/>
              <w:keepNext/>
            </w:pPr>
            <w:r>
              <w:t>Predlog spremembe</w:t>
            </w:r>
          </w:p>
        </w:tc>
      </w:tr>
      <w:tr w:rsidR="00062749" w14:paraId="2A7A88DC" w14:textId="77777777" w:rsidTr="002C64D6">
        <w:trPr>
          <w:jc w:val="center"/>
        </w:trPr>
        <w:tc>
          <w:tcPr>
            <w:tcW w:w="4876" w:type="dxa"/>
          </w:tcPr>
          <w:p w14:paraId="34F36D7D" w14:textId="77777777" w:rsidR="002A32EA" w:rsidRPr="002A32EA" w:rsidRDefault="002A32EA" w:rsidP="002C64D6">
            <w:pPr>
              <w:pStyle w:val="Normal6"/>
            </w:pPr>
          </w:p>
        </w:tc>
        <w:tc>
          <w:tcPr>
            <w:tcW w:w="4876" w:type="dxa"/>
            <w:hideMark/>
          </w:tcPr>
          <w:p w14:paraId="79BC18D1" w14:textId="77777777" w:rsidR="002A32EA" w:rsidRPr="002A32EA" w:rsidRDefault="00A516D4" w:rsidP="002C64D6">
            <w:pPr>
              <w:pStyle w:val="Normal6"/>
              <w:rPr>
                <w:b/>
                <w:i/>
              </w:rPr>
            </w:pPr>
            <w:r>
              <w:rPr>
                <w:b/>
                <w:i/>
              </w:rPr>
              <w:t>36r.</w:t>
            </w:r>
            <w:r>
              <w:rPr>
                <w:b/>
                <w:i/>
              </w:rPr>
              <w:tab/>
              <w:t>obžaluje, da skupni dogovor o prenovljeni agendi za odnose med EU in Združenim kraljestvom ne vsebuje posebne zaveze glede sodelovanja na področju umetne inteligence, čeprav je spodbujanje nadnacionalnega usklajevanja na področju zaupanja vrednega razvoja umetne inteligence strateškega pomena, in spominja, da člen 39 Uredbe (EU) 2024/1689 (Akt o umetni inteligenci)</w:t>
            </w:r>
            <w:r>
              <w:rPr>
                <w:b/>
                <w:i/>
                <w:vertAlign w:val="superscript"/>
              </w:rPr>
              <w:t>1a</w:t>
            </w:r>
            <w:r>
              <w:rPr>
                <w:b/>
                <w:i/>
              </w:rPr>
              <w:t xml:space="preserve"> pod posebnimi pogoji omogoča priznavanje organov za ugotavljanje skladnosti, ustanovljenih v tretjih državah, in na podlagi sporazuma med EU in zadevno tretjo državo;</w:t>
            </w:r>
          </w:p>
          <w:p w14:paraId="401103E9" w14:textId="77777777" w:rsidR="002A32EA" w:rsidRPr="002A32EA" w:rsidRDefault="00A516D4" w:rsidP="002C64D6">
            <w:pPr>
              <w:pStyle w:val="Normal6"/>
              <w:rPr>
                <w:b/>
                <w:i/>
                <w:szCs w:val="24"/>
              </w:rPr>
            </w:pPr>
            <w:r>
              <w:rPr>
                <w:b/>
                <w:i/>
              </w:rPr>
              <w:t>______________</w:t>
            </w:r>
          </w:p>
          <w:p w14:paraId="67CFD064" w14:textId="19D94F31" w:rsidR="002A32EA" w:rsidRPr="002A32EA" w:rsidRDefault="00A516D4" w:rsidP="002C64D6">
            <w:pPr>
              <w:pStyle w:val="Normal6"/>
              <w:rPr>
                <w:szCs w:val="24"/>
              </w:rPr>
            </w:pPr>
            <w:r>
              <w:rPr>
                <w:b/>
                <w:i/>
                <w:vertAlign w:val="superscript"/>
              </w:rPr>
              <w:t>1a</w:t>
            </w:r>
            <w:r>
              <w:rPr>
                <w:b/>
                <w:i/>
              </w:rPr>
              <w:t xml:space="preserve"> Uredba (EU) 2024/1689 Evropskega parlamenta in Sveta z dne 13. junija 2024 o določitvi harmoniziranih pravil o umetni inteligenci in spremembi uredb (ES) št. 300/2008, (EU) št. 167/2013, (EU) št. 168/2013, (EU) 2018/858, (EU) 2018/1139 in (EU) 2019/2144 ter direktiv 2014/90/EU, (EU) 2016/797 in (EU) 2020/1828 (Akt o umetni inteligenci) (UL L, 2024/1689, 12.7.2024, ELI: </w:t>
            </w:r>
            <w:hyperlink r:id="rId15" w:history="1">
              <w:r>
                <w:rPr>
                  <w:rStyle w:val="Hyperlink"/>
                  <w:b/>
                  <w:i/>
                  <w:color w:val="auto"/>
                </w:rPr>
                <w:t>http://data.europa.eu/eli/reg/2024/1689/oj</w:t>
              </w:r>
            </w:hyperlink>
            <w:r>
              <w:rPr>
                <w:b/>
                <w:i/>
              </w:rPr>
              <w:t>).</w:t>
            </w:r>
          </w:p>
        </w:tc>
      </w:tr>
    </w:tbl>
    <w:p w14:paraId="39E1356A" w14:textId="77777777" w:rsidR="002A32EA" w:rsidRPr="002A32EA" w:rsidRDefault="00A516D4" w:rsidP="002A32EA">
      <w:pPr>
        <w:rPr>
          <w:szCs w:val="24"/>
        </w:rPr>
      </w:pPr>
      <w:r>
        <w:rPr>
          <w:rStyle w:val="HideTWBExt"/>
        </w:rPr>
        <w:t>&lt;/Amend&gt;</w:t>
      </w:r>
    </w:p>
    <w:p w14:paraId="0FCB0704" w14:textId="77777777" w:rsidR="002A32EA" w:rsidRPr="002A32EA" w:rsidRDefault="00A516D4" w:rsidP="002A32EA">
      <w:pPr>
        <w:pStyle w:val="AMNumberTabs0"/>
        <w:keepNext/>
      </w:pPr>
      <w:r>
        <w:rPr>
          <w:rStyle w:val="HideTWBExt"/>
          <w:b w:val="0"/>
        </w:rPr>
        <w:t>&lt;Amend&gt;</w:t>
      </w:r>
      <w:r>
        <w:t>Predlog spremembe</w:t>
      </w:r>
      <w:r>
        <w:tab/>
      </w:r>
      <w:r>
        <w:tab/>
      </w:r>
      <w:r>
        <w:rPr>
          <w:rStyle w:val="HideTWBExt"/>
          <w:b w:val="0"/>
        </w:rPr>
        <w:t>&lt;NumAm&gt;</w:t>
      </w:r>
      <w:r>
        <w:t>20</w:t>
      </w:r>
      <w:r>
        <w:rPr>
          <w:rStyle w:val="HideTWBExt"/>
          <w:b w:val="0"/>
        </w:rPr>
        <w:t>&lt;/NumAm&gt;</w:t>
      </w:r>
    </w:p>
    <w:p w14:paraId="7AD8E051" w14:textId="77777777" w:rsidR="002A32EA" w:rsidRPr="002A32EA" w:rsidRDefault="00A516D4" w:rsidP="002A32EA">
      <w:pPr>
        <w:pStyle w:val="AMNumberTabs0"/>
        <w:keepNext/>
      </w:pPr>
      <w:r>
        <w:rPr>
          <w:rStyle w:val="HideTWBExt"/>
          <w:b w:val="0"/>
        </w:rPr>
        <w:t>&lt;DocAmend&gt;</w:t>
      </w:r>
      <w:r>
        <w:t>Predlog resolucije</w:t>
      </w:r>
      <w:r>
        <w:rPr>
          <w:rStyle w:val="HideTWBExt"/>
          <w:b w:val="0"/>
        </w:rPr>
        <w:t>&lt;/DocAmend&gt;</w:t>
      </w:r>
    </w:p>
    <w:p w14:paraId="6D2288A5" w14:textId="77777777" w:rsidR="002A32EA" w:rsidRPr="002A32EA" w:rsidRDefault="00A516D4" w:rsidP="002A32EA">
      <w:pPr>
        <w:pStyle w:val="NormalBold"/>
      </w:pPr>
      <w:r>
        <w:rPr>
          <w:rStyle w:val="HideTWBExt"/>
          <w:b w:val="0"/>
        </w:rPr>
        <w:t>&lt;Article&gt;</w:t>
      </w:r>
      <w:r>
        <w:t>Odstavek 36 s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749" w14:paraId="37AE39C7" w14:textId="77777777" w:rsidTr="002C64D6">
        <w:trPr>
          <w:jc w:val="center"/>
        </w:trPr>
        <w:tc>
          <w:tcPr>
            <w:tcW w:w="9752" w:type="dxa"/>
            <w:gridSpan w:val="2"/>
          </w:tcPr>
          <w:p w14:paraId="60E120A5" w14:textId="77777777" w:rsidR="002A32EA" w:rsidRPr="002A32EA" w:rsidRDefault="002A32EA" w:rsidP="002C64D6">
            <w:pPr>
              <w:keepNext/>
            </w:pPr>
          </w:p>
        </w:tc>
      </w:tr>
      <w:tr w:rsidR="00062749" w14:paraId="1AB98EBB" w14:textId="77777777" w:rsidTr="002C64D6">
        <w:trPr>
          <w:jc w:val="center"/>
        </w:trPr>
        <w:tc>
          <w:tcPr>
            <w:tcW w:w="4876" w:type="dxa"/>
            <w:hideMark/>
          </w:tcPr>
          <w:p w14:paraId="31EB46FC" w14:textId="77777777" w:rsidR="002A32EA" w:rsidRPr="002A32EA" w:rsidRDefault="00A516D4" w:rsidP="002C64D6">
            <w:pPr>
              <w:pStyle w:val="ColumnHeading"/>
              <w:keepNext/>
            </w:pPr>
            <w:r>
              <w:t>Predlog resolucije</w:t>
            </w:r>
          </w:p>
        </w:tc>
        <w:tc>
          <w:tcPr>
            <w:tcW w:w="4876" w:type="dxa"/>
            <w:hideMark/>
          </w:tcPr>
          <w:p w14:paraId="2A0EF429" w14:textId="77777777" w:rsidR="002A32EA" w:rsidRPr="002A32EA" w:rsidRDefault="00A516D4" w:rsidP="002C64D6">
            <w:pPr>
              <w:pStyle w:val="ColumnHeading"/>
              <w:keepNext/>
            </w:pPr>
            <w:r>
              <w:t>Predlog spremembe</w:t>
            </w:r>
          </w:p>
        </w:tc>
      </w:tr>
      <w:tr w:rsidR="00062749" w14:paraId="634CA322" w14:textId="77777777" w:rsidTr="002C64D6">
        <w:trPr>
          <w:jc w:val="center"/>
        </w:trPr>
        <w:tc>
          <w:tcPr>
            <w:tcW w:w="4876" w:type="dxa"/>
          </w:tcPr>
          <w:p w14:paraId="5BA55A7F" w14:textId="77777777" w:rsidR="002A32EA" w:rsidRPr="002A32EA" w:rsidRDefault="002A32EA" w:rsidP="002C64D6">
            <w:pPr>
              <w:pStyle w:val="Normal6"/>
            </w:pPr>
          </w:p>
        </w:tc>
        <w:tc>
          <w:tcPr>
            <w:tcW w:w="4876" w:type="dxa"/>
            <w:hideMark/>
          </w:tcPr>
          <w:p w14:paraId="718DADAC" w14:textId="77777777" w:rsidR="002A32EA" w:rsidRPr="002A32EA" w:rsidRDefault="00A516D4" w:rsidP="002C64D6">
            <w:pPr>
              <w:pStyle w:val="Normal6"/>
              <w:rPr>
                <w:szCs w:val="24"/>
              </w:rPr>
            </w:pPr>
            <w:r>
              <w:rPr>
                <w:b/>
                <w:i/>
              </w:rPr>
              <w:t>36s.</w:t>
            </w:r>
            <w:r>
              <w:rPr>
                <w:b/>
                <w:i/>
              </w:rPr>
              <w:tab/>
              <w:t>ugotavlja, da členi 103–107 in 109 Akta o umetni inteligenci spreminjajo veljavno zakonodajo EU o proizvodov, ki se uporablja na Severnem Irskem v skladu s Prilogo 2 k Windsorskemu okviru; je seznanjen s predlogom Komisije z dne 24. marca 2025, da se nekatere določbe Akta o umetni inteligenci vključijo v Prilogo 2 k Windsorskemu okviru, da bi zagotovili doslednost pri regulaciji blaga in s tem povezanih storitev na Severnem Irskem; priznava, da bi lahko večja usklajenost predpisov na področjih, kot sta varnost proizvodov in nadzor trga, pripomogla k pravni jasnosti in neprekinjenemu delovanju trga; spodbuja nadaljnji dialog med EU in Združenim kraljestvom v okviru skupnega odbora, da bi opredelili obojestransko sprejemljive pristope, ki ohranjajo visoke standarde varstva potrošnikov in skladnost predpisov;</w:t>
            </w:r>
          </w:p>
        </w:tc>
      </w:tr>
    </w:tbl>
    <w:p w14:paraId="0E1B2EBD" w14:textId="77777777" w:rsidR="002A32EA" w:rsidRPr="002A32EA" w:rsidRDefault="00A516D4" w:rsidP="002A32EA">
      <w:pPr>
        <w:rPr>
          <w:szCs w:val="24"/>
        </w:rPr>
      </w:pPr>
      <w:r>
        <w:rPr>
          <w:rStyle w:val="HideTWBExt"/>
        </w:rPr>
        <w:t>&lt;/Amend&gt;</w:t>
      </w:r>
    </w:p>
    <w:p w14:paraId="43DCC4E7" w14:textId="77777777" w:rsidR="002A32EA" w:rsidRPr="002A32EA" w:rsidRDefault="00A516D4" w:rsidP="002A32EA">
      <w:pPr>
        <w:pStyle w:val="AMNumberTabs0"/>
        <w:keepNext/>
      </w:pPr>
      <w:r>
        <w:rPr>
          <w:rStyle w:val="HideTWBExt"/>
          <w:b w:val="0"/>
        </w:rPr>
        <w:t>&lt;Amend&gt;</w:t>
      </w:r>
      <w:r>
        <w:t>Predlog spremembe</w:t>
      </w:r>
      <w:r>
        <w:tab/>
      </w:r>
      <w:r>
        <w:tab/>
      </w:r>
      <w:r>
        <w:rPr>
          <w:rStyle w:val="HideTWBExt"/>
          <w:b w:val="0"/>
        </w:rPr>
        <w:t>&lt;NumAm&gt;</w:t>
      </w:r>
      <w:r>
        <w:t>21</w:t>
      </w:r>
      <w:r>
        <w:rPr>
          <w:rStyle w:val="HideTWBExt"/>
          <w:b w:val="0"/>
        </w:rPr>
        <w:t>&lt;/NumAm&gt;</w:t>
      </w:r>
    </w:p>
    <w:p w14:paraId="077AAD42" w14:textId="77777777" w:rsidR="002A32EA" w:rsidRPr="002A32EA" w:rsidRDefault="00A516D4" w:rsidP="002A32EA">
      <w:pPr>
        <w:pStyle w:val="AMNumberTabs0"/>
        <w:keepNext/>
      </w:pPr>
      <w:r>
        <w:rPr>
          <w:rStyle w:val="HideTWBExt"/>
          <w:b w:val="0"/>
        </w:rPr>
        <w:t>&lt;DocAmend&gt;</w:t>
      </w:r>
      <w:r>
        <w:t>Predlog resolucije</w:t>
      </w:r>
      <w:r>
        <w:rPr>
          <w:rStyle w:val="HideTWBExt"/>
          <w:b w:val="0"/>
        </w:rPr>
        <w:t>&lt;/DocAmend&gt;</w:t>
      </w:r>
    </w:p>
    <w:p w14:paraId="08558091" w14:textId="77777777" w:rsidR="002A32EA" w:rsidRPr="002A32EA" w:rsidRDefault="00A516D4" w:rsidP="002A32EA">
      <w:pPr>
        <w:pStyle w:val="NormalBold"/>
      </w:pPr>
      <w:r>
        <w:rPr>
          <w:rStyle w:val="HideTWBExt"/>
          <w:b w:val="0"/>
        </w:rPr>
        <w:t>&lt;Article&gt;</w:t>
      </w:r>
      <w:r>
        <w:t>Odstavek 36 t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749" w14:paraId="3C9E6A72" w14:textId="77777777" w:rsidTr="002C64D6">
        <w:trPr>
          <w:jc w:val="center"/>
        </w:trPr>
        <w:tc>
          <w:tcPr>
            <w:tcW w:w="9752" w:type="dxa"/>
            <w:gridSpan w:val="2"/>
          </w:tcPr>
          <w:p w14:paraId="5331E802" w14:textId="77777777" w:rsidR="002A32EA" w:rsidRPr="002A32EA" w:rsidRDefault="002A32EA" w:rsidP="002C64D6">
            <w:pPr>
              <w:keepNext/>
            </w:pPr>
          </w:p>
        </w:tc>
      </w:tr>
      <w:tr w:rsidR="00062749" w14:paraId="03C47149" w14:textId="77777777" w:rsidTr="002C64D6">
        <w:trPr>
          <w:jc w:val="center"/>
        </w:trPr>
        <w:tc>
          <w:tcPr>
            <w:tcW w:w="4876" w:type="dxa"/>
            <w:hideMark/>
          </w:tcPr>
          <w:p w14:paraId="24666976" w14:textId="77777777" w:rsidR="002A32EA" w:rsidRPr="002A32EA" w:rsidRDefault="00A516D4" w:rsidP="002C64D6">
            <w:pPr>
              <w:pStyle w:val="ColumnHeading"/>
              <w:keepNext/>
            </w:pPr>
            <w:r>
              <w:t>Predlog resolucije</w:t>
            </w:r>
          </w:p>
        </w:tc>
        <w:tc>
          <w:tcPr>
            <w:tcW w:w="4876" w:type="dxa"/>
            <w:hideMark/>
          </w:tcPr>
          <w:p w14:paraId="07E8A9BD" w14:textId="77777777" w:rsidR="002A32EA" w:rsidRPr="002A32EA" w:rsidRDefault="00A516D4" w:rsidP="002C64D6">
            <w:pPr>
              <w:pStyle w:val="ColumnHeading"/>
              <w:keepNext/>
            </w:pPr>
            <w:r>
              <w:t>Predlog spremembe</w:t>
            </w:r>
          </w:p>
        </w:tc>
      </w:tr>
      <w:tr w:rsidR="00062749" w14:paraId="5D015BE9" w14:textId="77777777" w:rsidTr="002C64D6">
        <w:trPr>
          <w:jc w:val="center"/>
        </w:trPr>
        <w:tc>
          <w:tcPr>
            <w:tcW w:w="4876" w:type="dxa"/>
          </w:tcPr>
          <w:p w14:paraId="223AA4C9" w14:textId="77777777" w:rsidR="002A32EA" w:rsidRPr="002A32EA" w:rsidRDefault="002A32EA" w:rsidP="002C64D6">
            <w:pPr>
              <w:pStyle w:val="Normal6"/>
            </w:pPr>
          </w:p>
        </w:tc>
        <w:tc>
          <w:tcPr>
            <w:tcW w:w="4876" w:type="dxa"/>
            <w:hideMark/>
          </w:tcPr>
          <w:p w14:paraId="3ED06D64" w14:textId="77777777" w:rsidR="002A32EA" w:rsidRPr="002A32EA" w:rsidRDefault="00A516D4" w:rsidP="002C64D6">
            <w:pPr>
              <w:pStyle w:val="Normal6"/>
              <w:rPr>
                <w:szCs w:val="24"/>
              </w:rPr>
            </w:pPr>
            <w:r>
              <w:rPr>
                <w:b/>
                <w:i/>
              </w:rPr>
              <w:t>36t.</w:t>
            </w:r>
            <w:r>
              <w:rPr>
                <w:b/>
                <w:i/>
              </w:rPr>
              <w:tab/>
              <w:t>opozarja, da je treba v celoti spoštovati Velikonočni sporazum v vseh njegovih delih, kot je navedeno v sporazumu o izstopu; opozarja, da se je Združeno kraljestvo v členu 2 Windsorskega okvira zavezalo, da ne bo zmanjšalo pravic, zaščitnih ukrepov in enakih možnosti, kot so določeni v Velikonočnem sporazumu; poudarja, da je učinkovito varstvo teh pravic bistveno tudi za ohranjanje zaupanja in sodelovanja v okviru sporazuma o trgovini in sodelovanju, zlasti na področjih, kot so kazenski pregon, pravice delavcev in dostop do pravnega varstva; poziva Komisijo, naj še naprej spremlja izpolnjevanje te obveznosti in sodeluje z ustreznimi organi Združenega kraljestva, kadar se pojavi nevarnost za nazadovanje pravic; opozarja, da se morajo vse spremembe šestih direktiv EU o enakosti iz Priloge 1 k sporazumu o izstopu med EU in Združenim kraljestvom odražati v severnoirskem pravu, da se prepreči omejevanje pravic; poziva k nadaljnjim prizadevanjem za okrepitev demokratične zastopanosti državljanov EU, živečih na Severnem Irskem, ki so pravico do državljanstva EU pridobili ob rojstvu;</w:t>
            </w:r>
          </w:p>
        </w:tc>
      </w:tr>
    </w:tbl>
    <w:p w14:paraId="182FD788" w14:textId="77777777" w:rsidR="002A32EA" w:rsidRPr="002A32EA" w:rsidRDefault="00A516D4" w:rsidP="002A32EA">
      <w:pPr>
        <w:rPr>
          <w:szCs w:val="24"/>
        </w:rPr>
      </w:pPr>
      <w:r>
        <w:rPr>
          <w:rStyle w:val="HideTWBExt"/>
        </w:rPr>
        <w:t>&lt;/Amend&gt;</w:t>
      </w:r>
    </w:p>
    <w:p w14:paraId="7E6C46BB" w14:textId="77777777" w:rsidR="002A32EA" w:rsidRPr="002A32EA" w:rsidRDefault="00A516D4" w:rsidP="002A32EA">
      <w:pPr>
        <w:pStyle w:val="AMNumberTabs0"/>
        <w:keepNext/>
      </w:pPr>
      <w:r>
        <w:rPr>
          <w:rStyle w:val="HideTWBExt"/>
          <w:b w:val="0"/>
        </w:rPr>
        <w:t>&lt;Amend&gt;</w:t>
      </w:r>
      <w:r>
        <w:t>Predlog spremembe</w:t>
      </w:r>
      <w:r>
        <w:tab/>
      </w:r>
      <w:r>
        <w:tab/>
      </w:r>
      <w:r>
        <w:rPr>
          <w:rStyle w:val="HideTWBExt"/>
          <w:b w:val="0"/>
        </w:rPr>
        <w:t>&lt;NumAm&gt;</w:t>
      </w:r>
      <w:r>
        <w:t>22</w:t>
      </w:r>
      <w:r>
        <w:rPr>
          <w:rStyle w:val="HideTWBExt"/>
          <w:b w:val="0"/>
        </w:rPr>
        <w:t>&lt;/NumAm&gt;</w:t>
      </w:r>
    </w:p>
    <w:p w14:paraId="1AE27B55" w14:textId="77777777" w:rsidR="002A32EA" w:rsidRPr="002A32EA" w:rsidRDefault="00A516D4" w:rsidP="002A32EA">
      <w:pPr>
        <w:pStyle w:val="AMNumberTabs0"/>
        <w:keepNext/>
      </w:pPr>
      <w:r>
        <w:rPr>
          <w:rStyle w:val="HideTWBExt"/>
          <w:b w:val="0"/>
        </w:rPr>
        <w:t>&lt;DocAmend&gt;</w:t>
      </w:r>
      <w:r>
        <w:t>Predlog resolucije</w:t>
      </w:r>
      <w:r>
        <w:rPr>
          <w:rStyle w:val="HideTWBExt"/>
          <w:b w:val="0"/>
        </w:rPr>
        <w:t>&lt;/DocAmend&gt;</w:t>
      </w:r>
    </w:p>
    <w:p w14:paraId="7DA2280B" w14:textId="77777777" w:rsidR="002A32EA" w:rsidRPr="002A32EA" w:rsidRDefault="00A516D4" w:rsidP="002A32EA">
      <w:pPr>
        <w:pStyle w:val="NormalBold"/>
      </w:pPr>
      <w:r>
        <w:rPr>
          <w:rStyle w:val="HideTWBExt"/>
          <w:b w:val="0"/>
        </w:rPr>
        <w:t>&lt;Article&gt;</w:t>
      </w:r>
      <w:r>
        <w:t>Odstavek 36 u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749" w14:paraId="4F1255CA" w14:textId="77777777" w:rsidTr="002C64D6">
        <w:trPr>
          <w:jc w:val="center"/>
        </w:trPr>
        <w:tc>
          <w:tcPr>
            <w:tcW w:w="9752" w:type="dxa"/>
            <w:gridSpan w:val="2"/>
          </w:tcPr>
          <w:p w14:paraId="50E728BA" w14:textId="77777777" w:rsidR="002A32EA" w:rsidRPr="002A32EA" w:rsidRDefault="002A32EA" w:rsidP="002C64D6">
            <w:pPr>
              <w:keepNext/>
            </w:pPr>
          </w:p>
        </w:tc>
      </w:tr>
      <w:tr w:rsidR="00062749" w14:paraId="7B42C1CD" w14:textId="77777777" w:rsidTr="002C64D6">
        <w:trPr>
          <w:jc w:val="center"/>
        </w:trPr>
        <w:tc>
          <w:tcPr>
            <w:tcW w:w="4876" w:type="dxa"/>
            <w:hideMark/>
          </w:tcPr>
          <w:p w14:paraId="0D7207A5" w14:textId="77777777" w:rsidR="002A32EA" w:rsidRPr="002A32EA" w:rsidRDefault="00A516D4" w:rsidP="002C64D6">
            <w:pPr>
              <w:pStyle w:val="ColumnHeading"/>
              <w:keepNext/>
            </w:pPr>
            <w:r>
              <w:t>Predlog resolucije</w:t>
            </w:r>
          </w:p>
        </w:tc>
        <w:tc>
          <w:tcPr>
            <w:tcW w:w="4876" w:type="dxa"/>
            <w:hideMark/>
          </w:tcPr>
          <w:p w14:paraId="6A9BEF93" w14:textId="77777777" w:rsidR="002A32EA" w:rsidRPr="002A32EA" w:rsidRDefault="00A516D4" w:rsidP="002C64D6">
            <w:pPr>
              <w:pStyle w:val="ColumnHeading"/>
              <w:keepNext/>
            </w:pPr>
            <w:r>
              <w:t>Predlog spremembe</w:t>
            </w:r>
          </w:p>
        </w:tc>
      </w:tr>
      <w:tr w:rsidR="00062749" w14:paraId="275CC562" w14:textId="77777777" w:rsidTr="002C64D6">
        <w:trPr>
          <w:jc w:val="center"/>
        </w:trPr>
        <w:tc>
          <w:tcPr>
            <w:tcW w:w="4876" w:type="dxa"/>
          </w:tcPr>
          <w:p w14:paraId="4B11C8C9" w14:textId="77777777" w:rsidR="002A32EA" w:rsidRPr="002A32EA" w:rsidRDefault="002A32EA" w:rsidP="002C64D6">
            <w:pPr>
              <w:pStyle w:val="Normal6"/>
            </w:pPr>
          </w:p>
        </w:tc>
        <w:tc>
          <w:tcPr>
            <w:tcW w:w="4876" w:type="dxa"/>
            <w:hideMark/>
          </w:tcPr>
          <w:p w14:paraId="0450B5D8" w14:textId="77777777" w:rsidR="002A32EA" w:rsidRPr="002A32EA" w:rsidRDefault="00A516D4" w:rsidP="002C64D6">
            <w:pPr>
              <w:pStyle w:val="Normal6"/>
              <w:rPr>
                <w:szCs w:val="24"/>
              </w:rPr>
            </w:pPr>
            <w:r>
              <w:rPr>
                <w:b/>
                <w:i/>
              </w:rPr>
              <w:t>36u.</w:t>
            </w:r>
            <w:r>
              <w:rPr>
                <w:b/>
                <w:i/>
              </w:rPr>
              <w:tab/>
              <w:t>poziva Združeno kraljestvo in države članice, naj zagotovijo, da bodo pravice državljanov ostale ključna skupna prednostna naloga v odnosih med EU in Združenim kraljestvom ter da bodo lahko vsi državljani EU in Združenega kraljestva, v korist katerih je bil sklenjen sporazum o izstopu, v celoti uživali svoje pravice; z zadovoljstvom ugotavlja, da sta EU in Združeno kraljestvo obnovila skupno zavezanost celovitemu, pravočasnemu in doslednemu izvajanju vseh delov sporazuma o izstopu; pozdravlja zakonodajni ukrep vlade Združenega kraljestva v zvezi s pravno jasnostjo za državljane EU s statusom začasnega prebivalca v okviru prebivalne sheme za državljane EU in verjame, da bo v naslednjih dveh letih državljanom zagotovila nemoten prehod z začasnega na stalno prebivališče; poudarja, da je neodvisni nadzorni organ za sporazume o pravicah državljanov opredelil izmenjavo podatkov med EU in Združenim kraljestvom kot področje, ki lahko povzroči zamude pri vlogah za pridobitev statusa v okviru prebivalne sheme za državljane EU, kadar imajo države članice informacije, pomembne za vlogo; zato poziva Komisijo in organe držav članic, naj izboljšajo odzivnost na zahteve in poskrbijo za boljšo izmenjavo informacij med Združenim kraljestvom ter EU in državami Evropskega gospodarskega prostora in Evropskega združenja za prosto trgovino, da bi preprečili zamude in državljanom zagotovili nemoten postopek prijave;</w:t>
            </w:r>
          </w:p>
        </w:tc>
      </w:tr>
    </w:tbl>
    <w:p w14:paraId="2D0D16FF" w14:textId="77777777" w:rsidR="002A32EA" w:rsidRPr="002A32EA" w:rsidRDefault="00A516D4" w:rsidP="002A32EA">
      <w:pPr>
        <w:rPr>
          <w:szCs w:val="24"/>
        </w:rPr>
      </w:pPr>
      <w:r>
        <w:rPr>
          <w:rStyle w:val="HideTWBExt"/>
        </w:rPr>
        <w:t>&lt;/Amend&gt;</w:t>
      </w:r>
    </w:p>
    <w:p w14:paraId="6A37F8AB" w14:textId="77777777" w:rsidR="002A32EA" w:rsidRPr="002A32EA" w:rsidRDefault="00A516D4" w:rsidP="002A32EA">
      <w:pPr>
        <w:pStyle w:val="AMNumberTabs0"/>
        <w:keepNext/>
      </w:pPr>
      <w:r>
        <w:rPr>
          <w:rStyle w:val="HideTWBExt"/>
          <w:b w:val="0"/>
        </w:rPr>
        <w:t>&lt;Amend&gt;</w:t>
      </w:r>
      <w:r>
        <w:t>Predlog spremembe</w:t>
      </w:r>
      <w:r>
        <w:tab/>
      </w:r>
      <w:r>
        <w:tab/>
      </w:r>
      <w:r>
        <w:rPr>
          <w:rStyle w:val="HideTWBExt"/>
          <w:b w:val="0"/>
        </w:rPr>
        <w:t>&lt;NumAm&gt;</w:t>
      </w:r>
      <w:r>
        <w:t>23</w:t>
      </w:r>
      <w:r>
        <w:rPr>
          <w:rStyle w:val="HideTWBExt"/>
          <w:b w:val="0"/>
        </w:rPr>
        <w:t>&lt;/NumAm&gt;</w:t>
      </w:r>
    </w:p>
    <w:p w14:paraId="004BB5A1" w14:textId="77777777" w:rsidR="002A32EA" w:rsidRPr="002A32EA" w:rsidRDefault="00A516D4" w:rsidP="002A32EA">
      <w:pPr>
        <w:pStyle w:val="AMNumberTabs0"/>
        <w:keepNext/>
      </w:pPr>
      <w:r>
        <w:rPr>
          <w:rStyle w:val="HideTWBExt"/>
          <w:b w:val="0"/>
        </w:rPr>
        <w:t>&lt;DocAmend&gt;</w:t>
      </w:r>
      <w:r>
        <w:t>Predlog resolucije</w:t>
      </w:r>
      <w:r>
        <w:rPr>
          <w:rStyle w:val="HideTWBExt"/>
          <w:b w:val="0"/>
        </w:rPr>
        <w:t>&lt;/DocAmend&gt;</w:t>
      </w:r>
    </w:p>
    <w:p w14:paraId="73839E7A" w14:textId="77777777" w:rsidR="002A32EA" w:rsidRPr="002A32EA" w:rsidRDefault="00A516D4" w:rsidP="002A32EA">
      <w:pPr>
        <w:pStyle w:val="NormalBold"/>
      </w:pPr>
      <w:r>
        <w:rPr>
          <w:rStyle w:val="HideTWBExt"/>
          <w:b w:val="0"/>
        </w:rPr>
        <w:t>&lt;Article&gt;</w:t>
      </w:r>
      <w:r>
        <w:t>Odstavek 36 v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749" w14:paraId="59567462" w14:textId="77777777" w:rsidTr="002C64D6">
        <w:trPr>
          <w:jc w:val="center"/>
        </w:trPr>
        <w:tc>
          <w:tcPr>
            <w:tcW w:w="9752" w:type="dxa"/>
            <w:gridSpan w:val="2"/>
          </w:tcPr>
          <w:p w14:paraId="1B63A8FB" w14:textId="77777777" w:rsidR="002A32EA" w:rsidRPr="002A32EA" w:rsidRDefault="002A32EA" w:rsidP="002C64D6">
            <w:pPr>
              <w:keepNext/>
            </w:pPr>
          </w:p>
        </w:tc>
      </w:tr>
      <w:tr w:rsidR="00062749" w14:paraId="4DB7E9ED" w14:textId="77777777" w:rsidTr="002C64D6">
        <w:trPr>
          <w:jc w:val="center"/>
        </w:trPr>
        <w:tc>
          <w:tcPr>
            <w:tcW w:w="4876" w:type="dxa"/>
            <w:hideMark/>
          </w:tcPr>
          <w:p w14:paraId="64BBAD37" w14:textId="77777777" w:rsidR="002A32EA" w:rsidRPr="002A32EA" w:rsidRDefault="00A516D4" w:rsidP="002C64D6">
            <w:pPr>
              <w:pStyle w:val="ColumnHeading"/>
              <w:keepNext/>
            </w:pPr>
            <w:r>
              <w:t>Predlog resolucije</w:t>
            </w:r>
          </w:p>
        </w:tc>
        <w:tc>
          <w:tcPr>
            <w:tcW w:w="4876" w:type="dxa"/>
            <w:hideMark/>
          </w:tcPr>
          <w:p w14:paraId="0EF0FA1D" w14:textId="77777777" w:rsidR="002A32EA" w:rsidRPr="002A32EA" w:rsidRDefault="00A516D4" w:rsidP="002C64D6">
            <w:pPr>
              <w:pStyle w:val="ColumnHeading"/>
              <w:keepNext/>
            </w:pPr>
            <w:r>
              <w:t>Predlog spremembe</w:t>
            </w:r>
          </w:p>
        </w:tc>
      </w:tr>
      <w:tr w:rsidR="00062749" w14:paraId="2D15B9E6" w14:textId="77777777" w:rsidTr="002C64D6">
        <w:trPr>
          <w:jc w:val="center"/>
        </w:trPr>
        <w:tc>
          <w:tcPr>
            <w:tcW w:w="4876" w:type="dxa"/>
          </w:tcPr>
          <w:p w14:paraId="2395F633" w14:textId="77777777" w:rsidR="002A32EA" w:rsidRPr="002A32EA" w:rsidRDefault="002A32EA" w:rsidP="002C64D6">
            <w:pPr>
              <w:pStyle w:val="Normal6"/>
            </w:pPr>
          </w:p>
        </w:tc>
        <w:tc>
          <w:tcPr>
            <w:tcW w:w="4876" w:type="dxa"/>
            <w:hideMark/>
          </w:tcPr>
          <w:p w14:paraId="4B12D8D8" w14:textId="77777777" w:rsidR="002A32EA" w:rsidRPr="002A32EA" w:rsidRDefault="00A516D4" w:rsidP="002C64D6">
            <w:pPr>
              <w:pStyle w:val="Normal6"/>
              <w:rPr>
                <w:szCs w:val="24"/>
              </w:rPr>
            </w:pPr>
            <w:r>
              <w:rPr>
                <w:b/>
                <w:i/>
              </w:rPr>
              <w:t>36v.</w:t>
            </w:r>
            <w:r>
              <w:rPr>
                <w:b/>
                <w:i/>
              </w:rPr>
              <w:tab/>
              <w:t>pozdravlja skupno zavezo, izraženo v skupnem dogovoru glede vzpostavitve programa za izkušnje mladih; meni, da bi morale biti pogodbenice ambiciozne pri razvoju podrobnosti programa v smislu obsega, trajanja bivanja in zajetih dejavnosti; v zvezi s tem odločno spodbuja Združeno kraljestvo, naj pokaže odprtost do predlogov, ki jih je Komisija na tem področju predstavila leta 2024; je trdno prepričan, da mora biti dogovor o mobilnosti mladih bistven sestavni del vsake prihodnje revizije sporazuma o trgovini in sodelovanju;</w:t>
            </w:r>
          </w:p>
        </w:tc>
      </w:tr>
    </w:tbl>
    <w:p w14:paraId="358987D1" w14:textId="77777777" w:rsidR="002A32EA" w:rsidRPr="002A32EA" w:rsidRDefault="00A516D4" w:rsidP="002A32EA">
      <w:pPr>
        <w:rPr>
          <w:szCs w:val="24"/>
        </w:rPr>
      </w:pPr>
      <w:r>
        <w:rPr>
          <w:rStyle w:val="HideTWBExt"/>
        </w:rPr>
        <w:t>&lt;/Amend&gt;</w:t>
      </w:r>
    </w:p>
    <w:p w14:paraId="782C3FE7" w14:textId="77777777" w:rsidR="002A32EA" w:rsidRPr="002A32EA" w:rsidRDefault="00A516D4" w:rsidP="002A32EA">
      <w:pPr>
        <w:pStyle w:val="AMNumberTabs0"/>
        <w:keepNext/>
      </w:pPr>
      <w:r>
        <w:rPr>
          <w:rStyle w:val="HideTWBExt"/>
          <w:b w:val="0"/>
        </w:rPr>
        <w:t>&lt;Amend&gt;</w:t>
      </w:r>
      <w:r>
        <w:t>Predlog spremembe</w:t>
      </w:r>
      <w:r>
        <w:tab/>
      </w:r>
      <w:r>
        <w:tab/>
      </w:r>
      <w:r>
        <w:rPr>
          <w:rStyle w:val="HideTWBExt"/>
          <w:b w:val="0"/>
        </w:rPr>
        <w:t>&lt;NumAm&gt;</w:t>
      </w:r>
      <w:r>
        <w:t>24</w:t>
      </w:r>
      <w:r>
        <w:rPr>
          <w:rStyle w:val="HideTWBExt"/>
          <w:b w:val="0"/>
        </w:rPr>
        <w:t>&lt;/NumAm&gt;</w:t>
      </w:r>
    </w:p>
    <w:p w14:paraId="549C7F19" w14:textId="77777777" w:rsidR="002A32EA" w:rsidRPr="002A32EA" w:rsidRDefault="00A516D4" w:rsidP="002A32EA">
      <w:pPr>
        <w:pStyle w:val="AMNumberTabs0"/>
        <w:keepNext/>
      </w:pPr>
      <w:r>
        <w:rPr>
          <w:rStyle w:val="HideTWBExt"/>
          <w:b w:val="0"/>
        </w:rPr>
        <w:t>&lt;DocAmend&gt;</w:t>
      </w:r>
      <w:r>
        <w:t>Predlog resolucije</w:t>
      </w:r>
      <w:r>
        <w:rPr>
          <w:rStyle w:val="HideTWBExt"/>
          <w:b w:val="0"/>
        </w:rPr>
        <w:t>&lt;/DocAmend&gt;</w:t>
      </w:r>
    </w:p>
    <w:p w14:paraId="12C4B76E" w14:textId="77777777" w:rsidR="002A32EA" w:rsidRPr="002A32EA" w:rsidRDefault="00A516D4" w:rsidP="002A32EA">
      <w:pPr>
        <w:pStyle w:val="NormalBold"/>
      </w:pPr>
      <w:r>
        <w:rPr>
          <w:rStyle w:val="HideTWBExt"/>
          <w:b w:val="0"/>
        </w:rPr>
        <w:t>&lt;Article&gt;</w:t>
      </w:r>
      <w:r>
        <w:t>Odstavek 36 w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749" w14:paraId="499C83BB" w14:textId="77777777" w:rsidTr="002C64D6">
        <w:trPr>
          <w:jc w:val="center"/>
        </w:trPr>
        <w:tc>
          <w:tcPr>
            <w:tcW w:w="9752" w:type="dxa"/>
            <w:gridSpan w:val="2"/>
          </w:tcPr>
          <w:p w14:paraId="1FBDA62B" w14:textId="77777777" w:rsidR="002A32EA" w:rsidRPr="002A32EA" w:rsidRDefault="002A32EA" w:rsidP="002C64D6">
            <w:pPr>
              <w:keepNext/>
            </w:pPr>
          </w:p>
        </w:tc>
      </w:tr>
      <w:tr w:rsidR="00062749" w14:paraId="65EF901A" w14:textId="77777777" w:rsidTr="002C64D6">
        <w:trPr>
          <w:jc w:val="center"/>
        </w:trPr>
        <w:tc>
          <w:tcPr>
            <w:tcW w:w="4876" w:type="dxa"/>
            <w:hideMark/>
          </w:tcPr>
          <w:p w14:paraId="14767B0C" w14:textId="77777777" w:rsidR="002A32EA" w:rsidRPr="002A32EA" w:rsidRDefault="00A516D4" w:rsidP="002C64D6">
            <w:pPr>
              <w:pStyle w:val="ColumnHeading"/>
              <w:keepNext/>
            </w:pPr>
            <w:r>
              <w:t>Predlog resolucije</w:t>
            </w:r>
          </w:p>
        </w:tc>
        <w:tc>
          <w:tcPr>
            <w:tcW w:w="4876" w:type="dxa"/>
            <w:hideMark/>
          </w:tcPr>
          <w:p w14:paraId="205B343B" w14:textId="77777777" w:rsidR="002A32EA" w:rsidRPr="002A32EA" w:rsidRDefault="00A516D4" w:rsidP="002C64D6">
            <w:pPr>
              <w:pStyle w:val="ColumnHeading"/>
              <w:keepNext/>
            </w:pPr>
            <w:r>
              <w:t>Predlog spremembe</w:t>
            </w:r>
          </w:p>
        </w:tc>
      </w:tr>
      <w:tr w:rsidR="00062749" w14:paraId="6D9A37F9" w14:textId="77777777" w:rsidTr="002C64D6">
        <w:trPr>
          <w:jc w:val="center"/>
        </w:trPr>
        <w:tc>
          <w:tcPr>
            <w:tcW w:w="4876" w:type="dxa"/>
          </w:tcPr>
          <w:p w14:paraId="32781907" w14:textId="77777777" w:rsidR="002A32EA" w:rsidRPr="002A32EA" w:rsidRDefault="002A32EA" w:rsidP="002C64D6">
            <w:pPr>
              <w:pStyle w:val="Normal6"/>
            </w:pPr>
          </w:p>
        </w:tc>
        <w:tc>
          <w:tcPr>
            <w:tcW w:w="4876" w:type="dxa"/>
            <w:hideMark/>
          </w:tcPr>
          <w:p w14:paraId="4464E461" w14:textId="77777777" w:rsidR="002A32EA" w:rsidRPr="002A32EA" w:rsidRDefault="00A516D4" w:rsidP="002C64D6">
            <w:pPr>
              <w:pStyle w:val="Normal6"/>
              <w:rPr>
                <w:szCs w:val="24"/>
              </w:rPr>
            </w:pPr>
            <w:r>
              <w:rPr>
                <w:b/>
                <w:i/>
              </w:rPr>
              <w:t>36w.</w:t>
            </w:r>
            <w:r>
              <w:rPr>
                <w:b/>
                <w:i/>
              </w:rPr>
              <w:tab/>
              <w:t>meni, da ima takšna shema velik potencial, da spodbudi novo generacijo mladih Evropejcev in Britancev s spodbujanjem zakonitih, medosebnih izmenjav, ki temeljijo na skupnih demokratičnih vrednotah, kulturnem razumevanju in medsebojnem zaupanju, ter da bi lahko postavila temelje za dolgoročno sodelovanje, socialno kohezijo in močnejše nadnacionalne mreže med mladimi; nadalje spodbuja obe strani, naj razmislita o olajšanju mobilnosti med Združenim kraljestvom in EU tudi zunaj predlaganega programa za pridobivanje izkušenj mladih;</w:t>
            </w:r>
          </w:p>
        </w:tc>
      </w:tr>
    </w:tbl>
    <w:p w14:paraId="50624A63" w14:textId="77777777" w:rsidR="002A32EA" w:rsidRPr="002A32EA" w:rsidRDefault="00A516D4" w:rsidP="002A32EA">
      <w:pPr>
        <w:rPr>
          <w:szCs w:val="24"/>
        </w:rPr>
      </w:pPr>
      <w:r>
        <w:rPr>
          <w:rStyle w:val="HideTWBExt"/>
        </w:rPr>
        <w:t>&lt;/Amend&gt;</w:t>
      </w:r>
    </w:p>
    <w:p w14:paraId="65CC866A" w14:textId="77777777" w:rsidR="002A32EA" w:rsidRPr="002A32EA" w:rsidRDefault="00A516D4" w:rsidP="002A32EA">
      <w:pPr>
        <w:pStyle w:val="AMNumberTabs0"/>
        <w:keepNext/>
      </w:pPr>
      <w:r>
        <w:rPr>
          <w:rStyle w:val="HideTWBExt"/>
          <w:b w:val="0"/>
        </w:rPr>
        <w:t>&lt;Amend&gt;</w:t>
      </w:r>
      <w:r>
        <w:t>Predlog spremembe</w:t>
      </w:r>
      <w:r>
        <w:tab/>
      </w:r>
      <w:r>
        <w:tab/>
      </w:r>
      <w:r>
        <w:rPr>
          <w:rStyle w:val="HideTWBExt"/>
          <w:b w:val="0"/>
        </w:rPr>
        <w:t>&lt;NumAm&gt;</w:t>
      </w:r>
      <w:r>
        <w:t>25</w:t>
      </w:r>
      <w:r>
        <w:rPr>
          <w:rStyle w:val="HideTWBExt"/>
          <w:b w:val="0"/>
        </w:rPr>
        <w:t>&lt;/NumAm&gt;</w:t>
      </w:r>
    </w:p>
    <w:p w14:paraId="724D712A" w14:textId="77777777" w:rsidR="002A32EA" w:rsidRPr="002A32EA" w:rsidRDefault="00A516D4" w:rsidP="002A32EA">
      <w:pPr>
        <w:pStyle w:val="AMNumberTabs0"/>
        <w:keepNext/>
      </w:pPr>
      <w:r>
        <w:rPr>
          <w:rStyle w:val="HideTWBExt"/>
          <w:b w:val="0"/>
        </w:rPr>
        <w:t>&lt;DocAmend&gt;</w:t>
      </w:r>
      <w:r>
        <w:t>Predlog resolucije</w:t>
      </w:r>
      <w:r>
        <w:rPr>
          <w:rStyle w:val="HideTWBExt"/>
          <w:b w:val="0"/>
        </w:rPr>
        <w:t>&lt;/DocAmend&gt;</w:t>
      </w:r>
    </w:p>
    <w:p w14:paraId="1FFB3E3D" w14:textId="77777777" w:rsidR="002A32EA" w:rsidRPr="002A32EA" w:rsidRDefault="00A516D4" w:rsidP="002A32EA">
      <w:pPr>
        <w:pStyle w:val="NormalBold"/>
      </w:pPr>
      <w:r>
        <w:rPr>
          <w:rStyle w:val="HideTWBExt"/>
          <w:b w:val="0"/>
        </w:rPr>
        <w:t>&lt;Article&gt;</w:t>
      </w:r>
      <w:r>
        <w:t>Odstavek 36 x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749" w14:paraId="0C4439AA" w14:textId="77777777" w:rsidTr="002C64D6">
        <w:trPr>
          <w:jc w:val="center"/>
        </w:trPr>
        <w:tc>
          <w:tcPr>
            <w:tcW w:w="9752" w:type="dxa"/>
            <w:gridSpan w:val="2"/>
          </w:tcPr>
          <w:p w14:paraId="048F65E2" w14:textId="77777777" w:rsidR="002A32EA" w:rsidRPr="002A32EA" w:rsidRDefault="002A32EA" w:rsidP="002C64D6">
            <w:pPr>
              <w:keepNext/>
            </w:pPr>
          </w:p>
        </w:tc>
      </w:tr>
      <w:tr w:rsidR="00062749" w14:paraId="2F08E05D" w14:textId="77777777" w:rsidTr="002C64D6">
        <w:trPr>
          <w:jc w:val="center"/>
        </w:trPr>
        <w:tc>
          <w:tcPr>
            <w:tcW w:w="4876" w:type="dxa"/>
            <w:hideMark/>
          </w:tcPr>
          <w:p w14:paraId="3064E8D4" w14:textId="77777777" w:rsidR="002A32EA" w:rsidRPr="002A32EA" w:rsidRDefault="00A516D4" w:rsidP="002C64D6">
            <w:pPr>
              <w:pStyle w:val="ColumnHeading"/>
              <w:keepNext/>
            </w:pPr>
            <w:r>
              <w:t>Predlog resolucije</w:t>
            </w:r>
          </w:p>
        </w:tc>
        <w:tc>
          <w:tcPr>
            <w:tcW w:w="4876" w:type="dxa"/>
            <w:hideMark/>
          </w:tcPr>
          <w:p w14:paraId="2A44DE17" w14:textId="77777777" w:rsidR="002A32EA" w:rsidRPr="002A32EA" w:rsidRDefault="00A516D4" w:rsidP="002C64D6">
            <w:pPr>
              <w:pStyle w:val="ColumnHeading"/>
              <w:keepNext/>
            </w:pPr>
            <w:r>
              <w:t>Predlog spremembe</w:t>
            </w:r>
          </w:p>
        </w:tc>
      </w:tr>
      <w:tr w:rsidR="00062749" w14:paraId="24D47653" w14:textId="77777777" w:rsidTr="002C64D6">
        <w:trPr>
          <w:jc w:val="center"/>
        </w:trPr>
        <w:tc>
          <w:tcPr>
            <w:tcW w:w="4876" w:type="dxa"/>
          </w:tcPr>
          <w:p w14:paraId="0294189F" w14:textId="77777777" w:rsidR="002A32EA" w:rsidRPr="002A32EA" w:rsidRDefault="002A32EA" w:rsidP="002C64D6">
            <w:pPr>
              <w:pStyle w:val="Normal6"/>
            </w:pPr>
          </w:p>
        </w:tc>
        <w:tc>
          <w:tcPr>
            <w:tcW w:w="4876" w:type="dxa"/>
            <w:hideMark/>
          </w:tcPr>
          <w:p w14:paraId="06812E28" w14:textId="77777777" w:rsidR="002A32EA" w:rsidRPr="002A32EA" w:rsidRDefault="00A516D4" w:rsidP="002C64D6">
            <w:pPr>
              <w:pStyle w:val="Normal6"/>
              <w:rPr>
                <w:b/>
                <w:i/>
              </w:rPr>
            </w:pPr>
            <w:r>
              <w:rPr>
                <w:b/>
                <w:i/>
              </w:rPr>
              <w:t>36x.</w:t>
            </w:r>
            <w:r>
              <w:rPr>
                <w:b/>
                <w:i/>
              </w:rPr>
              <w:tab/>
              <w:t>poudarja potencialne vzajemne koristi okrepljene in vzajemne kratkoročne poslovne mobilnosti; se strinja s Komisijo, da je sistem sponzorstva Združenega kraljestva za delovne vizume za ponudnike storitev iz EU preveč zapleten in obremenjujoč tako za delodajalce iz Združenega kraljestva kot za upravičence do vizumov iz EU, ter poziva Združeno kraljestvo, naj ponudnike storitev, za katere velja sporazum o trgovini in sodelovanju, izvzame iz sistema sponzorstva; poziva Združeno kraljestvo, naj še naprej sprejema vse potrebne ukrepe za boj proti diskriminaciji državljanov Evropske unije, ki živijo v Združenem kraljestvu;</w:t>
            </w:r>
          </w:p>
        </w:tc>
      </w:tr>
    </w:tbl>
    <w:p w14:paraId="05CC04B2" w14:textId="77777777" w:rsidR="002A32EA" w:rsidRPr="002A32EA" w:rsidRDefault="002A32EA" w:rsidP="002A32EA"/>
    <w:p w14:paraId="7EDCCDE1" w14:textId="77777777" w:rsidR="002A32EA" w:rsidRPr="002A32EA" w:rsidRDefault="00A516D4" w:rsidP="002A32EA">
      <w:pPr>
        <w:rPr>
          <w:rStyle w:val="HideTWBExt"/>
        </w:rPr>
      </w:pPr>
      <w:r>
        <w:rPr>
          <w:rStyle w:val="HideTWBExt"/>
        </w:rPr>
        <w:t>&lt;/Amend&gt;</w:t>
      </w:r>
    </w:p>
    <w:p w14:paraId="77D3358C" w14:textId="77777777" w:rsidR="002A32EA" w:rsidRPr="002A32EA" w:rsidRDefault="00A516D4" w:rsidP="002A32EA">
      <w:r>
        <w:rPr>
          <w:rStyle w:val="HideTWBExt"/>
        </w:rPr>
        <w:t>&lt;/RepeatBlock-Amend&gt;</w:t>
      </w:r>
    </w:p>
    <w:p w14:paraId="7CBA2761" w14:textId="77777777" w:rsidR="00112453" w:rsidRDefault="00112453" w:rsidP="002A32EA">
      <w:pPr>
        <w:pStyle w:val="PageHeadingNotTOC"/>
        <w:sectPr w:rsidR="00112453" w:rsidSect="00112453">
          <w:pgSz w:w="11906" w:h="16838"/>
          <w:pgMar w:top="1134" w:right="1417" w:bottom="1417" w:left="1417" w:header="1134" w:footer="567" w:gutter="0"/>
          <w:cols w:space="708"/>
          <w:docGrid w:linePitch="360"/>
        </w:sectPr>
      </w:pPr>
    </w:p>
    <w:p w14:paraId="0C85A742" w14:textId="77777777" w:rsidR="00112453" w:rsidRPr="00D7238E" w:rsidRDefault="00A516D4" w:rsidP="002B2C72">
      <w:pPr>
        <w:pStyle w:val="PageHeadingNotTOC"/>
      </w:pPr>
      <w:bookmarkStart w:id="1" w:name="FootprintPageAD"/>
      <w:r>
        <w:t>PRILOGA: IZJAVA O PRISPEVKIH</w:t>
      </w:r>
    </w:p>
    <w:p w14:paraId="7E6E3B8E" w14:textId="77777777" w:rsidR="00112453" w:rsidRPr="0099178F" w:rsidRDefault="00A516D4" w:rsidP="00112453">
      <w:pPr>
        <w:pStyle w:val="Normal24a"/>
        <w:spacing w:line="360" w:lineRule="auto"/>
      </w:pPr>
      <w:r>
        <w:rPr>
          <w:rStyle w:val="HideTWBExt"/>
        </w:rPr>
        <w:t>&lt;FootprintIntro&gt;</w:t>
      </w:r>
      <w:r>
        <w:t>Pripravljavec mnenja v skladu s členom 8 Priloge I Poslovnika izjavlja, da je v svoje mnenje vključil prispevke k zadevam, ki se nanašajo na temo dokumenta, ki jih je med pripravo mnenja do njegovega sprejetja v odboru prejel od naslednjih zastopnikov interesov, ki spadajo na področje uporabe Medinstitucionalnega sporazuma o obveznem registru za preglednost</w:t>
      </w:r>
      <w:r>
        <w:rPr>
          <w:rStyle w:val="FootnoteReference"/>
        </w:rPr>
        <w:footnoteReference w:id="1"/>
      </w:r>
      <w:r>
        <w:t>, ali zastopnikov javnih organov tretjih držav, vključno z njihovimi diplomatskimi predstavništvi in veleposlaništvi:</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062749" w14:paraId="38B45029" w14:textId="77777777" w:rsidTr="00F42F07">
        <w:tc>
          <w:tcPr>
            <w:tcW w:w="9286" w:type="dxa"/>
            <w:shd w:val="clear" w:color="auto" w:fill="auto"/>
          </w:tcPr>
          <w:p w14:paraId="65EFB9B5" w14:textId="77777777" w:rsidR="00112453" w:rsidRDefault="00A516D4" w:rsidP="00F42F07">
            <w:pPr>
              <w:pStyle w:val="NormalBoldCenter"/>
            </w:pPr>
            <w:r>
              <w:t>1. Zastopniki interesov, ki spadajo na področje uporabe Medinstitucionalnega sporazuma o obveznem registru za preglednost</w:t>
            </w:r>
          </w:p>
        </w:tc>
      </w:tr>
      <w:tr w:rsidR="00062749" w14:paraId="1854A93D" w14:textId="77777777" w:rsidTr="00F42F07">
        <w:tc>
          <w:tcPr>
            <w:tcW w:w="9286" w:type="dxa"/>
            <w:shd w:val="clear" w:color="auto" w:fill="auto"/>
          </w:tcPr>
          <w:p w14:paraId="787414F3" w14:textId="77777777" w:rsidR="00112453" w:rsidRDefault="00112453" w:rsidP="00F42F07">
            <w:pPr>
              <w:pStyle w:val="NormalBoldCenter"/>
            </w:pPr>
          </w:p>
        </w:tc>
      </w:tr>
      <w:tr w:rsidR="00062749" w14:paraId="62A945F8" w14:textId="77777777" w:rsidTr="00F42F07">
        <w:tc>
          <w:tcPr>
            <w:tcW w:w="9286" w:type="dxa"/>
            <w:shd w:val="clear" w:color="auto" w:fill="auto"/>
          </w:tcPr>
          <w:p w14:paraId="02ED3F7D" w14:textId="77777777" w:rsidR="00112453" w:rsidRDefault="00112453" w:rsidP="00F42F07">
            <w:pPr>
              <w:pStyle w:val="NormalBoldCenter"/>
            </w:pPr>
          </w:p>
        </w:tc>
      </w:tr>
      <w:tr w:rsidR="00062749" w14:paraId="57DBC17E" w14:textId="77777777" w:rsidTr="00F42F07">
        <w:tc>
          <w:tcPr>
            <w:tcW w:w="9286" w:type="dxa"/>
            <w:shd w:val="clear" w:color="auto" w:fill="auto"/>
          </w:tcPr>
          <w:p w14:paraId="12EE37B4" w14:textId="77777777" w:rsidR="00112453" w:rsidRDefault="00112453" w:rsidP="00F42F07">
            <w:pPr>
              <w:pStyle w:val="NormalBoldCenter"/>
            </w:pPr>
          </w:p>
        </w:tc>
      </w:tr>
      <w:tr w:rsidR="00062749" w14:paraId="62EDB6C9" w14:textId="77777777" w:rsidTr="00F42F07">
        <w:tc>
          <w:tcPr>
            <w:tcW w:w="9286" w:type="dxa"/>
            <w:shd w:val="clear" w:color="auto" w:fill="auto"/>
          </w:tcPr>
          <w:p w14:paraId="249AD518" w14:textId="77777777" w:rsidR="00112453" w:rsidRPr="007C35EE" w:rsidRDefault="00A516D4" w:rsidP="007C35EE">
            <w:pPr>
              <w:pStyle w:val="NormalBoldCenter"/>
            </w:pPr>
            <w:r>
              <w:t>2. Zastopniki javnih organov tretjih držav, vključno z njihovimi diplomatskimi predstavništvi in veleposlaništvi</w:t>
            </w:r>
          </w:p>
        </w:tc>
      </w:tr>
      <w:tr w:rsidR="00062749" w14:paraId="50D26523" w14:textId="77777777" w:rsidTr="00F42F07">
        <w:tc>
          <w:tcPr>
            <w:tcW w:w="9286" w:type="dxa"/>
            <w:shd w:val="clear" w:color="auto" w:fill="auto"/>
          </w:tcPr>
          <w:p w14:paraId="548A1848" w14:textId="77777777" w:rsidR="00112453" w:rsidRPr="007C35EE" w:rsidRDefault="00A516D4" w:rsidP="007C35EE">
            <w:pPr>
              <w:pStyle w:val="NormalSingle"/>
            </w:pPr>
            <w:r>
              <w:rPr>
                <w:color w:val="000000" w:themeColor="text1"/>
                <w:sz w:val="22"/>
              </w:rPr>
              <w:t>UK Mission to the European Union</w:t>
            </w:r>
          </w:p>
        </w:tc>
      </w:tr>
      <w:tr w:rsidR="00062749" w14:paraId="44B981C0" w14:textId="77777777" w:rsidTr="00F42F07">
        <w:tc>
          <w:tcPr>
            <w:tcW w:w="9286" w:type="dxa"/>
            <w:shd w:val="clear" w:color="auto" w:fill="auto"/>
          </w:tcPr>
          <w:p w14:paraId="327EC788" w14:textId="77777777" w:rsidR="00112453" w:rsidRPr="00AB64AC" w:rsidRDefault="00112453" w:rsidP="007C35EE">
            <w:pPr>
              <w:pStyle w:val="NormalSingle"/>
              <w:rPr>
                <w:bCs/>
                <w:color w:val="000000" w:themeColor="text1"/>
                <w:sz w:val="22"/>
                <w:szCs w:val="22"/>
              </w:rPr>
            </w:pPr>
          </w:p>
        </w:tc>
      </w:tr>
      <w:tr w:rsidR="00062749" w14:paraId="4F1BA5E6" w14:textId="77777777" w:rsidTr="00F42F07">
        <w:tc>
          <w:tcPr>
            <w:tcW w:w="9286" w:type="dxa"/>
            <w:shd w:val="clear" w:color="auto" w:fill="auto"/>
          </w:tcPr>
          <w:p w14:paraId="1BB37852" w14:textId="77777777" w:rsidR="00112453" w:rsidRPr="00AB64AC" w:rsidRDefault="00112453" w:rsidP="007C35EE">
            <w:pPr>
              <w:pStyle w:val="NormalSingle"/>
              <w:rPr>
                <w:bCs/>
                <w:color w:val="000000" w:themeColor="text1"/>
                <w:sz w:val="22"/>
                <w:szCs w:val="22"/>
              </w:rPr>
            </w:pPr>
          </w:p>
        </w:tc>
      </w:tr>
    </w:tbl>
    <w:p w14:paraId="72B846A9" w14:textId="77777777" w:rsidR="00112453" w:rsidRPr="00E9312B" w:rsidRDefault="00A516D4" w:rsidP="00112453">
      <w:pPr>
        <w:pStyle w:val="Footprint12b"/>
        <w:spacing w:line="360" w:lineRule="auto"/>
      </w:pPr>
      <w:r>
        <w:t>Priprava tega seznama je v izključni pristojnosti pripravljavca mnenja.</w:t>
      </w:r>
    </w:p>
    <w:p w14:paraId="227BC6FE" w14:textId="44DD9607" w:rsidR="00112453" w:rsidRPr="00D7238E" w:rsidRDefault="00A516D4" w:rsidP="00112453">
      <w:pPr>
        <w:pStyle w:val="Footprint12b"/>
        <w:spacing w:line="360" w:lineRule="auto"/>
      </w:pPr>
      <w:r>
        <w:t>Če so na seznamu navedene fizične osebe z imenom ali njihovo funkcijo ali z obema, pripravljavec mnenja izjavlja, da je zadevne fizične osebe seznanil z obvestilom Evropskega parlamenta o varstvu podatkov št. 484 (</w:t>
      </w:r>
      <w:hyperlink r:id="rId16" w:history="1">
        <w:r>
          <w:rPr>
            <w:rStyle w:val="Hyperlink"/>
          </w:rPr>
          <w:t>https://www.europarl.europa.eu/data-protect/index.do</w:t>
        </w:r>
      </w:hyperlink>
      <w:r>
        <w:t>), v katerem so opredeljeni pogoji, ki veljajo za obdelavo njihovih osebnih podatkov, ter pravice, povezane s to obdelavo.</w:t>
      </w:r>
    </w:p>
    <w:p w14:paraId="018DD305" w14:textId="77777777" w:rsidR="00112453" w:rsidRPr="00112453" w:rsidRDefault="00112453" w:rsidP="00112453">
      <w:pPr>
        <w:spacing w:line="360" w:lineRule="auto"/>
      </w:pPr>
    </w:p>
    <w:bookmarkEnd w:id="1"/>
    <w:p w14:paraId="38E52B00" w14:textId="77777777" w:rsidR="00112453" w:rsidRDefault="00A516D4" w:rsidP="00112453">
      <w:pPr>
        <w:pStyle w:val="PageHeadingNotTOC"/>
        <w:spacing w:line="360" w:lineRule="auto"/>
      </w:pPr>
      <w:r>
        <w:br w:type="page"/>
      </w:r>
      <w:bookmarkStart w:id="2" w:name="ProcPageAD"/>
      <w:r>
        <w:t>INFORMACIJE O SPREJETJU V ODBORU, ZAPROŠENEM ZA MNENJE</w:t>
      </w:r>
    </w:p>
    <w:tbl>
      <w:tblPr>
        <w:tblW w:w="10000" w:type="dxa"/>
        <w:tblLayout w:type="fixed"/>
        <w:tblCellMar>
          <w:top w:w="54" w:type="dxa"/>
          <w:bottom w:w="54" w:type="dxa"/>
        </w:tblCellMar>
        <w:tblLook w:val="04A0" w:firstRow="1" w:lastRow="0" w:firstColumn="1" w:lastColumn="0" w:noHBand="0" w:noVBand="1"/>
      </w:tblPr>
      <w:tblGrid>
        <w:gridCol w:w="3600"/>
        <w:gridCol w:w="6400"/>
      </w:tblGrid>
      <w:tr w:rsidR="00062749" w14:paraId="00340080" w14:textId="77777777" w:rsidTr="00112453">
        <w:tc>
          <w:tcPr>
            <w:tcW w:w="3600" w:type="dxa"/>
            <w:tcBorders>
              <w:top w:val="single" w:sz="8" w:space="0" w:color="000000"/>
              <w:left w:val="single" w:sz="8" w:space="0" w:color="000000"/>
              <w:bottom w:val="single" w:sz="8" w:space="0" w:color="000000"/>
              <w:right w:val="single" w:sz="8" w:space="0" w:color="000000"/>
            </w:tcBorders>
          </w:tcPr>
          <w:p w14:paraId="4AAF8414" w14:textId="77777777" w:rsidR="00112453" w:rsidRPr="00112453" w:rsidRDefault="00A516D4" w:rsidP="002C64D6">
            <w:pPr>
              <w:pStyle w:val="ProcedureTableBold"/>
            </w:pPr>
            <w:r>
              <w:rPr>
                <w:color w:val="000000"/>
              </w:rPr>
              <w:t>Datum sprejetja</w:t>
            </w:r>
          </w:p>
        </w:tc>
        <w:tc>
          <w:tcPr>
            <w:tcW w:w="6400" w:type="dxa"/>
            <w:tcBorders>
              <w:top w:val="single" w:sz="8" w:space="0" w:color="000000"/>
              <w:bottom w:val="single" w:sz="8" w:space="0" w:color="000000"/>
              <w:right w:val="single" w:sz="8" w:space="0" w:color="000000"/>
            </w:tcBorders>
          </w:tcPr>
          <w:p w14:paraId="4A6AD9D8" w14:textId="77777777" w:rsidR="00112453" w:rsidRPr="00AB64AC" w:rsidRDefault="00A516D4" w:rsidP="002C64D6">
            <w:pPr>
              <w:pStyle w:val="ProcedureTable"/>
            </w:pPr>
            <w:r>
              <w:t>24.6.2025</w:t>
            </w:r>
          </w:p>
        </w:tc>
      </w:tr>
      <w:tr w:rsidR="00062749" w14:paraId="3A850526" w14:textId="77777777" w:rsidTr="00112453">
        <w:tc>
          <w:tcPr>
            <w:tcW w:w="3600" w:type="dxa"/>
            <w:tcBorders>
              <w:top w:val="single" w:sz="8" w:space="0" w:color="000000"/>
              <w:left w:val="single" w:sz="8" w:space="0" w:color="000000"/>
              <w:bottom w:val="single" w:sz="8" w:space="0" w:color="000000"/>
              <w:right w:val="single" w:sz="8" w:space="0" w:color="000000"/>
            </w:tcBorders>
          </w:tcPr>
          <w:p w14:paraId="6603D77C" w14:textId="77777777" w:rsidR="00112453" w:rsidRPr="00112453" w:rsidRDefault="00A516D4" w:rsidP="00112453">
            <w:pPr>
              <w:pStyle w:val="ProcedureTableBold"/>
            </w:pPr>
            <w:r>
              <w:rPr>
                <w:color w:val="000000"/>
              </w:rPr>
              <w:t>Izid končnega glasovanja</w:t>
            </w:r>
          </w:p>
        </w:tc>
        <w:tc>
          <w:tcPr>
            <w:tcW w:w="6400" w:type="dxa"/>
            <w:tcBorders>
              <w:top w:val="single" w:sz="8" w:space="0" w:color="000000"/>
              <w:bottom w:val="single" w:sz="8" w:space="0" w:color="000000"/>
              <w:right w:val="single" w:sz="8" w:space="0" w:color="000000"/>
            </w:tcBorders>
          </w:tcPr>
          <w:p w14:paraId="3C6E979A" w14:textId="77777777" w:rsidR="00112453" w:rsidRPr="00AB64AC" w:rsidRDefault="00A516D4" w:rsidP="00112453">
            <w:pPr>
              <w:pStyle w:val="ProcedureTable"/>
            </w:pPr>
            <w:r>
              <w:t>+</w:t>
            </w:r>
            <w:r>
              <w:tab/>
              <w:t>:</w:t>
            </w:r>
            <w:r>
              <w:tab/>
              <w:t>61</w:t>
            </w:r>
          </w:p>
          <w:p w14:paraId="79BAB1DA" w14:textId="77777777" w:rsidR="00112453" w:rsidRPr="00AB64AC" w:rsidRDefault="00A516D4" w:rsidP="00112453">
            <w:pPr>
              <w:pStyle w:val="ProcedureTable"/>
            </w:pPr>
            <w:r>
              <w:t>-</w:t>
            </w:r>
            <w:r>
              <w:tab/>
              <w:t>:</w:t>
            </w:r>
            <w:r>
              <w:tab/>
              <w:t>0</w:t>
            </w:r>
          </w:p>
          <w:p w14:paraId="0A460045" w14:textId="77777777" w:rsidR="00112453" w:rsidRPr="00AB64AC" w:rsidRDefault="00A516D4" w:rsidP="00112453">
            <w:pPr>
              <w:pStyle w:val="ProcedureTable"/>
            </w:pPr>
            <w:r>
              <w:t>0</w:t>
            </w:r>
            <w:r>
              <w:tab/>
              <w:t>:</w:t>
            </w:r>
            <w:r>
              <w:tab/>
              <w:t>12</w:t>
            </w:r>
          </w:p>
        </w:tc>
      </w:tr>
      <w:tr w:rsidR="00062749" w14:paraId="2FD3449D" w14:textId="77777777" w:rsidTr="00112453">
        <w:tc>
          <w:tcPr>
            <w:tcW w:w="3600" w:type="dxa"/>
            <w:tcBorders>
              <w:top w:val="single" w:sz="8" w:space="0" w:color="000000"/>
              <w:left w:val="single" w:sz="8" w:space="0" w:color="000000"/>
              <w:bottom w:val="single" w:sz="8" w:space="0" w:color="000000"/>
              <w:right w:val="single" w:sz="8" w:space="0" w:color="000000"/>
            </w:tcBorders>
          </w:tcPr>
          <w:p w14:paraId="1C23517B" w14:textId="77777777" w:rsidR="00112453" w:rsidRDefault="00A516D4" w:rsidP="002C64D6">
            <w:pPr>
              <w:pStyle w:val="ProcedureTableBold"/>
            </w:pPr>
            <w:r>
              <w:t>Poslanci, navzoči pri končnem glasovanju</w:t>
            </w:r>
          </w:p>
          <w:p w14:paraId="11F9AAE3" w14:textId="77777777" w:rsidR="00112453" w:rsidRPr="00AB64AC" w:rsidRDefault="00112453" w:rsidP="002C64D6">
            <w:pPr>
              <w:pStyle w:val="ProcedureTableBold"/>
            </w:pPr>
          </w:p>
        </w:tc>
        <w:tc>
          <w:tcPr>
            <w:tcW w:w="6400" w:type="dxa"/>
            <w:tcBorders>
              <w:top w:val="single" w:sz="8" w:space="0" w:color="000000"/>
              <w:bottom w:val="single" w:sz="8" w:space="0" w:color="000000"/>
              <w:right w:val="single" w:sz="8" w:space="0" w:color="000000"/>
            </w:tcBorders>
          </w:tcPr>
          <w:p w14:paraId="321D79B8" w14:textId="77777777" w:rsidR="00112453" w:rsidRPr="00AB64AC" w:rsidRDefault="00A516D4" w:rsidP="002C64D6">
            <w:pPr>
              <w:pStyle w:val="ProcedureTable"/>
              <w:rPr>
                <w:color w:val="000000" w:themeColor="text1"/>
              </w:rPr>
            </w:pPr>
            <w:r>
              <w:rPr>
                <w:color w:val="000000" w:themeColor="text1"/>
              </w:rPr>
              <w:t xml:space="preserve">Magdalena Adamowicz, Abir Al-Sahlani, Giuseppe Antoci, Francisco Assis, Malik Azmani, Nikola Bartůšek, Saskia Bricmont, Krzysztof Brejza, Jaroslav Bžoch, Mélissa Camara, Susanna Ceccardi, Caterina Chinnici, Alessandro Ciriani, Lena Düpont, Marieke Ehlers, Estrella Galán, Raquel García Hermida-Van Der Walle, Evin Incir, Paolo Inselvini, Irena Joveva, Erik Kaliňák, Marina Kaljurand, Mariusz Kamiński, Assita Kanko, Fabienne Keller, Moritz Körner, Murielle Laurent, Fabrice Leggeri, Jeroen Lenaers, Juan Fernando López Aguilar, Michael McNamara, Ana Catarina Mendes, Verena Mertens, Nadine Morano, Matjaž Nemec, Ana Miguel Pedro, Chloé Ridel, Ilaria Salis Birgit Sippel, Krzysztof Śmiszek, Sander Smit, Petra Steger, Cecilia Strada, Tineke Strik, Georgiana Teodorescu, </w:t>
            </w:r>
            <w:r>
              <w:t xml:space="preserve">Tomas Tobé, </w:t>
            </w:r>
            <w:r>
              <w:rPr>
                <w:color w:val="000000" w:themeColor="text1"/>
              </w:rPr>
              <w:t>Milan Uhrík, Tom Vandendriessche, Kristian Vigenin, Charlie Weimers, Sophie Wilmès, Ewa Zajączkowska-Hernik, Alessandro Zan, Javier Zarzalejos.</w:t>
            </w:r>
          </w:p>
        </w:tc>
      </w:tr>
      <w:tr w:rsidR="00062749" w14:paraId="21324D59" w14:textId="77777777" w:rsidTr="00112453">
        <w:tc>
          <w:tcPr>
            <w:tcW w:w="3600" w:type="dxa"/>
            <w:tcBorders>
              <w:top w:val="single" w:sz="8" w:space="0" w:color="000000"/>
              <w:left w:val="single" w:sz="8" w:space="0" w:color="000000"/>
              <w:bottom w:val="single" w:sz="8" w:space="0" w:color="000000"/>
              <w:right w:val="single" w:sz="8" w:space="0" w:color="000000"/>
            </w:tcBorders>
          </w:tcPr>
          <w:p w14:paraId="56FBFA6C" w14:textId="77777777" w:rsidR="00112453" w:rsidRPr="00AB64AC" w:rsidRDefault="00A516D4" w:rsidP="002C64D6">
            <w:pPr>
              <w:pStyle w:val="ProcedureTableBold"/>
            </w:pPr>
            <w:r>
              <w:t>Namestniki, navzoči pri končnem glasovanju</w:t>
            </w:r>
          </w:p>
        </w:tc>
        <w:tc>
          <w:tcPr>
            <w:tcW w:w="6400" w:type="dxa"/>
            <w:tcBorders>
              <w:top w:val="single" w:sz="8" w:space="0" w:color="000000"/>
              <w:bottom w:val="single" w:sz="8" w:space="0" w:color="000000"/>
              <w:right w:val="single" w:sz="8" w:space="0" w:color="000000"/>
            </w:tcBorders>
          </w:tcPr>
          <w:p w14:paraId="1BC2F4B4" w14:textId="77777777" w:rsidR="00112453" w:rsidRPr="00AB64AC" w:rsidRDefault="00A516D4" w:rsidP="002C64D6">
            <w:pPr>
              <w:pStyle w:val="ProcedureTable"/>
            </w:pPr>
            <w:r>
              <w:t>Konstandinos Arvanitis (Konstantinos Arvanitis), Fredi Beleris (Fredis Beleris), David Casa, Laurent Castillo, Jeadis Jeadi (Geadis Geadi), Monika Hohlmeier, Nikola Minčev (Nikola Minchev), Hannah Neumann, João Oliveira, Leoluca Orlando, Oliver Schenk, Alexander Sell, António Tânger Corrêa, Pekka Toveri, Roberto Vannacci.</w:t>
            </w:r>
          </w:p>
        </w:tc>
      </w:tr>
      <w:tr w:rsidR="00062749" w14:paraId="3F4D8668" w14:textId="77777777" w:rsidTr="00112453">
        <w:tc>
          <w:tcPr>
            <w:tcW w:w="3600" w:type="dxa"/>
            <w:tcBorders>
              <w:top w:val="single" w:sz="8" w:space="0" w:color="000000"/>
              <w:left w:val="single" w:sz="8" w:space="0" w:color="000000"/>
              <w:bottom w:val="single" w:sz="8" w:space="0" w:color="000000"/>
              <w:right w:val="single" w:sz="8" w:space="0" w:color="000000"/>
            </w:tcBorders>
          </w:tcPr>
          <w:p w14:paraId="21CE0C67" w14:textId="77777777" w:rsidR="00112453" w:rsidRPr="00AB64AC" w:rsidRDefault="00A516D4" w:rsidP="002C64D6">
            <w:pPr>
              <w:pStyle w:val="ProcedureTableBold"/>
            </w:pPr>
            <w:r>
              <w:t>Poslanci iz člena 216(7) Poslovnika, navzoči pri končnem glasovanju</w:t>
            </w:r>
          </w:p>
        </w:tc>
        <w:tc>
          <w:tcPr>
            <w:tcW w:w="6400" w:type="dxa"/>
            <w:tcBorders>
              <w:top w:val="single" w:sz="8" w:space="0" w:color="000000"/>
              <w:bottom w:val="single" w:sz="8" w:space="0" w:color="000000"/>
              <w:right w:val="single" w:sz="8" w:space="0" w:color="000000"/>
            </w:tcBorders>
          </w:tcPr>
          <w:p w14:paraId="78BE8050" w14:textId="77777777" w:rsidR="00112453" w:rsidRPr="00AB64AC" w:rsidRDefault="00A516D4" w:rsidP="002C64D6">
            <w:pPr>
              <w:pStyle w:val="ProcedureTable"/>
            </w:pPr>
            <w:r>
              <w:t>Christian Doleschal, Pietro Fiocchi, Pär Holmgren, Andrej Kovačev (Andrey Kovatchev), Andrea Wechsler.</w:t>
            </w:r>
          </w:p>
        </w:tc>
      </w:tr>
    </w:tbl>
    <w:p w14:paraId="1C2A1BAD" w14:textId="77777777" w:rsidR="00112453" w:rsidRPr="00112453" w:rsidRDefault="00112453" w:rsidP="00112453"/>
    <w:bookmarkEnd w:id="2"/>
    <w:p w14:paraId="167471CD" w14:textId="77777777" w:rsidR="00112453" w:rsidRDefault="00112453" w:rsidP="00112453">
      <w:pPr>
        <w:sectPr w:rsidR="00112453" w:rsidSect="00112453">
          <w:pgSz w:w="11906" w:h="16838"/>
          <w:pgMar w:top="1134" w:right="1417" w:bottom="1417" w:left="1417" w:header="1134" w:footer="567" w:gutter="0"/>
          <w:cols w:space="708"/>
          <w:docGrid w:linePitch="360"/>
        </w:sectPr>
      </w:pPr>
    </w:p>
    <w:p w14:paraId="0C3E708F" w14:textId="77777777" w:rsidR="00112453" w:rsidRPr="0099178F" w:rsidRDefault="00A516D4" w:rsidP="00C36610">
      <w:pPr>
        <w:pStyle w:val="PageHeadingNotTOC"/>
      </w:pPr>
      <w:bookmarkStart w:id="3" w:name="RollCallPageAD"/>
      <w:r>
        <w:t>POIMENSKO GLASOVANJE PRI KONČNEM GLASOVANJU</w:t>
      </w:r>
      <w:r>
        <w:br/>
        <w:t>V ODBORU, ZAPROŠENEM ZA MNENJE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62749" w14:paraId="04C959A4" w14:textId="77777777" w:rsidTr="002C64D6">
        <w:trPr>
          <w:cantSplit/>
        </w:trPr>
        <w:tc>
          <w:tcPr>
            <w:tcW w:w="1701" w:type="dxa"/>
            <w:shd w:val="pct10" w:color="000000" w:fill="FFFFFF"/>
            <w:vAlign w:val="center"/>
          </w:tcPr>
          <w:p w14:paraId="5270E26F" w14:textId="77777777" w:rsidR="00112453" w:rsidRPr="00AB64AC" w:rsidRDefault="00A516D4" w:rsidP="002C64D6">
            <w:pPr>
              <w:pStyle w:val="RollCallVotes"/>
            </w:pPr>
            <w:r>
              <w:t>62</w:t>
            </w:r>
          </w:p>
        </w:tc>
        <w:tc>
          <w:tcPr>
            <w:tcW w:w="7371" w:type="dxa"/>
            <w:shd w:val="pct10" w:color="000000" w:fill="FFFFFF"/>
          </w:tcPr>
          <w:p w14:paraId="4FAB96E9" w14:textId="77777777" w:rsidR="00112453" w:rsidRPr="00AB64AC" w:rsidRDefault="00A516D4" w:rsidP="002C64D6">
            <w:pPr>
              <w:pStyle w:val="RollCallSymbols14pt"/>
            </w:pPr>
            <w:r>
              <w:t>+</w:t>
            </w:r>
          </w:p>
        </w:tc>
      </w:tr>
      <w:tr w:rsidR="00062749" w14:paraId="415D36AD" w14:textId="77777777" w:rsidTr="002C64D6">
        <w:trPr>
          <w:cantSplit/>
        </w:trPr>
        <w:tc>
          <w:tcPr>
            <w:tcW w:w="1701" w:type="dxa"/>
            <w:shd w:val="clear" w:color="auto" w:fill="FFFFFF"/>
          </w:tcPr>
          <w:p w14:paraId="3B8098C2" w14:textId="77777777" w:rsidR="00112453" w:rsidRPr="00AB64AC" w:rsidRDefault="00A516D4" w:rsidP="002C64D6">
            <w:pPr>
              <w:pStyle w:val="RollCallTable"/>
            </w:pPr>
            <w:r>
              <w:t>ECR</w:t>
            </w:r>
          </w:p>
        </w:tc>
        <w:tc>
          <w:tcPr>
            <w:tcW w:w="7371" w:type="dxa"/>
            <w:shd w:val="clear" w:color="auto" w:fill="FFFFFF"/>
          </w:tcPr>
          <w:p w14:paraId="4F711C73" w14:textId="77777777" w:rsidR="00112453" w:rsidRPr="00AB64AC" w:rsidRDefault="00A516D4" w:rsidP="002C64D6">
            <w:pPr>
              <w:pStyle w:val="RollCallTable"/>
            </w:pPr>
            <w:r>
              <w:t>Alessandro Ciriani, Pietro Fiocchi, Jeadis Jeadi (Geadis Geadi), Paolo Inselvini, Mariusz Kamiński, Assita Kanko, Georgiana Teodorescu</w:t>
            </w:r>
          </w:p>
        </w:tc>
      </w:tr>
      <w:tr w:rsidR="00062749" w14:paraId="13F73616" w14:textId="77777777" w:rsidTr="002C64D6">
        <w:trPr>
          <w:cantSplit/>
        </w:trPr>
        <w:tc>
          <w:tcPr>
            <w:tcW w:w="1701" w:type="dxa"/>
            <w:shd w:val="clear" w:color="auto" w:fill="FFFFFF"/>
          </w:tcPr>
          <w:p w14:paraId="30076EF4" w14:textId="77777777" w:rsidR="00112453" w:rsidRPr="00AB64AC" w:rsidRDefault="00A516D4" w:rsidP="002C64D6">
            <w:pPr>
              <w:pStyle w:val="RollCallTable"/>
            </w:pPr>
            <w:r>
              <w:t>ESN</w:t>
            </w:r>
          </w:p>
        </w:tc>
        <w:tc>
          <w:tcPr>
            <w:tcW w:w="7371" w:type="dxa"/>
            <w:shd w:val="clear" w:color="auto" w:fill="FFFFFF"/>
          </w:tcPr>
          <w:p w14:paraId="283853E5" w14:textId="77777777" w:rsidR="00112453" w:rsidRPr="00AB64AC" w:rsidRDefault="00A516D4" w:rsidP="002C64D6">
            <w:pPr>
              <w:pStyle w:val="RollCallTable"/>
            </w:pPr>
            <w:r>
              <w:t>Alexander Sell, Milan Uhrík, Ewa Zajączkowska-Hernik</w:t>
            </w:r>
          </w:p>
        </w:tc>
      </w:tr>
      <w:tr w:rsidR="00062749" w14:paraId="207F3A20" w14:textId="77777777" w:rsidTr="002C64D6">
        <w:trPr>
          <w:cantSplit/>
        </w:trPr>
        <w:tc>
          <w:tcPr>
            <w:tcW w:w="1701" w:type="dxa"/>
            <w:shd w:val="clear" w:color="auto" w:fill="FFFFFF"/>
          </w:tcPr>
          <w:p w14:paraId="0DE29ED2" w14:textId="77777777" w:rsidR="00112453" w:rsidRPr="00AB64AC" w:rsidRDefault="00A516D4" w:rsidP="002C64D6">
            <w:pPr>
              <w:pStyle w:val="RollCallTable"/>
            </w:pPr>
            <w:r>
              <w:t>NI</w:t>
            </w:r>
          </w:p>
        </w:tc>
        <w:tc>
          <w:tcPr>
            <w:tcW w:w="7371" w:type="dxa"/>
            <w:shd w:val="clear" w:color="auto" w:fill="FFFFFF"/>
          </w:tcPr>
          <w:p w14:paraId="49F393F0" w14:textId="77777777" w:rsidR="00112453" w:rsidRPr="00AB64AC" w:rsidRDefault="00A516D4" w:rsidP="002C64D6">
            <w:pPr>
              <w:pStyle w:val="RollCallTable"/>
            </w:pPr>
            <w:r>
              <w:t>Erik Kaliňák</w:t>
            </w:r>
          </w:p>
        </w:tc>
      </w:tr>
      <w:tr w:rsidR="00062749" w14:paraId="3A8C916A" w14:textId="77777777" w:rsidTr="002C64D6">
        <w:trPr>
          <w:cantSplit/>
        </w:trPr>
        <w:tc>
          <w:tcPr>
            <w:tcW w:w="1701" w:type="dxa"/>
            <w:shd w:val="clear" w:color="auto" w:fill="FFFFFF"/>
          </w:tcPr>
          <w:p w14:paraId="4BE5B298" w14:textId="77777777" w:rsidR="00112453" w:rsidRPr="00AB64AC" w:rsidRDefault="00A516D4" w:rsidP="002C64D6">
            <w:pPr>
              <w:pStyle w:val="RollCallTable"/>
            </w:pPr>
            <w:r>
              <w:t>PPE</w:t>
            </w:r>
          </w:p>
        </w:tc>
        <w:tc>
          <w:tcPr>
            <w:tcW w:w="7371" w:type="dxa"/>
            <w:shd w:val="clear" w:color="auto" w:fill="FFFFFF"/>
          </w:tcPr>
          <w:p w14:paraId="46014A4F" w14:textId="77777777" w:rsidR="00112453" w:rsidRPr="00AB64AC" w:rsidRDefault="00A516D4" w:rsidP="002C64D6">
            <w:pPr>
              <w:pStyle w:val="RollCallTable"/>
            </w:pPr>
            <w:r>
              <w:t>Magdalena Adamowicz, Fredi Beleris (Fredis Beleris), Krzysztof Brejza, David Casa, Laurent Castillo, Caterina Chinnici, Christian Doleschal, Lena Düpont, Monika Hohlmeier, Andrej Kovačev (Andrey Kovatchev), Jeroen Lenaers, Verena Mertens, Nadine Morano, Ana Miguel Pedro, Oliver Schenk, Sander Smit, Tomas Tobé, Pekka Toveri, Andrea Wechsler, Javier Zarzalejos</w:t>
            </w:r>
          </w:p>
        </w:tc>
      </w:tr>
      <w:tr w:rsidR="00062749" w14:paraId="5BAD3541" w14:textId="77777777" w:rsidTr="002C64D6">
        <w:trPr>
          <w:cantSplit/>
        </w:trPr>
        <w:tc>
          <w:tcPr>
            <w:tcW w:w="1701" w:type="dxa"/>
            <w:shd w:val="clear" w:color="auto" w:fill="FFFFFF"/>
          </w:tcPr>
          <w:p w14:paraId="3DB36BBF" w14:textId="77777777" w:rsidR="00112453" w:rsidRPr="00AB64AC" w:rsidRDefault="00A516D4" w:rsidP="002C64D6">
            <w:pPr>
              <w:pStyle w:val="RollCallTable"/>
            </w:pPr>
            <w:r>
              <w:t>PfE</w:t>
            </w:r>
          </w:p>
        </w:tc>
        <w:tc>
          <w:tcPr>
            <w:tcW w:w="7371" w:type="dxa"/>
            <w:shd w:val="clear" w:color="auto" w:fill="FFFFFF"/>
          </w:tcPr>
          <w:p w14:paraId="273948DE" w14:textId="77777777" w:rsidR="00112453" w:rsidRPr="00AB64AC" w:rsidRDefault="00A516D4" w:rsidP="002C64D6">
            <w:pPr>
              <w:pStyle w:val="RollCallTable"/>
            </w:pPr>
            <w:r>
              <w:t>Nikola Bartůšek, Jaroslav Bžoch, Susanna Ceccardi, Marieke Ehlers, Fabrice Leggeri, Petra Steger, António Tânger Corrêa, Tom Vandendriessche, Roberto Vannacci</w:t>
            </w:r>
          </w:p>
        </w:tc>
      </w:tr>
      <w:tr w:rsidR="00062749" w14:paraId="7E183567" w14:textId="77777777" w:rsidTr="002C64D6">
        <w:trPr>
          <w:cantSplit/>
        </w:trPr>
        <w:tc>
          <w:tcPr>
            <w:tcW w:w="1701" w:type="dxa"/>
            <w:shd w:val="clear" w:color="auto" w:fill="FFFFFF"/>
          </w:tcPr>
          <w:p w14:paraId="1EE0D8D4" w14:textId="77777777" w:rsidR="00112453" w:rsidRPr="00AB64AC" w:rsidRDefault="00A516D4" w:rsidP="002C64D6">
            <w:pPr>
              <w:pStyle w:val="RollCallTable"/>
            </w:pPr>
            <w:r>
              <w:t>Renew</w:t>
            </w:r>
          </w:p>
        </w:tc>
        <w:tc>
          <w:tcPr>
            <w:tcW w:w="7371" w:type="dxa"/>
            <w:shd w:val="clear" w:color="auto" w:fill="FFFFFF"/>
          </w:tcPr>
          <w:p w14:paraId="32EB0B2B" w14:textId="77777777" w:rsidR="00112453" w:rsidRPr="00AB64AC" w:rsidRDefault="00A516D4" w:rsidP="002C64D6">
            <w:pPr>
              <w:pStyle w:val="RollCallTable"/>
            </w:pPr>
            <w:r>
              <w:t>Abir Al-Sahlani, Malik Azmani, Raquel García Hermida-Van Der Walle, Irena Joveva, Fabienne Keller, Moritz Körner, Michael McNamara, Nikola Minčev (Nikola Minchev), Sophie Wilmès</w:t>
            </w:r>
          </w:p>
        </w:tc>
      </w:tr>
      <w:tr w:rsidR="00062749" w14:paraId="0F53B6CE" w14:textId="77777777" w:rsidTr="002C64D6">
        <w:trPr>
          <w:cantSplit/>
        </w:trPr>
        <w:tc>
          <w:tcPr>
            <w:tcW w:w="1701" w:type="dxa"/>
            <w:shd w:val="clear" w:color="auto" w:fill="FFFFFF"/>
          </w:tcPr>
          <w:p w14:paraId="01C5A6E2" w14:textId="77777777" w:rsidR="00112453" w:rsidRPr="00AB64AC" w:rsidRDefault="00A516D4" w:rsidP="002C64D6">
            <w:pPr>
              <w:pStyle w:val="RollCallTable"/>
            </w:pPr>
            <w:r>
              <w:t>S&amp;D</w:t>
            </w:r>
          </w:p>
        </w:tc>
        <w:tc>
          <w:tcPr>
            <w:tcW w:w="7371" w:type="dxa"/>
            <w:shd w:val="clear" w:color="auto" w:fill="FFFFFF"/>
          </w:tcPr>
          <w:p w14:paraId="169FE653" w14:textId="77777777" w:rsidR="00112453" w:rsidRPr="00AB64AC" w:rsidRDefault="00A516D4" w:rsidP="002C64D6">
            <w:pPr>
              <w:pStyle w:val="RollCallTable"/>
            </w:pPr>
            <w:r>
              <w:t>Francisco Assis, Evin Incir, Marina Kaljurand, Murielle Laurent, Juan Fernando López Aguilar, Ana Catarina Mendes, Matjaž Nemec, Chloé Ridel, Birgit Sippel, Krzysztof Śmiszek, Cecilia Strada, Kristian Vigenin, Alessandro Zan</w:t>
            </w:r>
          </w:p>
        </w:tc>
      </w:tr>
    </w:tbl>
    <w:p w14:paraId="1998AD3E" w14:textId="77777777" w:rsidR="00112453" w:rsidRPr="00AB64AC" w:rsidRDefault="00112453" w:rsidP="0011245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62749" w14:paraId="2A9E54DA" w14:textId="77777777" w:rsidTr="002C64D6">
        <w:trPr>
          <w:cantSplit/>
        </w:trPr>
        <w:tc>
          <w:tcPr>
            <w:tcW w:w="1701" w:type="dxa"/>
            <w:shd w:val="pct10" w:color="000000" w:fill="FFFFFF"/>
            <w:vAlign w:val="center"/>
          </w:tcPr>
          <w:p w14:paraId="113AE40A" w14:textId="77777777" w:rsidR="00112453" w:rsidRPr="00AB64AC" w:rsidRDefault="00A516D4" w:rsidP="002C64D6">
            <w:pPr>
              <w:pStyle w:val="RollCallVotes"/>
            </w:pPr>
            <w:r>
              <w:t>0</w:t>
            </w:r>
          </w:p>
        </w:tc>
        <w:tc>
          <w:tcPr>
            <w:tcW w:w="7371" w:type="dxa"/>
            <w:shd w:val="pct10" w:color="000000" w:fill="FFFFFF"/>
          </w:tcPr>
          <w:p w14:paraId="1B4B162C" w14:textId="77777777" w:rsidR="00112453" w:rsidRPr="00AB64AC" w:rsidRDefault="00A516D4" w:rsidP="002C64D6">
            <w:pPr>
              <w:pStyle w:val="RollCallSymbols14pt"/>
            </w:pPr>
            <w:r>
              <w:t>-</w:t>
            </w:r>
          </w:p>
        </w:tc>
      </w:tr>
      <w:tr w:rsidR="00062749" w14:paraId="5E3A79B9" w14:textId="77777777" w:rsidTr="002C64D6">
        <w:trPr>
          <w:cantSplit/>
        </w:trPr>
        <w:tc>
          <w:tcPr>
            <w:tcW w:w="1701" w:type="dxa"/>
            <w:shd w:val="clear" w:color="auto" w:fill="FFFFFF"/>
          </w:tcPr>
          <w:p w14:paraId="1729F1E2" w14:textId="77777777" w:rsidR="00112453" w:rsidRPr="00AB64AC" w:rsidRDefault="00112453" w:rsidP="002C64D6">
            <w:pPr>
              <w:pStyle w:val="RollCallTable"/>
            </w:pPr>
          </w:p>
        </w:tc>
        <w:tc>
          <w:tcPr>
            <w:tcW w:w="7371" w:type="dxa"/>
            <w:shd w:val="clear" w:color="auto" w:fill="FFFFFF"/>
          </w:tcPr>
          <w:p w14:paraId="3F3137E7" w14:textId="77777777" w:rsidR="00112453" w:rsidRPr="00AB64AC" w:rsidRDefault="00112453" w:rsidP="002C64D6">
            <w:pPr>
              <w:pStyle w:val="RollCallTable"/>
            </w:pPr>
          </w:p>
        </w:tc>
      </w:tr>
    </w:tbl>
    <w:p w14:paraId="045CA220" w14:textId="77777777" w:rsidR="00112453" w:rsidRPr="00AB64AC" w:rsidRDefault="00112453" w:rsidP="0011245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62749" w14:paraId="63E64A78" w14:textId="77777777" w:rsidTr="002C64D6">
        <w:trPr>
          <w:cantSplit/>
        </w:trPr>
        <w:tc>
          <w:tcPr>
            <w:tcW w:w="1701" w:type="dxa"/>
            <w:shd w:val="pct10" w:color="000000" w:fill="FFFFFF"/>
            <w:vAlign w:val="center"/>
          </w:tcPr>
          <w:p w14:paraId="70C45906" w14:textId="77777777" w:rsidR="00112453" w:rsidRPr="00AB64AC" w:rsidRDefault="00A516D4" w:rsidP="002C64D6">
            <w:pPr>
              <w:pStyle w:val="RollCallVotes"/>
            </w:pPr>
            <w:r>
              <w:t>12</w:t>
            </w:r>
          </w:p>
        </w:tc>
        <w:tc>
          <w:tcPr>
            <w:tcW w:w="7371" w:type="dxa"/>
            <w:shd w:val="pct10" w:color="000000" w:fill="FFFFFF"/>
          </w:tcPr>
          <w:p w14:paraId="37982C3F" w14:textId="77777777" w:rsidR="00112453" w:rsidRPr="00AB64AC" w:rsidRDefault="00A516D4" w:rsidP="002C64D6">
            <w:pPr>
              <w:pStyle w:val="RollCallSymbols14pt"/>
            </w:pPr>
            <w:r>
              <w:t>0</w:t>
            </w:r>
          </w:p>
        </w:tc>
      </w:tr>
      <w:tr w:rsidR="00062749" w14:paraId="5923975F" w14:textId="77777777" w:rsidTr="002C64D6">
        <w:trPr>
          <w:cantSplit/>
        </w:trPr>
        <w:tc>
          <w:tcPr>
            <w:tcW w:w="1701" w:type="dxa"/>
            <w:shd w:val="clear" w:color="auto" w:fill="FFFFFF"/>
          </w:tcPr>
          <w:p w14:paraId="14C3D8C7" w14:textId="77777777" w:rsidR="00112453" w:rsidRPr="00AB64AC" w:rsidRDefault="00A516D4" w:rsidP="002C64D6">
            <w:pPr>
              <w:pStyle w:val="RollCallTable"/>
            </w:pPr>
            <w:r>
              <w:t>ECR</w:t>
            </w:r>
          </w:p>
        </w:tc>
        <w:tc>
          <w:tcPr>
            <w:tcW w:w="7371" w:type="dxa"/>
            <w:shd w:val="clear" w:color="auto" w:fill="FFFFFF"/>
          </w:tcPr>
          <w:p w14:paraId="38601572" w14:textId="77777777" w:rsidR="00112453" w:rsidRPr="00AB64AC" w:rsidRDefault="00A516D4" w:rsidP="002C64D6">
            <w:pPr>
              <w:pStyle w:val="RollCallTable"/>
            </w:pPr>
            <w:r>
              <w:t>Charlie Weimers</w:t>
            </w:r>
          </w:p>
        </w:tc>
      </w:tr>
      <w:tr w:rsidR="00062749" w14:paraId="07769823" w14:textId="77777777" w:rsidTr="002C64D6">
        <w:trPr>
          <w:cantSplit/>
        </w:trPr>
        <w:tc>
          <w:tcPr>
            <w:tcW w:w="1701" w:type="dxa"/>
            <w:shd w:val="clear" w:color="auto" w:fill="FFFFFF"/>
          </w:tcPr>
          <w:p w14:paraId="4572F300" w14:textId="77777777" w:rsidR="00112453" w:rsidRPr="00AB64AC" w:rsidRDefault="00A516D4" w:rsidP="002C64D6">
            <w:pPr>
              <w:pStyle w:val="RollCallTable"/>
            </w:pPr>
            <w:r>
              <w:t>The Left</w:t>
            </w:r>
          </w:p>
        </w:tc>
        <w:tc>
          <w:tcPr>
            <w:tcW w:w="7371" w:type="dxa"/>
            <w:shd w:val="clear" w:color="auto" w:fill="FFFFFF"/>
          </w:tcPr>
          <w:p w14:paraId="65E11885" w14:textId="77777777" w:rsidR="00112453" w:rsidRPr="00AB64AC" w:rsidRDefault="00A516D4" w:rsidP="002C64D6">
            <w:pPr>
              <w:pStyle w:val="RollCallTable"/>
            </w:pPr>
            <w:r>
              <w:t>Giuseppe Antoci, Konstandinos Arvanitis (Konstantinos Arvanitis), Estrella Galán, João Oliveira, Ilaria Salis</w:t>
            </w:r>
          </w:p>
        </w:tc>
      </w:tr>
      <w:tr w:rsidR="00062749" w14:paraId="2FF93D58" w14:textId="77777777" w:rsidTr="002C64D6">
        <w:trPr>
          <w:cantSplit/>
        </w:trPr>
        <w:tc>
          <w:tcPr>
            <w:tcW w:w="1701" w:type="dxa"/>
            <w:shd w:val="clear" w:color="auto" w:fill="FFFFFF"/>
          </w:tcPr>
          <w:p w14:paraId="6BB726D1" w14:textId="77777777" w:rsidR="00112453" w:rsidRPr="00AB64AC" w:rsidRDefault="00A516D4" w:rsidP="002C64D6">
            <w:pPr>
              <w:pStyle w:val="RollCallTable"/>
            </w:pPr>
            <w:r>
              <w:t>Verts/ALE</w:t>
            </w:r>
          </w:p>
        </w:tc>
        <w:tc>
          <w:tcPr>
            <w:tcW w:w="7371" w:type="dxa"/>
            <w:shd w:val="clear" w:color="auto" w:fill="FFFFFF"/>
          </w:tcPr>
          <w:p w14:paraId="6C59114A" w14:textId="77777777" w:rsidR="00112453" w:rsidRPr="00AB64AC" w:rsidRDefault="00A516D4" w:rsidP="002C64D6">
            <w:pPr>
              <w:pStyle w:val="RollCallTable"/>
            </w:pPr>
            <w:r>
              <w:t>Saskia Bricmont, Mélissa Camara, Pär Holmgren, Hannah Neumann, Leoluca Orlando, Tineke Strik</w:t>
            </w:r>
          </w:p>
        </w:tc>
      </w:tr>
    </w:tbl>
    <w:p w14:paraId="07B31D62" w14:textId="77777777" w:rsidR="00112453" w:rsidRDefault="00112453" w:rsidP="00147FBF">
      <w:pPr>
        <w:pStyle w:val="Normal12a"/>
      </w:pPr>
    </w:p>
    <w:p w14:paraId="7D7AE5DB" w14:textId="77777777" w:rsidR="00112453" w:rsidRDefault="00A516D4" w:rsidP="00B735E3">
      <w:r>
        <w:t>Uporabljeni znaki:</w:t>
      </w:r>
    </w:p>
    <w:p w14:paraId="6ED0F7AB" w14:textId="77777777" w:rsidR="00112453" w:rsidRDefault="00A516D4" w:rsidP="003858C5">
      <w:pPr>
        <w:pStyle w:val="RollCallTabs"/>
      </w:pPr>
      <w:r>
        <w:t>+</w:t>
      </w:r>
      <w:r>
        <w:tab/>
        <w:t>:</w:t>
      </w:r>
      <w:r>
        <w:tab/>
        <w:t>za</w:t>
      </w:r>
    </w:p>
    <w:p w14:paraId="61BA57BA" w14:textId="77777777" w:rsidR="00112453" w:rsidRDefault="00A516D4" w:rsidP="003858C5">
      <w:pPr>
        <w:pStyle w:val="RollCallTabs"/>
      </w:pPr>
      <w:r>
        <w:t>-</w:t>
      </w:r>
      <w:r>
        <w:tab/>
        <w:t>:</w:t>
      </w:r>
      <w:r>
        <w:tab/>
        <w:t>proti</w:t>
      </w:r>
    </w:p>
    <w:p w14:paraId="44C4571B" w14:textId="77777777" w:rsidR="00112453" w:rsidRDefault="00A516D4" w:rsidP="003858C5">
      <w:pPr>
        <w:pStyle w:val="RollCallTabs"/>
      </w:pPr>
      <w:r>
        <w:t>0</w:t>
      </w:r>
      <w:r>
        <w:tab/>
        <w:t>:</w:t>
      </w:r>
      <w:r>
        <w:tab/>
        <w:t>vzdržani</w:t>
      </w:r>
    </w:p>
    <w:p w14:paraId="3B4E8D29" w14:textId="77777777" w:rsidR="00112453" w:rsidRDefault="00112453" w:rsidP="00207509"/>
    <w:bookmarkEnd w:id="3"/>
    <w:p w14:paraId="4F8A3C61" w14:textId="77777777" w:rsidR="00927196" w:rsidRPr="00112453" w:rsidRDefault="00927196" w:rsidP="00112453"/>
    <w:sectPr w:rsidR="00927196" w:rsidRPr="00112453" w:rsidSect="00112453">
      <w:pgSz w:w="11906" w:h="16838"/>
      <w:pgMar w:top="1134" w:right="1417" w:bottom="1417" w:left="1417"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266954" w14:textId="77777777" w:rsidR="00A516D4" w:rsidRDefault="00A516D4">
      <w:r>
        <w:separator/>
      </w:r>
    </w:p>
  </w:endnote>
  <w:endnote w:type="continuationSeparator" w:id="0">
    <w:p w14:paraId="71B16C3B" w14:textId="77777777" w:rsidR="00A516D4" w:rsidRDefault="00A51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E49EA" w14:textId="1427CE5D" w:rsidR="002A32EA" w:rsidRPr="002A32EA" w:rsidRDefault="00A516D4" w:rsidP="002A32EA">
    <w:pPr>
      <w:pStyle w:val="EPFooter"/>
    </w:pPr>
    <w:r w:rsidRPr="002A32EA">
      <w:t>PE</w:t>
    </w:r>
    <w:r w:rsidRPr="002A32EA">
      <w:rPr>
        <w:rStyle w:val="HideTWBExt"/>
      </w:rPr>
      <w:t>&lt;NoPE&gt;</w:t>
    </w:r>
    <w:r w:rsidRPr="002A32EA">
      <w:t>773.306</w:t>
    </w:r>
    <w:r w:rsidRPr="002A32EA">
      <w:rPr>
        <w:rStyle w:val="HideTWBExt"/>
      </w:rPr>
      <w:t>&lt;/NoPE&gt;&lt;Version&gt;</w:t>
    </w:r>
    <w:r w:rsidRPr="002A32EA">
      <w:t>v02-00</w:t>
    </w:r>
    <w:r w:rsidRPr="002A32EA">
      <w:rPr>
        <w:rStyle w:val="HideTWBExt"/>
      </w:rPr>
      <w:t>&lt;/Version&gt;</w:t>
    </w:r>
    <w:r w:rsidRPr="002A32EA">
      <w:tab/>
    </w:r>
    <w:r w:rsidRPr="002A32EA">
      <w:fldChar w:fldCharType="begin"/>
    </w:r>
    <w:r w:rsidRPr="002A32EA">
      <w:instrText xml:space="preserve"> PAGE  \* MERGEFORMAT </w:instrText>
    </w:r>
    <w:r w:rsidRPr="002A32EA">
      <w:fldChar w:fldCharType="separate"/>
    </w:r>
    <w:r w:rsidR="00B83272">
      <w:rPr>
        <w:noProof/>
      </w:rPr>
      <w:t>16</w:t>
    </w:r>
    <w:r w:rsidRPr="002A32EA">
      <w:fldChar w:fldCharType="end"/>
    </w:r>
    <w:r w:rsidRPr="002A32EA">
      <w:t>/</w:t>
    </w:r>
    <w:r w:rsidRPr="002A32EA">
      <w:fldChar w:fldCharType="begin"/>
    </w:r>
    <w:r>
      <w:instrText xml:space="preserve"> NUMPAGES  \* MERGEFORMAT </w:instrText>
    </w:r>
    <w:r w:rsidRPr="002A32EA">
      <w:fldChar w:fldCharType="separate"/>
    </w:r>
    <w:r w:rsidR="00B83272">
      <w:rPr>
        <w:noProof/>
      </w:rPr>
      <w:t>20</w:t>
    </w:r>
    <w:r w:rsidRPr="002A32EA">
      <w:rPr>
        <w:noProof/>
      </w:rPr>
      <w:fldChar w:fldCharType="end"/>
    </w:r>
    <w:r w:rsidRPr="002A32EA">
      <w:tab/>
    </w:r>
    <w:r w:rsidRPr="002A32EA">
      <w:rPr>
        <w:rStyle w:val="HideTWBExt"/>
      </w:rPr>
      <w:t>&lt;PathFdR&gt;</w:t>
    </w:r>
    <w:r w:rsidRPr="002A32EA">
      <w:t>AD\1325499SL.docx</w:t>
    </w:r>
    <w:r w:rsidRPr="002A32EA">
      <w:rPr>
        <w:rStyle w:val="HideTWBExt"/>
      </w:rPr>
      <w:t>&lt;/PathFdR&gt;</w:t>
    </w:r>
  </w:p>
  <w:p w14:paraId="3D46892C" w14:textId="77777777" w:rsidR="00927196" w:rsidRPr="002A32EA" w:rsidRDefault="00A516D4" w:rsidP="002A32EA">
    <w:pPr>
      <w:pStyle w:val="EPFooter2"/>
    </w:pPr>
    <w:r w:rsidRPr="002A32EA">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7422B" w14:textId="0AD4A2E4" w:rsidR="002A32EA" w:rsidRPr="002A32EA" w:rsidRDefault="00A516D4" w:rsidP="002A32EA">
    <w:pPr>
      <w:pStyle w:val="EPFooter"/>
    </w:pPr>
    <w:r w:rsidRPr="002A32EA">
      <w:rPr>
        <w:rStyle w:val="HideTWBExt"/>
      </w:rPr>
      <w:t>&lt;PathFdR&gt;</w:t>
    </w:r>
    <w:r w:rsidRPr="002A32EA">
      <w:t>AD\1325499SL.docx</w:t>
    </w:r>
    <w:r w:rsidRPr="002A32EA">
      <w:rPr>
        <w:rStyle w:val="HideTWBExt"/>
      </w:rPr>
      <w:t>&lt;/PathFdR&gt;</w:t>
    </w:r>
    <w:r w:rsidRPr="002A32EA">
      <w:tab/>
    </w:r>
    <w:r w:rsidRPr="002A32EA">
      <w:fldChar w:fldCharType="begin"/>
    </w:r>
    <w:r w:rsidRPr="002A32EA">
      <w:instrText xml:space="preserve"> PAGE  \* MERGEFORMAT </w:instrText>
    </w:r>
    <w:r w:rsidRPr="002A32EA">
      <w:fldChar w:fldCharType="separate"/>
    </w:r>
    <w:r w:rsidR="00B83272">
      <w:rPr>
        <w:noProof/>
      </w:rPr>
      <w:t>17</w:t>
    </w:r>
    <w:r w:rsidRPr="002A32EA">
      <w:fldChar w:fldCharType="end"/>
    </w:r>
    <w:r w:rsidRPr="002A32EA">
      <w:t>/</w:t>
    </w:r>
    <w:r w:rsidRPr="002A32EA">
      <w:fldChar w:fldCharType="begin"/>
    </w:r>
    <w:r>
      <w:instrText xml:space="preserve"> NUMPAGES  \* MERGEFORMAT </w:instrText>
    </w:r>
    <w:r w:rsidRPr="002A32EA">
      <w:fldChar w:fldCharType="separate"/>
    </w:r>
    <w:r w:rsidR="00B83272">
      <w:rPr>
        <w:noProof/>
      </w:rPr>
      <w:t>20</w:t>
    </w:r>
    <w:r w:rsidRPr="002A32EA">
      <w:rPr>
        <w:noProof/>
      </w:rPr>
      <w:fldChar w:fldCharType="end"/>
    </w:r>
    <w:r w:rsidRPr="002A32EA">
      <w:tab/>
      <w:t>PE</w:t>
    </w:r>
    <w:r w:rsidRPr="002A32EA">
      <w:rPr>
        <w:rStyle w:val="HideTWBExt"/>
      </w:rPr>
      <w:t>&lt;NoPE&gt;</w:t>
    </w:r>
    <w:r w:rsidRPr="002A32EA">
      <w:t>773.306</w:t>
    </w:r>
    <w:r w:rsidRPr="002A32EA">
      <w:rPr>
        <w:rStyle w:val="HideTWBExt"/>
      </w:rPr>
      <w:t>&lt;/NoPE&gt;&lt;Version&gt;</w:t>
    </w:r>
    <w:r w:rsidRPr="002A32EA">
      <w:t>v02-00</w:t>
    </w:r>
    <w:r w:rsidRPr="002A32EA">
      <w:rPr>
        <w:rStyle w:val="HideTWBExt"/>
      </w:rPr>
      <w:t>&lt;/Version&gt;</w:t>
    </w:r>
  </w:p>
  <w:p w14:paraId="34D24144" w14:textId="77777777" w:rsidR="00927196" w:rsidRPr="002A32EA" w:rsidRDefault="00A516D4" w:rsidP="002A32EA">
    <w:pPr>
      <w:pStyle w:val="EPFooter2"/>
    </w:pPr>
    <w:r w:rsidRPr="002A32EA">
      <w:tab/>
    </w:r>
    <w:r w:rsidRPr="002A32EA">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26CDF" w14:textId="77777777" w:rsidR="002A32EA" w:rsidRPr="002A32EA" w:rsidRDefault="00A516D4" w:rsidP="002A32EA">
    <w:pPr>
      <w:pStyle w:val="EPFooter"/>
    </w:pPr>
    <w:r w:rsidRPr="002A32EA">
      <w:rPr>
        <w:rStyle w:val="HideTWBExt"/>
      </w:rPr>
      <w:t>&lt;PathFdR&gt;</w:t>
    </w:r>
    <w:r w:rsidRPr="002A32EA">
      <w:t>AD\1325499SL.docx</w:t>
    </w:r>
    <w:r w:rsidRPr="002A32EA">
      <w:rPr>
        <w:rStyle w:val="HideTWBExt"/>
      </w:rPr>
      <w:t>&lt;/PathFdR&gt;</w:t>
    </w:r>
    <w:r w:rsidRPr="002A32EA">
      <w:tab/>
    </w:r>
    <w:r w:rsidRPr="002A32EA">
      <w:tab/>
      <w:t>PE</w:t>
    </w:r>
    <w:r w:rsidRPr="002A32EA">
      <w:rPr>
        <w:rStyle w:val="HideTWBExt"/>
      </w:rPr>
      <w:t>&lt;NoPE&gt;</w:t>
    </w:r>
    <w:r w:rsidRPr="002A32EA">
      <w:t>773.306</w:t>
    </w:r>
    <w:r w:rsidRPr="002A32EA">
      <w:rPr>
        <w:rStyle w:val="HideTWBExt"/>
      </w:rPr>
      <w:t>&lt;/NoPE&gt;&lt;Version&gt;</w:t>
    </w:r>
    <w:r w:rsidRPr="002A32EA">
      <w:t>v02-00</w:t>
    </w:r>
    <w:r w:rsidRPr="002A32EA">
      <w:rPr>
        <w:rStyle w:val="HideTWBExt"/>
      </w:rPr>
      <w:t>&lt;/Version&gt;</w:t>
    </w:r>
  </w:p>
  <w:p w14:paraId="069784A3" w14:textId="77777777" w:rsidR="00927196" w:rsidRPr="002A32EA" w:rsidRDefault="00A516D4" w:rsidP="002A32EA">
    <w:pPr>
      <w:pStyle w:val="EPFooter2"/>
    </w:pPr>
    <w:r w:rsidRPr="002A32EA">
      <w:t>SL</w:t>
    </w:r>
    <w:r w:rsidRPr="002A32EA">
      <w:tab/>
    </w:r>
    <w:r w:rsidRPr="002A32EA">
      <w:rPr>
        <w:b w:val="0"/>
        <w:i/>
        <w:color w:val="C0C0C0"/>
        <w:sz w:val="22"/>
      </w:rPr>
      <w:t>Združena v raznolikosti</w:t>
    </w:r>
    <w:r w:rsidRPr="002A32EA">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0C9C0F" w14:textId="77777777" w:rsidR="00112453" w:rsidRDefault="00A516D4">
      <w:r>
        <w:separator/>
      </w:r>
    </w:p>
  </w:footnote>
  <w:footnote w:type="continuationSeparator" w:id="0">
    <w:p w14:paraId="5150A30D" w14:textId="77777777" w:rsidR="00112453" w:rsidRDefault="00A516D4">
      <w:r>
        <w:continuationSeparator/>
      </w:r>
    </w:p>
  </w:footnote>
  <w:footnote w:id="1">
    <w:p w14:paraId="6EE5AD3A" w14:textId="740C448E" w:rsidR="00112453" w:rsidRPr="00112453" w:rsidRDefault="00A516D4">
      <w:pPr>
        <w:pStyle w:val="FootnoteText"/>
      </w:pPr>
      <w:r>
        <w:rPr>
          <w:rStyle w:val="FootnoteReference"/>
        </w:rPr>
        <w:footnoteRef/>
      </w:r>
      <w:r>
        <w:t xml:space="preserve"> Medinstitucionalni sporazum z dne 20. maja 2021 med Evropskim parlamentom, Svetom Evropske unije in Evropsko komisijo o obveznem registru za preglednost (UL L 207, 11.6.2021, str. 1, ELI: </w:t>
      </w:r>
      <w:hyperlink r:id="rId1"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0BB2D" w14:textId="77777777" w:rsidR="00112453" w:rsidRDefault="001124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AFE6C" w14:textId="77777777" w:rsidR="00112453" w:rsidRDefault="001124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80AA6" w14:textId="77777777" w:rsidR="00112453" w:rsidRDefault="001124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3538D7"/>
    <w:multiLevelType w:val="hybridMultilevel"/>
    <w:tmpl w:val="B4A836B6"/>
    <w:lvl w:ilvl="0" w:tplc="DCF2B3FA">
      <w:start w:val="1"/>
      <w:numFmt w:val="bullet"/>
      <w:pStyle w:val="Normal12aBullet1"/>
      <w:lvlText w:val=""/>
      <w:lvlJc w:val="left"/>
      <w:pPr>
        <w:ind w:left="720" w:hanging="360"/>
      </w:pPr>
      <w:rPr>
        <w:rFonts w:ascii="Symbol" w:hAnsi="Symbol" w:hint="default"/>
      </w:rPr>
    </w:lvl>
    <w:lvl w:ilvl="1" w:tplc="2D22EEBA" w:tentative="1">
      <w:start w:val="1"/>
      <w:numFmt w:val="bullet"/>
      <w:lvlText w:val="o"/>
      <w:lvlJc w:val="left"/>
      <w:pPr>
        <w:ind w:left="1440" w:hanging="360"/>
      </w:pPr>
      <w:rPr>
        <w:rFonts w:ascii="Courier New" w:hAnsi="Courier New" w:cs="Courier New" w:hint="default"/>
      </w:rPr>
    </w:lvl>
    <w:lvl w:ilvl="2" w:tplc="FA4CF17E" w:tentative="1">
      <w:start w:val="1"/>
      <w:numFmt w:val="bullet"/>
      <w:lvlText w:val=""/>
      <w:lvlJc w:val="left"/>
      <w:pPr>
        <w:ind w:left="2160" w:hanging="360"/>
      </w:pPr>
      <w:rPr>
        <w:rFonts w:ascii="Wingdings" w:hAnsi="Wingdings" w:hint="default"/>
      </w:rPr>
    </w:lvl>
    <w:lvl w:ilvl="3" w:tplc="18B65F72" w:tentative="1">
      <w:start w:val="1"/>
      <w:numFmt w:val="bullet"/>
      <w:lvlText w:val=""/>
      <w:lvlJc w:val="left"/>
      <w:pPr>
        <w:ind w:left="2880" w:hanging="360"/>
      </w:pPr>
      <w:rPr>
        <w:rFonts w:ascii="Symbol" w:hAnsi="Symbol" w:hint="default"/>
      </w:rPr>
    </w:lvl>
    <w:lvl w:ilvl="4" w:tplc="32DEEB92" w:tentative="1">
      <w:start w:val="1"/>
      <w:numFmt w:val="bullet"/>
      <w:lvlText w:val="o"/>
      <w:lvlJc w:val="left"/>
      <w:pPr>
        <w:ind w:left="3600" w:hanging="360"/>
      </w:pPr>
      <w:rPr>
        <w:rFonts w:ascii="Courier New" w:hAnsi="Courier New" w:cs="Courier New" w:hint="default"/>
      </w:rPr>
    </w:lvl>
    <w:lvl w:ilvl="5" w:tplc="FB384D84" w:tentative="1">
      <w:start w:val="1"/>
      <w:numFmt w:val="bullet"/>
      <w:lvlText w:val=""/>
      <w:lvlJc w:val="left"/>
      <w:pPr>
        <w:ind w:left="4320" w:hanging="360"/>
      </w:pPr>
      <w:rPr>
        <w:rFonts w:ascii="Wingdings" w:hAnsi="Wingdings" w:hint="default"/>
      </w:rPr>
    </w:lvl>
    <w:lvl w:ilvl="6" w:tplc="3D101856" w:tentative="1">
      <w:start w:val="1"/>
      <w:numFmt w:val="bullet"/>
      <w:lvlText w:val=""/>
      <w:lvlJc w:val="left"/>
      <w:pPr>
        <w:ind w:left="5040" w:hanging="360"/>
      </w:pPr>
      <w:rPr>
        <w:rFonts w:ascii="Symbol" w:hAnsi="Symbol" w:hint="default"/>
      </w:rPr>
    </w:lvl>
    <w:lvl w:ilvl="7" w:tplc="FEC4514A" w:tentative="1">
      <w:start w:val="1"/>
      <w:numFmt w:val="bullet"/>
      <w:lvlText w:val="o"/>
      <w:lvlJc w:val="left"/>
      <w:pPr>
        <w:ind w:left="5760" w:hanging="360"/>
      </w:pPr>
      <w:rPr>
        <w:rFonts w:ascii="Courier New" w:hAnsi="Courier New" w:cs="Courier New" w:hint="default"/>
      </w:rPr>
    </w:lvl>
    <w:lvl w:ilvl="8" w:tplc="1B90B14E"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UTHORMFMNU" w:val=" 1"/>
    <w:docVar w:name="CONTRIBUTIONMNU" w:val=" 1"/>
    <w:docVar w:name="FONCTIONMNU" w:val=" 1"/>
    <w:docVar w:name="LastEditedSection" w:val=" 1"/>
    <w:docVar w:name="strDocTypeID" w:val="PA_NonLeg"/>
    <w:docVar w:name="strSubDir" w:val="1325"/>
    <w:docVar w:name="TXTLANGUE" w:val="SL"/>
    <w:docVar w:name="TXTLANGUEMIN" w:val="sl"/>
    <w:docVar w:name="TXTNRPE" w:val="773.306"/>
    <w:docVar w:name="TXTPEorAP" w:val="PE"/>
    <w:docVar w:name="TXTROUTE" w:val="AD\1325499SL.docx"/>
    <w:docVar w:name="TXTVERSION" w:val="02-00"/>
  </w:docVars>
  <w:rsids>
    <w:rsidRoot w:val="00A77B3E"/>
    <w:rsid w:val="000610FC"/>
    <w:rsid w:val="00062749"/>
    <w:rsid w:val="000710C4"/>
    <w:rsid w:val="00112453"/>
    <w:rsid w:val="00147FBF"/>
    <w:rsid w:val="001C3C57"/>
    <w:rsid w:val="00207509"/>
    <w:rsid w:val="002A32EA"/>
    <w:rsid w:val="002B2C72"/>
    <w:rsid w:val="002C64D6"/>
    <w:rsid w:val="003858C5"/>
    <w:rsid w:val="0071765A"/>
    <w:rsid w:val="007C35EE"/>
    <w:rsid w:val="00822867"/>
    <w:rsid w:val="00927196"/>
    <w:rsid w:val="0099178F"/>
    <w:rsid w:val="00A516D4"/>
    <w:rsid w:val="00A77B3E"/>
    <w:rsid w:val="00AB64AC"/>
    <w:rsid w:val="00B735E3"/>
    <w:rsid w:val="00B83272"/>
    <w:rsid w:val="00C36610"/>
    <w:rsid w:val="00CA2A55"/>
    <w:rsid w:val="00D302FE"/>
    <w:rsid w:val="00D7238E"/>
    <w:rsid w:val="00E9312B"/>
    <w:rsid w:val="00F42F0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B82C54"/>
  <w15:docId w15:val="{273D0135-9F04-4FBE-B03D-CBB35A6C3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12a"/>
    <w:next w:val="Normal12a"/>
    <w:qFormat/>
    <w:rsid w:val="00DC11F3"/>
    <w:pPr>
      <w:keepNext/>
      <w:spacing w:before="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JustText">
    <w:name w:val="AmJustText"/>
    <w:basedOn w:val="Normal"/>
    <w:rsid w:val="00F06867"/>
    <w:pPr>
      <w:spacing w:after="240"/>
    </w:pPr>
    <w:rPr>
      <w:i/>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B44AF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B44AFC"/>
    <w:pPr>
      <w:tabs>
        <w:tab w:val="center" w:pos="4513"/>
        <w:tab w:val="right" w:pos="9026"/>
      </w:tabs>
    </w:pPr>
  </w:style>
  <w:style w:type="paragraph" w:customStyle="1" w:styleId="AmOrLang">
    <w:name w:val="AmOrLang"/>
    <w:basedOn w:val="Normal"/>
    <w:rsid w:val="008B277F"/>
    <w:pPr>
      <w:spacing w:before="240" w:after="240"/>
      <w:jc w:val="right"/>
    </w:pPr>
  </w:style>
  <w:style w:type="paragraph" w:customStyle="1" w:styleId="Normal6a">
    <w:name w:val="Normal6a"/>
    <w:basedOn w:val="Normal"/>
    <w:rsid w:val="008B277F"/>
    <w:pPr>
      <w:spacing w:after="120"/>
    </w:pPr>
  </w:style>
  <w:style w:type="paragraph" w:customStyle="1" w:styleId="CoverReference">
    <w:name w:val="CoverReference"/>
    <w:basedOn w:val="Normal"/>
    <w:rsid w:val="005D6988"/>
    <w:pPr>
      <w:spacing w:before="1080"/>
      <w:jc w:val="right"/>
    </w:pPr>
    <w:rPr>
      <w:rFonts w:ascii="Arial" w:hAnsi="Arial" w:cs="Arial"/>
      <w:b/>
    </w:rPr>
  </w:style>
  <w:style w:type="paragraph" w:customStyle="1" w:styleId="CoverDocType24a">
    <w:name w:val="CoverDocType24a"/>
    <w:basedOn w:val="Normal"/>
    <w:rsid w:val="00A23545"/>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Bold">
    <w:name w:val="NormalBold"/>
    <w:basedOn w:val="Normal"/>
    <w:link w:val="NormalBoldChar"/>
    <w:rsid w:val="008B277F"/>
    <w:rPr>
      <w:b/>
    </w:rPr>
  </w:style>
  <w:style w:type="paragraph" w:customStyle="1" w:styleId="AmColumnHeading">
    <w:name w:val="AmColumnHeading"/>
    <w:basedOn w:val="Normal"/>
    <w:rsid w:val="008B277F"/>
    <w:pPr>
      <w:spacing w:after="240"/>
      <w:jc w:val="center"/>
    </w:pPr>
    <w:rPr>
      <w:i/>
    </w:rPr>
  </w:style>
  <w:style w:type="paragraph" w:customStyle="1" w:styleId="AmNumberTabs">
    <w:name w:val="AmNumberTabs"/>
    <w:basedOn w:val="Normal"/>
    <w:rsid w:val="008B27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B277F"/>
    <w:pPr>
      <w:spacing w:before="240"/>
    </w:pPr>
    <w:rPr>
      <w:b/>
    </w:rPr>
  </w:style>
  <w:style w:type="paragraph" w:customStyle="1" w:styleId="AmCrossRef">
    <w:name w:val="AmCrossRef"/>
    <w:basedOn w:val="Normal"/>
    <w:rsid w:val="00DE4330"/>
    <w:pPr>
      <w:spacing w:before="240" w:after="240"/>
      <w:jc w:val="center"/>
    </w:pPr>
    <w:rPr>
      <w:i/>
    </w:rPr>
  </w:style>
  <w:style w:type="paragraph" w:customStyle="1" w:styleId="AmJustTitle">
    <w:name w:val="AmJustTitle"/>
    <w:basedOn w:val="Normal"/>
    <w:next w:val="AmJustText"/>
    <w:rsid w:val="00F06867"/>
    <w:pPr>
      <w:keepNext/>
      <w:spacing w:before="240" w:after="240"/>
      <w:jc w:val="center"/>
    </w:pPr>
    <w:rPr>
      <w:i/>
    </w:rPr>
  </w:style>
  <w:style w:type="paragraph" w:customStyle="1" w:styleId="EPFooter">
    <w:name w:val="EPFooter"/>
    <w:basedOn w:val="Normal"/>
    <w:rsid w:val="00A2354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B44AFC"/>
    <w:rPr>
      <w:sz w:val="24"/>
    </w:rPr>
  </w:style>
  <w:style w:type="paragraph" w:customStyle="1" w:styleId="Arial14CentreBold">
    <w:name w:val="Arial14CentreBold"/>
    <w:basedOn w:val="Normal"/>
    <w:qFormat/>
    <w:rsid w:val="00DA7A40"/>
    <w:pPr>
      <w:jc w:val="center"/>
    </w:pPr>
    <w:rPr>
      <w:rFonts w:ascii="Arial" w:hAnsi="Arial"/>
      <w:b/>
      <w:sz w:val="28"/>
    </w:rPr>
  </w:style>
  <w:style w:type="character" w:customStyle="1" w:styleId="Bold">
    <w:name w:val="Bold"/>
    <w:uiPriority w:val="1"/>
    <w:rsid w:val="007E4DED"/>
    <w:rPr>
      <w:b/>
    </w:rPr>
  </w:style>
  <w:style w:type="character" w:customStyle="1" w:styleId="BoldItalic">
    <w:name w:val="BoldItalic"/>
    <w:uiPriority w:val="1"/>
    <w:rsid w:val="007E4DED"/>
    <w:rPr>
      <w:b/>
      <w:i/>
      <w:u w:val="none"/>
    </w:rPr>
  </w:style>
  <w:style w:type="paragraph" w:customStyle="1" w:styleId="CoverNormal12a">
    <w:name w:val="CoverNormal12a"/>
    <w:basedOn w:val="Normal"/>
    <w:rsid w:val="00DA7A40"/>
    <w:pPr>
      <w:spacing w:after="240"/>
      <w:ind w:left="1418"/>
    </w:pPr>
  </w:style>
  <w:style w:type="paragraph" w:customStyle="1" w:styleId="CoverDocType">
    <w:name w:val="CoverDocType"/>
    <w:basedOn w:val="Normal"/>
    <w:rsid w:val="00DA7A40"/>
    <w:pPr>
      <w:ind w:left="1418"/>
    </w:pPr>
    <w:rPr>
      <w:rFonts w:ascii="Arial" w:hAnsi="Arial"/>
      <w:b/>
      <w:sz w:val="48"/>
    </w:rPr>
  </w:style>
  <w:style w:type="paragraph" w:customStyle="1" w:styleId="EPFooter2Landscape">
    <w:name w:val="EPFooter2Landscape"/>
    <w:qFormat/>
    <w:rsid w:val="00DA7A4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E04FE2"/>
    <w:rPr>
      <w:rFonts w:ascii="Arial" w:hAnsi="Arial"/>
      <w:b/>
      <w:i/>
      <w:color w:val="C0C0C0"/>
      <w:sz w:val="22"/>
    </w:rPr>
  </w:style>
  <w:style w:type="paragraph" w:customStyle="1" w:styleId="EPFooterLandscape">
    <w:name w:val="EPFooterLandscape"/>
    <w:qFormat/>
    <w:rsid w:val="00DA7A40"/>
    <w:pPr>
      <w:tabs>
        <w:tab w:val="center" w:pos="6804"/>
        <w:tab w:val="right" w:pos="15026"/>
      </w:tabs>
    </w:pPr>
    <w:rPr>
      <w:sz w:val="22"/>
    </w:rPr>
  </w:style>
  <w:style w:type="character" w:customStyle="1" w:styleId="Italic">
    <w:name w:val="Italic"/>
    <w:uiPriority w:val="1"/>
    <w:rsid w:val="007E4DED"/>
    <w:rPr>
      <w:i/>
    </w:rPr>
  </w:style>
  <w:style w:type="paragraph" w:customStyle="1" w:styleId="ProcedureTable">
    <w:name w:val="ProcedureTable"/>
    <w:basedOn w:val="Normal"/>
    <w:rsid w:val="000203F7"/>
    <w:rPr>
      <w:sz w:val="20"/>
    </w:rPr>
  </w:style>
  <w:style w:type="paragraph" w:customStyle="1" w:styleId="ProcedureTableBold">
    <w:name w:val="ProcedureTableBold"/>
    <w:basedOn w:val="Normal"/>
    <w:rsid w:val="000203F7"/>
    <w:rPr>
      <w:b/>
      <w:sz w:val="20"/>
    </w:rPr>
  </w:style>
  <w:style w:type="paragraph" w:customStyle="1" w:styleId="NormalCenter">
    <w:name w:val="NormalCenter"/>
    <w:basedOn w:val="Normal"/>
    <w:rsid w:val="007417D2"/>
    <w:pPr>
      <w:jc w:val="center"/>
    </w:pPr>
  </w:style>
  <w:style w:type="paragraph" w:customStyle="1" w:styleId="Normal12a12b">
    <w:name w:val="Normal12a12b"/>
    <w:basedOn w:val="Normal"/>
    <w:rsid w:val="00DA7A40"/>
    <w:pPr>
      <w:spacing w:before="240" w:after="240"/>
    </w:pPr>
  </w:style>
  <w:style w:type="character" w:customStyle="1" w:styleId="NormalBI">
    <w:name w:val="NormalBI"/>
    <w:basedOn w:val="DefaultParagraphFont"/>
    <w:uiPriority w:val="1"/>
    <w:qFormat/>
    <w:rsid w:val="001659AC"/>
    <w:rPr>
      <w:rFonts w:ascii="Times New Roman" w:hAnsi="Times New Roman"/>
      <w:b/>
      <w:i/>
      <w:sz w:val="24"/>
    </w:rPr>
  </w:style>
  <w:style w:type="paragraph" w:customStyle="1" w:styleId="Normal12aBullet1">
    <w:name w:val="Normal12aBullet1"/>
    <w:basedOn w:val="Normal12a"/>
    <w:qFormat/>
    <w:rsid w:val="00DA7A40"/>
    <w:pPr>
      <w:numPr>
        <w:numId w:val="1"/>
      </w:numPr>
    </w:pPr>
  </w:style>
  <w:style w:type="paragraph" w:customStyle="1" w:styleId="NormalHanging12a1">
    <w:name w:val="NormalHanging12a1"/>
    <w:basedOn w:val="Normal"/>
    <w:qFormat/>
    <w:rsid w:val="006400BF"/>
    <w:pPr>
      <w:spacing w:after="240"/>
      <w:ind w:left="992" w:hanging="425"/>
    </w:pPr>
  </w:style>
  <w:style w:type="paragraph" w:customStyle="1" w:styleId="NormalHanging12a2">
    <w:name w:val="NormalHanging12a2"/>
    <w:basedOn w:val="Normal"/>
    <w:qFormat/>
    <w:rsid w:val="00DA7A40"/>
    <w:pPr>
      <w:spacing w:after="240"/>
      <w:ind w:left="1417" w:hanging="425"/>
    </w:pPr>
  </w:style>
  <w:style w:type="paragraph" w:customStyle="1" w:styleId="NormalHanging12a3">
    <w:name w:val="NormalHanging12a3"/>
    <w:basedOn w:val="NormalHanging12a2"/>
    <w:qFormat/>
    <w:rsid w:val="00DA7A40"/>
    <w:pPr>
      <w:ind w:left="1843"/>
    </w:pPr>
  </w:style>
  <w:style w:type="paragraph" w:customStyle="1" w:styleId="NormalHanging12a4">
    <w:name w:val="NormalHanging12a4"/>
    <w:basedOn w:val="NormalHanging12a3"/>
    <w:qFormat/>
    <w:rsid w:val="00DA7A40"/>
    <w:pPr>
      <w:ind w:left="2268"/>
    </w:pPr>
  </w:style>
  <w:style w:type="paragraph" w:customStyle="1" w:styleId="NormalHanging12a5">
    <w:name w:val="NormalHanging12a5"/>
    <w:basedOn w:val="NormalHanging12a4"/>
    <w:qFormat/>
    <w:rsid w:val="00DA7A40"/>
    <w:pPr>
      <w:ind w:left="2693"/>
    </w:pPr>
  </w:style>
  <w:style w:type="paragraph" w:customStyle="1" w:styleId="NormalHanging12a6">
    <w:name w:val="NormalHanging12a6"/>
    <w:basedOn w:val="NormalHanging12a5"/>
    <w:qFormat/>
    <w:rsid w:val="00DA7A40"/>
    <w:pPr>
      <w:ind w:left="3118"/>
    </w:pPr>
  </w:style>
  <w:style w:type="paragraph" w:customStyle="1" w:styleId="NormalHanging12a7">
    <w:name w:val="NormalHanging12a7"/>
    <w:basedOn w:val="NormalHanging12a6"/>
    <w:qFormat/>
    <w:rsid w:val="00DA7A40"/>
    <w:pPr>
      <w:ind w:left="3544"/>
    </w:pPr>
  </w:style>
  <w:style w:type="paragraph" w:customStyle="1" w:styleId="NormalHanging12a8">
    <w:name w:val="NormalHanging12a8"/>
    <w:basedOn w:val="NormalHanging12a7"/>
    <w:qFormat/>
    <w:rsid w:val="00DA7A40"/>
    <w:pPr>
      <w:ind w:left="3969"/>
    </w:pPr>
  </w:style>
  <w:style w:type="paragraph" w:customStyle="1" w:styleId="Normal12HangingCenter">
    <w:name w:val="Normal12HangingCenter"/>
    <w:basedOn w:val="Normal"/>
    <w:qFormat/>
    <w:rsid w:val="00DA7A40"/>
    <w:pPr>
      <w:spacing w:after="240"/>
      <w:ind w:left="567" w:hanging="567"/>
      <w:jc w:val="center"/>
    </w:pPr>
  </w:style>
  <w:style w:type="paragraph" w:customStyle="1" w:styleId="Normal12HangingJustified">
    <w:name w:val="Normal12HangingJustified"/>
    <w:basedOn w:val="Normal"/>
    <w:qFormat/>
    <w:rsid w:val="00DA7A40"/>
    <w:pPr>
      <w:spacing w:after="240"/>
      <w:ind w:left="714" w:hanging="357"/>
      <w:jc w:val="both"/>
    </w:pPr>
  </w:style>
  <w:style w:type="paragraph" w:customStyle="1" w:styleId="Normal2">
    <w:name w:val="Normal2"/>
    <w:next w:val="Normal"/>
    <w:qFormat/>
    <w:rsid w:val="00DA7A40"/>
    <w:pPr>
      <w:spacing w:line="120" w:lineRule="auto"/>
    </w:pPr>
    <w:rPr>
      <w:color w:val="000000"/>
      <w:sz w:val="4"/>
      <w:szCs w:val="24"/>
    </w:rPr>
  </w:style>
  <w:style w:type="paragraph" w:customStyle="1" w:styleId="NormalBoldCenter">
    <w:name w:val="NormalBoldCenter"/>
    <w:basedOn w:val="Normal"/>
    <w:rsid w:val="00DA7A40"/>
    <w:pPr>
      <w:jc w:val="center"/>
    </w:pPr>
    <w:rPr>
      <w:b/>
    </w:rPr>
  </w:style>
  <w:style w:type="paragraph" w:customStyle="1" w:styleId="NormalBoldItalic6a">
    <w:name w:val="NormalBoldItalic6a"/>
    <w:basedOn w:val="Normal6a"/>
    <w:qFormat/>
    <w:rsid w:val="00DA7A40"/>
    <w:rPr>
      <w:b/>
      <w:i/>
    </w:rPr>
  </w:style>
  <w:style w:type="paragraph" w:customStyle="1" w:styleId="NormalBoldItalicCenter6a">
    <w:name w:val="NormalBoldItalicCenter6a"/>
    <w:basedOn w:val="Normal6a"/>
    <w:qFormat/>
    <w:rsid w:val="00DA7A40"/>
    <w:pPr>
      <w:jc w:val="center"/>
    </w:pPr>
    <w:rPr>
      <w:b/>
      <w:i/>
    </w:rPr>
  </w:style>
  <w:style w:type="paragraph" w:customStyle="1" w:styleId="NormalItalic6a">
    <w:name w:val="NormalItalic6a"/>
    <w:basedOn w:val="Normal6a"/>
    <w:qFormat/>
    <w:rsid w:val="00DA7A40"/>
    <w:rPr>
      <w:i/>
    </w:rPr>
  </w:style>
  <w:style w:type="character" w:customStyle="1" w:styleId="Sub">
    <w:name w:val="Sub"/>
    <w:uiPriority w:val="1"/>
    <w:qFormat/>
    <w:rsid w:val="007E4DED"/>
    <w:rPr>
      <w:vertAlign w:val="subscript"/>
    </w:rPr>
  </w:style>
  <w:style w:type="character" w:customStyle="1" w:styleId="SubBold">
    <w:name w:val="SubBold"/>
    <w:uiPriority w:val="1"/>
    <w:qFormat/>
    <w:rsid w:val="007E4DED"/>
    <w:rPr>
      <w:b/>
      <w:vertAlign w:val="subscript"/>
    </w:rPr>
  </w:style>
  <w:style w:type="character" w:customStyle="1" w:styleId="SubBoldItalic">
    <w:name w:val="SubBoldItalic"/>
    <w:uiPriority w:val="1"/>
    <w:rsid w:val="007E4DED"/>
    <w:rPr>
      <w:b/>
      <w:i/>
      <w:vertAlign w:val="subscript"/>
    </w:rPr>
  </w:style>
  <w:style w:type="character" w:customStyle="1" w:styleId="SubItalic">
    <w:name w:val="SubItalic"/>
    <w:uiPriority w:val="1"/>
    <w:qFormat/>
    <w:rsid w:val="007E4DED"/>
    <w:rPr>
      <w:b/>
      <w:i/>
      <w:vertAlign w:val="subscript"/>
    </w:rPr>
  </w:style>
  <w:style w:type="character" w:customStyle="1" w:styleId="Sup">
    <w:name w:val="Sup"/>
    <w:uiPriority w:val="1"/>
    <w:rsid w:val="007E4DED"/>
    <w:rPr>
      <w:vertAlign w:val="superscript"/>
    </w:rPr>
  </w:style>
  <w:style w:type="character" w:customStyle="1" w:styleId="SupBoldItalic">
    <w:name w:val="SupBoldItalic"/>
    <w:uiPriority w:val="1"/>
    <w:qFormat/>
    <w:rsid w:val="007E4DED"/>
    <w:rPr>
      <w:b/>
      <w:i/>
      <w:vertAlign w:val="superscript"/>
    </w:rPr>
  </w:style>
  <w:style w:type="paragraph" w:customStyle="1" w:styleId="PageHeading">
    <w:name w:val="PageHeading"/>
    <w:basedOn w:val="Normal12a12b"/>
    <w:rsid w:val="00DA7A40"/>
    <w:pPr>
      <w:keepNext/>
      <w:jc w:val="center"/>
    </w:pPr>
    <w:rPr>
      <w:rFonts w:ascii="Arial" w:hAnsi="Arial"/>
      <w:b/>
    </w:rPr>
  </w:style>
  <w:style w:type="paragraph" w:customStyle="1" w:styleId="Olang">
    <w:name w:val="Olang"/>
    <w:basedOn w:val="Normal"/>
    <w:rsid w:val="00DA7A40"/>
    <w:pPr>
      <w:spacing w:before="240" w:after="240"/>
      <w:jc w:val="right"/>
    </w:pPr>
    <w:rPr>
      <w:noProof/>
    </w:rPr>
  </w:style>
  <w:style w:type="paragraph" w:customStyle="1" w:styleId="TOCPage">
    <w:name w:val="TOC Page"/>
    <w:basedOn w:val="Normal12a"/>
    <w:next w:val="TOC1"/>
    <w:rsid w:val="00DA7A40"/>
    <w:pPr>
      <w:keepNext/>
      <w:jc w:val="right"/>
    </w:pPr>
    <w:rPr>
      <w:rFonts w:ascii="Arial" w:hAnsi="Arial"/>
      <w:b/>
    </w:rPr>
  </w:style>
  <w:style w:type="character" w:customStyle="1" w:styleId="Underline">
    <w:name w:val="Underline"/>
    <w:uiPriority w:val="1"/>
    <w:rsid w:val="007E4DED"/>
    <w:rPr>
      <w:u w:val="single"/>
    </w:rPr>
  </w:style>
  <w:style w:type="character" w:customStyle="1" w:styleId="HideTermComment">
    <w:name w:val="HideTermComment"/>
    <w:uiPriority w:val="1"/>
    <w:qFormat/>
    <w:rsid w:val="0046408C"/>
    <w:rPr>
      <w:rFonts w:ascii="Arial" w:hAnsi="Arial"/>
      <w:vanish/>
      <w:color w:val="0066CC"/>
      <w:sz w:val="18"/>
    </w:rPr>
  </w:style>
  <w:style w:type="character" w:customStyle="1" w:styleId="HideTerminTermComment">
    <w:name w:val="HideTerminTermComment"/>
    <w:basedOn w:val="HideTermComment"/>
    <w:uiPriority w:val="1"/>
    <w:qFormat/>
    <w:rsid w:val="0046408C"/>
    <w:rPr>
      <w:rFonts w:ascii="Arial" w:hAnsi="Arial"/>
      <w:vanish/>
      <w:color w:val="E36C0A" w:themeColor="accent6" w:themeShade="BF"/>
      <w:sz w:val="18"/>
    </w:rPr>
  </w:style>
  <w:style w:type="paragraph" w:customStyle="1" w:styleId="NormalCenter12a">
    <w:name w:val="NormalCenter12a"/>
    <w:basedOn w:val="Normal"/>
    <w:rsid w:val="00975932"/>
    <w:pPr>
      <w:spacing w:after="240"/>
      <w:jc w:val="center"/>
    </w:pPr>
  </w:style>
  <w:style w:type="paragraph" w:customStyle="1" w:styleId="NormalHanging12a">
    <w:name w:val="NormalHanging12a"/>
    <w:basedOn w:val="Normal"/>
    <w:rsid w:val="00160E3B"/>
    <w:pPr>
      <w:spacing w:after="240"/>
      <w:ind w:left="567" w:hanging="567"/>
    </w:pPr>
  </w:style>
  <w:style w:type="paragraph" w:customStyle="1" w:styleId="Subheading">
    <w:name w:val="Subheading"/>
    <w:basedOn w:val="Normal"/>
    <w:rsid w:val="00312D68"/>
    <w:pPr>
      <w:spacing w:before="480" w:after="240"/>
    </w:pPr>
    <w:rPr>
      <w:b/>
      <w:i/>
      <w:szCs w:val="24"/>
    </w:rPr>
  </w:style>
  <w:style w:type="character" w:customStyle="1" w:styleId="BoldItalicUnderline">
    <w:name w:val="BoldItalicUnderline"/>
    <w:uiPriority w:val="1"/>
    <w:rsid w:val="007E4DED"/>
    <w:rPr>
      <w:b/>
      <w:i/>
      <w:u w:val="single"/>
    </w:rPr>
  </w:style>
  <w:style w:type="character" w:customStyle="1" w:styleId="BoldUnderline">
    <w:name w:val="BoldUnderline"/>
    <w:uiPriority w:val="1"/>
    <w:rsid w:val="007E4DED"/>
    <w:rPr>
      <w:b/>
      <w:u w:val="single"/>
    </w:rPr>
  </w:style>
  <w:style w:type="character" w:customStyle="1" w:styleId="ItalicUnderline">
    <w:name w:val="ItalicUnderline"/>
    <w:uiPriority w:val="1"/>
    <w:rsid w:val="007E4DED"/>
    <w:rPr>
      <w:i/>
      <w:u w:val="single"/>
    </w:rPr>
  </w:style>
  <w:style w:type="character" w:customStyle="1" w:styleId="SubBoldItalicUnderline">
    <w:name w:val="SubBoldItalicUnderline"/>
    <w:uiPriority w:val="1"/>
    <w:rsid w:val="007E4DED"/>
    <w:rPr>
      <w:b/>
      <w:i/>
      <w:u w:val="single"/>
      <w:vertAlign w:val="subscript"/>
    </w:rPr>
  </w:style>
  <w:style w:type="character" w:customStyle="1" w:styleId="SubBoldUnderline">
    <w:name w:val="SubBoldUnderline"/>
    <w:uiPriority w:val="1"/>
    <w:rsid w:val="007E4DED"/>
    <w:rPr>
      <w:b/>
      <w:u w:val="single"/>
      <w:vertAlign w:val="subscript"/>
    </w:rPr>
  </w:style>
  <w:style w:type="character" w:customStyle="1" w:styleId="SubItalicUnderline">
    <w:name w:val="SubItalicUnderline"/>
    <w:uiPriority w:val="1"/>
    <w:rsid w:val="007E4DED"/>
    <w:rPr>
      <w:i/>
      <w:u w:val="single"/>
      <w:vertAlign w:val="subscript"/>
    </w:rPr>
  </w:style>
  <w:style w:type="character" w:customStyle="1" w:styleId="SubUnderline">
    <w:name w:val="SubUnderline"/>
    <w:uiPriority w:val="1"/>
    <w:rsid w:val="007E4DED"/>
    <w:rPr>
      <w:u w:val="single"/>
      <w:vertAlign w:val="subscript"/>
    </w:rPr>
  </w:style>
  <w:style w:type="character" w:customStyle="1" w:styleId="SupBold">
    <w:name w:val="SupBold"/>
    <w:uiPriority w:val="1"/>
    <w:rsid w:val="007E4DED"/>
    <w:rPr>
      <w:b/>
      <w:vertAlign w:val="superscript"/>
    </w:rPr>
  </w:style>
  <w:style w:type="character" w:customStyle="1" w:styleId="SupBoldItalicUnderline">
    <w:name w:val="SupBoldItalicUnderline"/>
    <w:uiPriority w:val="1"/>
    <w:rsid w:val="007E4DED"/>
    <w:rPr>
      <w:b/>
      <w:i/>
      <w:u w:val="single"/>
      <w:vertAlign w:val="superscript"/>
    </w:rPr>
  </w:style>
  <w:style w:type="character" w:customStyle="1" w:styleId="SupBoldUnderline">
    <w:name w:val="SupBoldUnderline"/>
    <w:uiPriority w:val="1"/>
    <w:rsid w:val="007E4DED"/>
    <w:rPr>
      <w:b/>
      <w:u w:val="single"/>
      <w:vertAlign w:val="superscript"/>
    </w:rPr>
  </w:style>
  <w:style w:type="character" w:customStyle="1" w:styleId="SupItalic">
    <w:name w:val="SupItalic"/>
    <w:uiPriority w:val="1"/>
    <w:rsid w:val="007E4DED"/>
    <w:rPr>
      <w:i/>
      <w:vertAlign w:val="superscript"/>
    </w:rPr>
  </w:style>
  <w:style w:type="character" w:customStyle="1" w:styleId="SupItalicUnderline">
    <w:name w:val="SupItalicUnderline"/>
    <w:uiPriority w:val="1"/>
    <w:rsid w:val="007E4DED"/>
    <w:rPr>
      <w:i/>
      <w:u w:val="single"/>
      <w:vertAlign w:val="superscript"/>
    </w:rPr>
  </w:style>
  <w:style w:type="character" w:customStyle="1" w:styleId="SupUnderline">
    <w:name w:val="SupUnderline"/>
    <w:uiPriority w:val="1"/>
    <w:rsid w:val="007E4DED"/>
    <w:rPr>
      <w:u w:val="single"/>
      <w:vertAlign w:val="superscript"/>
    </w:rPr>
  </w:style>
  <w:style w:type="paragraph" w:customStyle="1" w:styleId="NormalTab">
    <w:name w:val="NormalTab"/>
    <w:basedOn w:val="Normal"/>
    <w:rsid w:val="006B7F7C"/>
    <w:pPr>
      <w:tabs>
        <w:tab w:val="center" w:pos="284"/>
        <w:tab w:val="left" w:pos="425"/>
      </w:tabs>
    </w:pPr>
  </w:style>
  <w:style w:type="character" w:customStyle="1" w:styleId="Normal6Char">
    <w:name w:val="Normal6 Char"/>
    <w:basedOn w:val="DefaultParagraphFont"/>
    <w:link w:val="Normal6"/>
    <w:locked/>
    <w:rsid w:val="002A32EA"/>
    <w:rPr>
      <w:sz w:val="24"/>
      <w:lang w:val="sl-SI"/>
    </w:rPr>
  </w:style>
  <w:style w:type="paragraph" w:customStyle="1" w:styleId="Normal6">
    <w:name w:val="Normal6"/>
    <w:basedOn w:val="Normal"/>
    <w:link w:val="Normal6Char"/>
    <w:rsid w:val="002A32EA"/>
    <w:pPr>
      <w:spacing w:after="120"/>
    </w:pPr>
  </w:style>
  <w:style w:type="character" w:customStyle="1" w:styleId="NormalBoldChar">
    <w:name w:val="NormalBold Char"/>
    <w:basedOn w:val="DefaultParagraphFont"/>
    <w:link w:val="NormalBold"/>
    <w:locked/>
    <w:rsid w:val="002A32EA"/>
    <w:rPr>
      <w:b/>
      <w:sz w:val="24"/>
    </w:rPr>
  </w:style>
  <w:style w:type="paragraph" w:customStyle="1" w:styleId="ColumnHeading">
    <w:name w:val="ColumnHeading"/>
    <w:basedOn w:val="Normal"/>
    <w:rsid w:val="002A32EA"/>
    <w:pPr>
      <w:spacing w:after="240"/>
      <w:jc w:val="center"/>
    </w:pPr>
    <w:rPr>
      <w:i/>
    </w:rPr>
  </w:style>
  <w:style w:type="paragraph" w:customStyle="1" w:styleId="AMNumberTabs0">
    <w:name w:val="AMNumberTabs"/>
    <w:basedOn w:val="Normal"/>
    <w:rsid w:val="002A32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nhideWhenUsed/>
    <w:rsid w:val="002A32EA"/>
    <w:rPr>
      <w:color w:val="0000FF" w:themeColor="hyperlink"/>
      <w:u w:val="single"/>
    </w:rPr>
  </w:style>
  <w:style w:type="paragraph" w:customStyle="1" w:styleId="Normal24a">
    <w:name w:val="Normal24a"/>
    <w:basedOn w:val="Normal"/>
    <w:rsid w:val="002A32EA"/>
    <w:pPr>
      <w:spacing w:after="480"/>
    </w:pPr>
    <w:rPr>
      <w:szCs w:val="24"/>
    </w:rPr>
  </w:style>
  <w:style w:type="paragraph" w:customStyle="1" w:styleId="Footprint12b">
    <w:name w:val="Footprint12b"/>
    <w:basedOn w:val="Normal"/>
    <w:rsid w:val="002A32EA"/>
    <w:pPr>
      <w:spacing w:before="240"/>
    </w:pPr>
    <w:rPr>
      <w:szCs w:val="24"/>
    </w:rPr>
  </w:style>
  <w:style w:type="paragraph" w:customStyle="1" w:styleId="NormalSingle">
    <w:name w:val="NormalSingle"/>
    <w:basedOn w:val="Normal"/>
    <w:qFormat/>
    <w:rsid w:val="002A32EA"/>
    <w:rPr>
      <w:szCs w:val="24"/>
    </w:rPr>
  </w:style>
  <w:style w:type="paragraph" w:customStyle="1" w:styleId="RollCallSymbols14pt">
    <w:name w:val="RollCallSymbols14pt"/>
    <w:basedOn w:val="Normal"/>
    <w:rsid w:val="002A32E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A32EA"/>
    <w:pPr>
      <w:tabs>
        <w:tab w:val="center" w:pos="284"/>
        <w:tab w:val="left" w:pos="426"/>
      </w:tabs>
    </w:pPr>
    <w:rPr>
      <w:snapToGrid w:val="0"/>
      <w:lang w:eastAsia="en-US"/>
    </w:rPr>
  </w:style>
  <w:style w:type="paragraph" w:customStyle="1" w:styleId="RollCallVotes">
    <w:name w:val="RollCallVotes"/>
    <w:basedOn w:val="Normal"/>
    <w:rsid w:val="002A32EA"/>
    <w:pPr>
      <w:spacing w:before="120" w:after="120"/>
      <w:jc w:val="center"/>
    </w:pPr>
    <w:rPr>
      <w:b/>
      <w:bCs/>
      <w:snapToGrid w:val="0"/>
      <w:sz w:val="16"/>
      <w:lang w:eastAsia="en-US"/>
    </w:rPr>
  </w:style>
  <w:style w:type="paragraph" w:customStyle="1" w:styleId="RollCallTable">
    <w:name w:val="RollCallTable"/>
    <w:basedOn w:val="Normal"/>
    <w:rsid w:val="002A32EA"/>
    <w:pPr>
      <w:spacing w:before="120" w:after="120"/>
    </w:pPr>
    <w:rPr>
      <w:snapToGrid w:val="0"/>
      <w:sz w:val="16"/>
      <w:lang w:eastAsia="en-US"/>
    </w:rPr>
  </w:style>
  <w:style w:type="paragraph" w:styleId="Footer">
    <w:name w:val="footer"/>
    <w:basedOn w:val="Normal"/>
    <w:link w:val="FooterChar"/>
    <w:rsid w:val="00112453"/>
    <w:pPr>
      <w:tabs>
        <w:tab w:val="center" w:pos="4513"/>
        <w:tab w:val="right" w:pos="9026"/>
      </w:tabs>
    </w:pPr>
  </w:style>
  <w:style w:type="character" w:customStyle="1" w:styleId="FooterChar">
    <w:name w:val="Footer Char"/>
    <w:basedOn w:val="DefaultParagraphFont"/>
    <w:link w:val="Footer"/>
    <w:rsid w:val="00112453"/>
    <w:rPr>
      <w:sz w:val="24"/>
    </w:rPr>
  </w:style>
  <w:style w:type="paragraph" w:styleId="FootnoteText">
    <w:name w:val="footnote text"/>
    <w:basedOn w:val="Normal"/>
    <w:link w:val="FootnoteTextChar"/>
    <w:rsid w:val="00112453"/>
    <w:rPr>
      <w:sz w:val="20"/>
    </w:rPr>
  </w:style>
  <w:style w:type="character" w:customStyle="1" w:styleId="FootnoteTextChar">
    <w:name w:val="Footnote Text Char"/>
    <w:basedOn w:val="DefaultParagraphFont"/>
    <w:link w:val="FootnoteText"/>
    <w:rsid w:val="00112453"/>
  </w:style>
  <w:style w:type="character" w:styleId="FootnoteReference">
    <w:name w:val="footnote reference"/>
    <w:basedOn w:val="DefaultParagraphFont"/>
    <w:rsid w:val="00112453"/>
    <w:rPr>
      <w:vertAlign w:val="superscript"/>
    </w:rPr>
  </w:style>
  <w:style w:type="character" w:customStyle="1" w:styleId="UnresolvedMention">
    <w:name w:val="Unresolved Mention"/>
    <w:basedOn w:val="DefaultParagraphFont"/>
    <w:uiPriority w:val="99"/>
    <w:semiHidden/>
    <w:unhideWhenUsed/>
    <w:rsid w:val="001124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europarl.europa.eu/data-protect/index.d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data.europa.eu/eli/reg/2024/1689/oj"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data.europa.eu/eli/dec_framw/2002/584/oj"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3611</Words>
  <Characters>22391</Characters>
  <Application>Microsoft Office Word</Application>
  <DocSecurity>0</DocSecurity>
  <Lines>861</Lines>
  <Paragraphs>282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dcterms:created xsi:type="dcterms:W3CDTF">2025-08-13T07:35:00Z</dcterms:created>
  <dcterms:modified xsi:type="dcterms:W3CDTF">2025-08-13T07:35:00Z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1325499</vt:lpwstr>
  </property>
  <property fmtid="{D5CDD505-2E9C-101B-9397-08002B2CF9AE}" pid="4" name="&lt;Model&gt;">
    <vt:lpwstr>PA_NonLeg</vt:lpwstr>
  </property>
  <property fmtid="{D5CDD505-2E9C-101B-9397-08002B2CF9AE}" pid="5" name="&lt;Type&gt;">
    <vt:lpwstr>AD</vt:lpwstr>
  </property>
  <property fmtid="{D5CDD505-2E9C-101B-9397-08002B2CF9AE}" pid="6" name="Bookout">
    <vt:lpwstr>OK - 2025/08/13 09:35</vt:lpwstr>
  </property>
  <property fmtid="{D5CDD505-2E9C-101B-9397-08002B2CF9AE}" pid="7" name="DMXMLUID">
    <vt:lpwstr>20250523-105900-007440-418067</vt:lpwstr>
  </property>
  <property fmtid="{D5CDD505-2E9C-101B-9397-08002B2CF9AE}" pid="8" name="FooterPath">
    <vt:lpwstr>AD\1325499SL.docx</vt:lpwstr>
  </property>
  <property fmtid="{D5CDD505-2E9C-101B-9397-08002B2CF9AE}" pid="9" name="LastEdited with">
    <vt:lpwstr>10.1.2 Build [20250715]</vt:lpwstr>
  </property>
  <property fmtid="{D5CDD505-2E9C-101B-9397-08002B2CF9AE}" pid="10" name="PE Number">
    <vt:lpwstr>773.306</vt:lpwstr>
  </property>
  <property fmtid="{D5CDD505-2E9C-101B-9397-08002B2CF9AE}" pid="11" name="SDLStudio">
    <vt:lpwstr/>
  </property>
  <property fmtid="{D5CDD505-2E9C-101B-9397-08002B2CF9AE}" pid="12" name="UID">
    <vt:lpwstr>eu.europa.europarl-DIN1-2025-0000100509_01.04-sl-01.00_text-xml</vt:lpwstr>
  </property>
</Properties>
</file>