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525CF" w:rsidTr="00CC11EF">
        <w:trPr>
          <w:trHeight w:hRule="exact" w:val="1418"/>
        </w:trPr>
        <w:tc>
          <w:tcPr>
            <w:tcW w:w="6804" w:type="dxa"/>
            <w:shd w:val="clear" w:color="auto" w:fill="auto"/>
            <w:vAlign w:val="center"/>
          </w:tcPr>
          <w:p w:rsidR="00BA3E40" w:rsidRPr="00987D5B" w:rsidRDefault="00B66595" w:rsidP="00CC11EF">
            <w:pPr>
              <w:pStyle w:val="EPName"/>
            </w:pPr>
            <w:bookmarkStart w:id="0" w:name="_GoBack"/>
            <w:bookmarkEnd w:id="0"/>
            <w:r>
              <w:t>Europos Parlamentas</w:t>
            </w:r>
          </w:p>
          <w:p w:rsidR="00BA3E40" w:rsidRPr="00CC11EF" w:rsidRDefault="00B66595" w:rsidP="00CC11EF">
            <w:pPr>
              <w:pStyle w:val="EPTerm"/>
            </w:pPr>
            <w:r>
              <w:t>2024-2029</w:t>
            </w:r>
          </w:p>
        </w:tc>
        <w:tc>
          <w:tcPr>
            <w:tcW w:w="2268" w:type="dxa"/>
            <w:shd w:val="clear" w:color="auto" w:fill="auto"/>
          </w:tcPr>
          <w:p w:rsidR="00BA3E40" w:rsidRPr="00987D5B" w:rsidRDefault="00B66595" w:rsidP="00CC11EF">
            <w:pPr>
              <w:pStyle w:val="EPLogo"/>
            </w:pPr>
            <w:r w:rsidRPr="00987D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987D5B" w:rsidRDefault="00F24D40" w:rsidP="00F24D40">
      <w:pPr>
        <w:pStyle w:val="LineTop"/>
      </w:pPr>
    </w:p>
    <w:p w:rsidR="00F24D40" w:rsidRPr="00987D5B" w:rsidRDefault="00B66595" w:rsidP="00F24D40">
      <w:pPr>
        <w:pStyle w:val="EPBody"/>
      </w:pPr>
      <w:r>
        <w:rPr>
          <w:rStyle w:val="HideTWBExt"/>
        </w:rPr>
        <w:t>&lt;</w:t>
      </w:r>
      <w:r>
        <w:rPr>
          <w:rStyle w:val="HideTWBExt"/>
          <w:i w:val="0"/>
        </w:rPr>
        <w:t>Commission</w:t>
      </w:r>
      <w:r>
        <w:rPr>
          <w:rStyle w:val="HideTWBExt"/>
        </w:rPr>
        <w:t>&gt;</w:t>
      </w:r>
      <w:r>
        <w:rPr>
          <w:rStyle w:val="HideTWBInt"/>
          <w:color w:val="auto"/>
        </w:rPr>
        <w:t>{LIBE}</w:t>
      </w:r>
      <w:r>
        <w:t>Piliečių laisvių, teisingumo ir vidaus reikalų komitetas</w:t>
      </w:r>
      <w:r>
        <w:rPr>
          <w:rStyle w:val="HideTWBExt"/>
        </w:rPr>
        <w:t>&lt;/</w:t>
      </w:r>
      <w:r>
        <w:rPr>
          <w:rStyle w:val="HideTWBExt"/>
          <w:i w:val="0"/>
        </w:rPr>
        <w:t>Commission</w:t>
      </w:r>
      <w:r>
        <w:rPr>
          <w:rStyle w:val="HideTWBExt"/>
        </w:rPr>
        <w:t>&gt;</w:t>
      </w:r>
    </w:p>
    <w:p w:rsidR="00F24D40" w:rsidRPr="00987D5B" w:rsidRDefault="00F24D40" w:rsidP="00F24D40">
      <w:pPr>
        <w:pStyle w:val="LineBottom"/>
      </w:pPr>
    </w:p>
    <w:p w:rsidR="00DB56E4" w:rsidRPr="00987D5B" w:rsidRDefault="00B66595" w:rsidP="00DB56E4">
      <w:pPr>
        <w:pStyle w:val="CoverReference"/>
      </w:pPr>
      <w:r>
        <w:rPr>
          <w:rStyle w:val="HideTWBExt"/>
          <w:b w:val="0"/>
        </w:rPr>
        <w:t>&lt;RefProc&gt;</w:t>
      </w:r>
      <w:r>
        <w:t>2023/0212</w:t>
      </w:r>
      <w:r>
        <w:rPr>
          <w:rStyle w:val="HideTWBExt"/>
          <w:b w:val="0"/>
        </w:rPr>
        <w:t>&lt;/RefProc&gt;&lt;RefTypeProc&gt;</w:t>
      </w:r>
      <w:r>
        <w:t>(COD)</w:t>
      </w:r>
      <w:r>
        <w:rPr>
          <w:rStyle w:val="HideTWBExt"/>
          <w:b w:val="0"/>
        </w:rPr>
        <w:t>&lt;/RefTypeProc&gt;</w:t>
      </w:r>
    </w:p>
    <w:p w:rsidR="00DB56E4" w:rsidRPr="00987D5B" w:rsidRDefault="00B66595" w:rsidP="00DB56E4">
      <w:pPr>
        <w:pStyle w:val="CoverDate"/>
      </w:pPr>
      <w:r>
        <w:rPr>
          <w:rStyle w:val="HideTWBExt"/>
        </w:rPr>
        <w:t>&lt;Date&gt;</w:t>
      </w:r>
      <w:r>
        <w:rPr>
          <w:rStyle w:val="HideTWBInt"/>
          <w:color w:val="auto"/>
        </w:rPr>
        <w:t>{15/07/2025}</w:t>
      </w:r>
      <w:r>
        <w:t>15.7.2025</w:t>
      </w:r>
      <w:r>
        <w:rPr>
          <w:rStyle w:val="HideTWBExt"/>
        </w:rPr>
        <w:t>&lt;/Date&gt;</w:t>
      </w:r>
    </w:p>
    <w:p w:rsidR="00DB56E4" w:rsidRPr="00987D5B" w:rsidRDefault="00B66595" w:rsidP="00DB56E4">
      <w:pPr>
        <w:pStyle w:val="CoverDocType24a"/>
      </w:pPr>
      <w:r>
        <w:rPr>
          <w:rStyle w:val="HideTWBExt"/>
          <w:b w:val="0"/>
        </w:rPr>
        <w:t>&lt;TitreType&gt;</w:t>
      </w:r>
      <w:r>
        <w:t>NUOMONĖ</w:t>
      </w:r>
      <w:r>
        <w:rPr>
          <w:rStyle w:val="HideTWBExt"/>
          <w:b w:val="0"/>
        </w:rPr>
        <w:t>&lt;/TitreType&gt;</w:t>
      </w:r>
    </w:p>
    <w:p w:rsidR="00DB56E4" w:rsidRPr="00987D5B" w:rsidRDefault="00B66595" w:rsidP="00DB56E4">
      <w:pPr>
        <w:pStyle w:val="CoverNormal24a"/>
      </w:pPr>
      <w:r>
        <w:rPr>
          <w:rStyle w:val="HideTWBExt"/>
        </w:rPr>
        <w:t>&lt;CommissionResp&gt;</w:t>
      </w:r>
      <w:r>
        <w:t>Piliečių laisvių, teisingumo ir vidaus reikalų komiteto</w:t>
      </w:r>
      <w:r>
        <w:rPr>
          <w:rStyle w:val="HideTWBExt"/>
        </w:rPr>
        <w:t>&lt;/CommissionResp&gt;</w:t>
      </w:r>
    </w:p>
    <w:p w:rsidR="00DB56E4" w:rsidRPr="00987D5B" w:rsidRDefault="00B66595" w:rsidP="00DB56E4">
      <w:pPr>
        <w:pStyle w:val="CoverNormal24a"/>
      </w:pPr>
      <w:r>
        <w:rPr>
          <w:rStyle w:val="HideTWBExt"/>
        </w:rPr>
        <w:t>&lt;CommissionInt&gt;</w:t>
      </w:r>
      <w:r>
        <w:t>pateikta Ekonomikos ir pinigų politikos komitetui</w:t>
      </w:r>
      <w:r>
        <w:rPr>
          <w:rStyle w:val="HideTWBExt"/>
        </w:rPr>
        <w:t>&lt;/CommissionInt&gt;</w:t>
      </w:r>
    </w:p>
    <w:p w:rsidR="00DB56E4" w:rsidRPr="00987D5B" w:rsidRDefault="00B66595" w:rsidP="00DB56E4">
      <w:pPr>
        <w:pStyle w:val="CoverNormal"/>
      </w:pPr>
      <w:r>
        <w:rPr>
          <w:rStyle w:val="HideTWBExt"/>
        </w:rPr>
        <w:t>&lt;Titre&gt;</w:t>
      </w:r>
      <w:r>
        <w:t>dėl pasiūlymo dėl Europos Parlamento ir Tarybos reglamento dėl skaitmeninio eur</w:t>
      </w:r>
      <w:r>
        <w:t>o sukūrimo</w:t>
      </w:r>
      <w:r>
        <w:rPr>
          <w:rStyle w:val="HideTWBExt"/>
        </w:rPr>
        <w:t>&lt;/Titre&gt;</w:t>
      </w:r>
    </w:p>
    <w:p w:rsidR="00DB56E4" w:rsidRPr="00987D5B" w:rsidRDefault="00B66595" w:rsidP="00DB56E4">
      <w:pPr>
        <w:pStyle w:val="CoverNormal24a"/>
      </w:pPr>
      <w:r>
        <w:rPr>
          <w:rStyle w:val="HideTWBExt"/>
        </w:rPr>
        <w:t>&lt;DocRef&gt;</w:t>
      </w:r>
      <w:r>
        <w:t>(COM(2023)0369 – C10</w:t>
      </w:r>
      <w:r>
        <w:noBreakHyphen/>
        <w:t>0219/2023 – 2023/0212(COD))</w:t>
      </w:r>
      <w:r>
        <w:rPr>
          <w:rStyle w:val="HideTWBExt"/>
        </w:rPr>
        <w:t>&lt;/DocRef&gt;</w:t>
      </w:r>
    </w:p>
    <w:p w:rsidR="00DB56E4" w:rsidRPr="00987D5B" w:rsidRDefault="00B66595" w:rsidP="00DB56E4">
      <w:pPr>
        <w:pStyle w:val="CoverNormal24a"/>
      </w:pPr>
      <w:r>
        <w:t xml:space="preserve">Nuomonės referentas: </w:t>
      </w:r>
      <w:r>
        <w:rPr>
          <w:rStyle w:val="HideTWBExt"/>
        </w:rPr>
        <w:t>&lt;Depute&gt;</w:t>
      </w:r>
      <w:r>
        <w:t>Emil Radev</w:t>
      </w:r>
      <w:r>
        <w:rPr>
          <w:rStyle w:val="HideTWBExt"/>
        </w:rPr>
        <w:t>&lt;/Depute&gt;</w:t>
      </w:r>
    </w:p>
    <w:p w:rsidR="00487596" w:rsidRPr="00987D5B" w:rsidRDefault="00487596" w:rsidP="00487596">
      <w:pPr>
        <w:pStyle w:val="CoverNormal"/>
      </w:pPr>
    </w:p>
    <w:p w:rsidR="00DB56E4" w:rsidRPr="00987D5B" w:rsidRDefault="00B66595" w:rsidP="0004474F">
      <w:pPr>
        <w:tabs>
          <w:tab w:val="center" w:pos="4677"/>
        </w:tabs>
      </w:pPr>
      <w:r>
        <w:br w:type="page"/>
      </w:r>
      <w:r>
        <w:lastRenderedPageBreak/>
        <w:t>PA_Legam</w:t>
      </w:r>
    </w:p>
    <w:p w:rsidR="00DB56E4" w:rsidRPr="00987D5B" w:rsidRDefault="00B66595" w:rsidP="00CC11EF">
      <w:pPr>
        <w:pStyle w:val="AmHeadingPA"/>
      </w:pPr>
      <w:r>
        <w:br w:type="page"/>
      </w:r>
      <w:r>
        <w:lastRenderedPageBreak/>
        <w:t>PAKEITIMAI</w:t>
      </w:r>
    </w:p>
    <w:p w:rsidR="00DB56E4" w:rsidRPr="00987D5B" w:rsidRDefault="00B66595" w:rsidP="001E3AC4">
      <w:pPr>
        <w:pStyle w:val="Normal12a"/>
      </w:pPr>
      <w:bookmarkStart w:id="1" w:name="IntroA"/>
      <w:r>
        <w:t xml:space="preserve">Piliečių laisvių, teisingumo ir vidaus reikalų komitetas teikia atsakingam Ekonomikos ir pinigų </w:t>
      </w:r>
      <w:r>
        <w:t>politikos komitetui toliau išdėstytą tekstą:</w:t>
      </w:r>
    </w:p>
    <w:p w:rsidR="00CC11EF" w:rsidRPr="00156095" w:rsidRDefault="00B66595" w:rsidP="00CC11EF">
      <w:pPr>
        <w:pStyle w:val="AMNumberTabs0"/>
        <w:keepNext/>
      </w:pPr>
      <w:bookmarkStart w:id="2" w:name="EndA"/>
      <w:bookmarkEnd w:id="1"/>
      <w:r>
        <w:rPr>
          <w:rStyle w:val="HideTWBExt"/>
          <w:b w:val="0"/>
          <w:lang w:val="en-GB"/>
        </w:rPr>
        <w:t>&lt;RepeatBlock-Amend&gt;&lt;Amend&gt;</w:t>
      </w:r>
      <w:r>
        <w:t>Pakeitimas</w:t>
      </w:r>
      <w:r>
        <w:tab/>
      </w:r>
      <w:r>
        <w:tab/>
      </w:r>
      <w:r>
        <w:rPr>
          <w:rStyle w:val="HideTWBExt"/>
          <w:b w:val="0"/>
          <w:lang w:val="en-GB"/>
        </w:rPr>
        <w:t>&lt;NumAm&gt;</w:t>
      </w:r>
      <w:r>
        <w:t>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6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(6a)</w:t>
            </w:r>
            <w:r>
              <w:rPr>
                <w:b/>
                <w:i/>
              </w:rPr>
              <w:tab/>
              <w:t>siekiant</w:t>
            </w:r>
            <w:r>
              <w:rPr>
                <w:b/>
                <w:i/>
              </w:rPr>
              <w:t xml:space="preserve"> pabrėžti, kad būtina išlaikyti galimybę naudoti grynuosius pinigus visuomenėje, tiek internetinių, tiek neinternetinių sandorių atveju skaitmeninis euras visada turėtų papildyti fizinius grynuosius pinigus, o ne juos pakeisti. Piliečiai ir įmonės visada t</w:t>
            </w:r>
            <w:r>
              <w:rPr>
                <w:b/>
                <w:i/>
              </w:rPr>
              <w:t>urėtų turėti teisę naudotis viena ar kita teisėtos mokėjimo priemonės forma arba jų deriniu.</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2</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 xml:space="preserve">Komisijos siūlomas </w:t>
            </w:r>
            <w:r>
              <w:t>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(13)</w:t>
            </w:r>
            <w:r>
              <w:tab/>
              <w:t>valstybės narės, jų atitinkamos institucijos ir mokėjimo paslaugų teikėjai turėtų taikyti informavimo ir švietimo priemones, kad užtikrintų reikiamą informuotumo ir žinių apie įvairius skaitmeninio euro aspektus lygį</w:t>
            </w:r>
            <w:r>
              <w:rPr>
                <w:b/>
                <w:i/>
              </w:rPr>
              <w:t>;</w:t>
            </w:r>
          </w:p>
        </w:tc>
        <w:tc>
          <w:tcPr>
            <w:tcW w:w="4876" w:type="dxa"/>
            <w:hideMark/>
          </w:tcPr>
          <w:p w:rsidR="00CC11EF" w:rsidRPr="00156095" w:rsidRDefault="00B66595" w:rsidP="00CC11EF">
            <w:pPr>
              <w:pStyle w:val="Normal6"/>
              <w:rPr>
                <w:szCs w:val="24"/>
              </w:rPr>
            </w:pPr>
            <w:r>
              <w:t>(13)</w:t>
            </w:r>
            <w:r>
              <w:tab/>
              <w:t>valstybė</w:t>
            </w:r>
            <w:r>
              <w:t>s narės, jų atitinkamos institucijos ir mokėjimo paslaugų teikėjai</w:t>
            </w:r>
            <w:r>
              <w:rPr>
                <w:b/>
                <w:i/>
              </w:rPr>
              <w:t>, kurių valiuta yra euras,</w:t>
            </w:r>
            <w:r>
              <w:t xml:space="preserve"> turėtų taikyti informavimo ir švietimo priemones, kad užtikrintų reikiamą informuotumo ir žinių apie įvairius skaitmeninio euro aspektus lygį</w:t>
            </w:r>
            <w:r>
              <w:rPr>
                <w:b/>
                <w:i/>
              </w:rPr>
              <w:t>, įskaitant jo naudoji</w:t>
            </w:r>
            <w:r>
              <w:rPr>
                <w:b/>
                <w:i/>
              </w:rPr>
              <w:t>mo naudą, taip pat jo savybes, susijusias su pagrindinių teisių ir laisvių apsauga ir naudojimusi jomis.</w:t>
            </w:r>
            <w:r>
              <w:t xml:space="preserve"> </w:t>
            </w:r>
            <w:r>
              <w:rPr>
                <w:b/>
                <w:i/>
              </w:rPr>
              <w:t xml:space="preserve">Valstybės narės, kurių valiuta nėra euras, taip pat gali teikti tokias informavimo ir švietimo priemones savo piliečiams, prireikus bendradarbiaudamos </w:t>
            </w:r>
            <w:r>
              <w:rPr>
                <w:b/>
                <w:i/>
              </w:rPr>
              <w:t>su Europos Centriniu Banku; Šia informacija ir švietimo priemonėmis turėtų būti galima naudotis nemokamai.</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lastRenderedPageBreak/>
        <w:t>&lt;Amend&gt;</w:t>
      </w:r>
      <w:r>
        <w:t>Pakeitimas</w:t>
      </w:r>
      <w:r>
        <w:tab/>
      </w:r>
      <w:r>
        <w:tab/>
      </w:r>
      <w:r>
        <w:rPr>
          <w:rStyle w:val="HideTWBExt"/>
          <w:b w:val="0"/>
          <w:lang w:val="en-GB"/>
        </w:rPr>
        <w:t>&lt;NumAm&gt;</w:t>
      </w:r>
      <w:r>
        <w:t>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w:t>
            </w:r>
            <w:r>
              <w:t xml:space="preserve">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(18)</w:t>
            </w:r>
            <w:r>
              <w:tab/>
              <w:t>kadangi skaitmeninis euras reikalauja gebėjimo priimti skaitmenines mokėjimo priemones, įpareigojimas visiems gavėjams privalomai priimti mokėjimus skaitmeniniais eurais galėtų būti neproporcingas. Šiuo tikslu fiziniams a</w:t>
            </w:r>
            <w:r>
              <w:t>smenims, užsiimantiems išimtinai asmenine ar namų ūkio veikla, turėtų būti numatytos privalomo mokėjimų skaitmeniniais eurais priėmimo išimtys. Privalomo priėmimo išimtys taip pat turėtų būti numatytos labai mažoms įmonėms, kurios yra ypač svarbios euro zo</w:t>
            </w:r>
            <w:r>
              <w:t>noje verslumą remiančių darbo vietų kūrimui ir inovacijų plėtrai ir kurios atlieka gyvybiškai svarbų vaidmenį formuojant ekonomiką. Įgyvendinant Sąjungos politiką ir veiksmus reglamentavimo našta tokio dydžio įmonėms turėtų sumažėti. Privalomo priėmimo iši</w:t>
            </w:r>
            <w:r>
              <w:t>mtys taip pat turėtų būti numatytos ne pelno teisės subjektams, kurie gina viešąjį interesą, tarnauja visuomenei ir siekia įvairių visuomenės interesų tikslų, įskaitant teisingumą, švietimą, sveikatą, aplinkos apsaugą ir žmogaus teises. Labai mažų įmonių i</w:t>
            </w:r>
            <w:r>
              <w:t>r ne pelno teisės subjektų atveju reikiamos infrastruktūros įsigijimas ir priėmimo išlaidos būtų neproporcingos. Todėl jie turėtų būti atleisti nuo pareigos priimti mokėjimus skaitmeniniais eurais. Tokiais atvejais ir toliau turėtų būti galima naudotis kit</w:t>
            </w:r>
            <w:r>
              <w:t xml:space="preserve">omis piniginėms skoloms padengti skirtomis priemonėmis. Vis dėlto labai mažoms įmonėms ir ne pelno teisės subjektams, priimantiems iš mokėtojų </w:t>
            </w:r>
            <w:r>
              <w:rPr>
                <w:b/>
                <w:i/>
              </w:rPr>
              <w:t xml:space="preserve">panašias </w:t>
            </w:r>
            <w:r>
              <w:t xml:space="preserve">skaitmenines mokėjimo priemones, turėtų būti taikomas privalomas mokėjimų skaitmeniniais eurais </w:t>
            </w:r>
            <w:r>
              <w:t>priėmimas</w:t>
            </w:r>
            <w:r>
              <w:rPr>
                <w:b/>
                <w:i/>
              </w:rPr>
              <w:t>.</w:t>
            </w:r>
            <w:r>
              <w:t xml:space="preserve"> </w:t>
            </w:r>
            <w:r>
              <w:rPr>
                <w:b/>
                <w:i/>
              </w:rPr>
              <w:t xml:space="preserve">Panašios skaitmeninės mokėjimo priemonės turėtų apimti mokėjimą debeto </w:t>
            </w:r>
            <w:r>
              <w:rPr>
                <w:b/>
                <w:i/>
              </w:rPr>
              <w:lastRenderedPageBreak/>
              <w:t>kortele ar momentinį mokėjimą arba kitus būsimus technologinius sprendimus, naudojamus sąveikos taške, tačiau neturėtų apimti kredito pervedimo ir tiesioginio debeto, kurie n</w:t>
            </w:r>
            <w:r>
              <w:rPr>
                <w:b/>
                <w:i/>
              </w:rPr>
              <w:t>ėra inicijuojami sąveikos taške.</w:t>
            </w:r>
            <w:r>
              <w:t xml:space="preserve"> Labai mažoms įmonėms ir ne pelno </w:t>
            </w:r>
            <w:r>
              <w:rPr>
                <w:b/>
                <w:i/>
              </w:rPr>
              <w:t>teisės subjektams</w:t>
            </w:r>
            <w:r>
              <w:t xml:space="preserve">, kurie nepriima </w:t>
            </w:r>
            <w:r>
              <w:rPr>
                <w:b/>
                <w:i/>
              </w:rPr>
              <w:t xml:space="preserve">iš savo mokėtojų panašių </w:t>
            </w:r>
            <w:r>
              <w:t xml:space="preserve">skaitmeninių mokėjimo priemonių </w:t>
            </w:r>
            <w:r>
              <w:rPr>
                <w:b/>
                <w:i/>
              </w:rPr>
              <w:t>jiems atsiskaitant už skolą</w:t>
            </w:r>
            <w:r>
              <w:t xml:space="preserve"> (pvz.,</w:t>
            </w:r>
            <w:r>
              <w:rPr>
                <w:b/>
                <w:i/>
              </w:rPr>
              <w:t xml:space="preserve"> jie</w:t>
            </w:r>
            <w:r>
              <w:t xml:space="preserve"> priima tik eurų banknotus ir monetas), </w:t>
            </w:r>
            <w:r>
              <w:rPr>
                <w:b/>
                <w:i/>
              </w:rPr>
              <w:t>tačiau gali naudoti s</w:t>
            </w:r>
            <w:r>
              <w:rPr>
                <w:b/>
                <w:i/>
              </w:rPr>
              <w:t xml:space="preserve">kaitmeninius mokėjimus atsiskaitydami už skolą su savo gavėjais (pvz., moka kredito pervedimu), </w:t>
            </w:r>
            <w:r>
              <w:t xml:space="preserve">neturėtų būti </w:t>
            </w:r>
            <w:r>
              <w:rPr>
                <w:b/>
                <w:i/>
              </w:rPr>
              <w:t>taikomas privalomas mokėjimų skaitmeniniu euru priėmimas</w:t>
            </w:r>
            <w:r>
              <w:t xml:space="preserve">. Galiausiai gavėjas taip pat gali atsisakyti atlikti mokėjimą skaitmeniniais eurais, jei </w:t>
            </w:r>
            <w:r>
              <w:t>atsisakoma sąžiningai ir jei gavėjas pateisina atsisakymą teisėtomis ir laikinomis priežastimis, kurios yra proporcingos konkrečioms nuo jo valios nepriklausančioms aplinkybėms ir dėl kurių atitinkamu operacijos metu neįmanoma priimti mokėjimų skaitmeninia</w:t>
            </w:r>
            <w:r>
              <w:t>is eurais, pavyzdžiui, elektros energijos tiekimo atjungimas internetinių mokėjimo skaitmeniniais eurais operacijų atveju arba įrangos gedimas, kai atliekamos neinternetinės ar internetinės mokėjimo skaitmeniniais eurais operacijos;</w:t>
            </w:r>
          </w:p>
        </w:tc>
        <w:tc>
          <w:tcPr>
            <w:tcW w:w="4876" w:type="dxa"/>
            <w:hideMark/>
          </w:tcPr>
          <w:p w:rsidR="00CC11EF" w:rsidRPr="00156095" w:rsidRDefault="00B66595" w:rsidP="00CC11EF">
            <w:pPr>
              <w:pStyle w:val="Normal6"/>
              <w:rPr>
                <w:szCs w:val="24"/>
              </w:rPr>
            </w:pPr>
            <w:r>
              <w:lastRenderedPageBreak/>
              <w:t>(18)</w:t>
            </w:r>
            <w:r>
              <w:tab/>
              <w:t>kadangi skaitmenin</w:t>
            </w:r>
            <w:r>
              <w:t>is euras reikalauja gebėjimo priimti skaitmenines mokėjimo priemones, įpareigojimas visiems gavėjams privalomai priimti mokėjimus skaitmeniniais eurais galėtų būti neproporcingas. Šiuo tikslu fiziniams asmenims, užsiimantiems išimtinai asmenine ar namų ūki</w:t>
            </w:r>
            <w:r>
              <w:t xml:space="preserve">o veikla, </w:t>
            </w:r>
            <w:r>
              <w:rPr>
                <w:b/>
                <w:i/>
              </w:rPr>
              <w:t>arba fiziniams asmenims, gaunantiems pajamas, pensijas ar valstybės išmokas, </w:t>
            </w:r>
            <w:r>
              <w:t>turėtų būti numatytos privalomo mokėjimų skaitmeniniais eurais priėmimo išimtys. Privalomo priėmimo išimtys taip pat turėtų būti numatytos labai mažoms įmonėms, kurios y</w:t>
            </w:r>
            <w:r>
              <w:t>ra ypač svarbios euro zonoje verslumą remiančių darbo vietų kūrimui ir inovacijų plėtrai ir kurios atlieka gyvybiškai svarbų vaidmenį formuojant ekonomiką. Įgyvendinant Sąjungos politiką ir veiksmus reglamentavimo našta tokio dydžio įmonėms turėtų sumažėti</w:t>
            </w:r>
            <w:r>
              <w:t>. Privalomo priėmimo išimtys taip pat turėtų būti numatytos ne pelno teisės subjektams, kurie gina viešąjį interesą, tarnauja visuomenei ir siekia įvairių visuomenės interesų tikslų, įskaitant teisingumą, švietimą, sveikatą, aplinkos apsaugą ir žmogaus tei</w:t>
            </w:r>
            <w:r>
              <w:t xml:space="preserve">ses. Labai mažų įmonių ir ne pelno teisės subjektų atveju reikiamos infrastruktūros įsigijimas ir priėmimo išlaidos būtų neproporcingos. Todėl jie turėtų būti atleisti nuo pareigos priimti mokėjimus skaitmeniniais eurais. Tokiais atvejais ir toliau turėtų </w:t>
            </w:r>
            <w:r>
              <w:t xml:space="preserve">būti galima naudotis kitomis piniginėms skoloms padengti skirtomis priemonėmis. Vis dėlto labai mažoms įmonėms ir ne pelno teisės subjektams, priimantiems iš mokėtojų skaitmenines mokėjimo priemones, turėtų būti taikomas privalomas mokėjimų skaitmeniniais </w:t>
            </w:r>
            <w:r>
              <w:t xml:space="preserve">eurais priėmimas. Labai </w:t>
            </w:r>
            <w:r>
              <w:lastRenderedPageBreak/>
              <w:t>mažoms įmonėms ir ne pelno juridiniams asmenims</w:t>
            </w:r>
            <w:r>
              <w:rPr>
                <w:b/>
                <w:bCs/>
                <w:i/>
                <w:iCs/>
              </w:rPr>
              <w:t>,</w:t>
            </w:r>
            <w:r>
              <w:rPr>
                <w:b/>
                <w:bCs/>
              </w:rPr>
              <w:t xml:space="preserve"> </w:t>
            </w:r>
            <w:r>
              <w:t>kurie nepriima skaitmeninių mokėjimo priemonių iš savo mokėtojų skolai padengti (pvz., priima tik eurų banknotus ir monetas), neturėtų būti privaloma tvarka priimti mokėjimus skaitmen</w:t>
            </w:r>
            <w:r>
              <w:t>iniais eurais.  Galiausiai gavėjas taip pat gali atsisakyti atlikti mokėjimą skaitmeniniais eurais, jei atsisakoma sąžiningai ir jei gavėjas pateisina atsisakymą teisėtomis ir laikinomis priežastimis, kurios yra proporcingos konkrečioms nuo jo valios nepri</w:t>
            </w:r>
            <w:r>
              <w:t>klausančioms aplinkybėms ir dėl kurių atitinkamu operacijos metu neįmanoma priimti mokėjimų skaitmeniniais eurais, pavyzdžiui, elektros energijos tiekimo atjungimas internetinių mokėjimo skaitmeniniais eurais operacijų atveju arba įrangos gedimas, kai atli</w:t>
            </w:r>
            <w:r>
              <w:t>ekamos neinternetinės ar internetinės mokėjimo skaitmeniniais eurais operacijos;</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(19)</w:t>
            </w:r>
            <w:r>
              <w:tab/>
              <w:t>siekiant užtikrinti, kad vėlesniame etape galėtų būti nustatytos papildomos privalomo skaitmeninio euro priėmimo išimtys, jei jų reikia, pavyzdžiui, dėl techninių ypatumų, kurių gali atsirasti ateityje, pagal Sutarties dėl Europos Sąjungos</w:t>
            </w:r>
            <w:r>
              <w:t xml:space="preserve"> veikimo 290 straipsnį Komisijai turėtų būti suteikti įgaliojimai priimti aktus dėl papildomų pinigų teisės pobūdžio </w:t>
            </w:r>
            <w:r>
              <w:lastRenderedPageBreak/>
              <w:t>išimčių, susijusių su pareiga priimti mokėjimo skaitmeniniais eurais operacijas, nustatymo, tokias išimtis darniai taikant visoje euro zono</w:t>
            </w:r>
            <w:r>
              <w:t>je, atsižvelgiant į visus valstybių narių pasiūlymus šiuo tikslu. Komisija gali patvirtinti tokias išimtis tik tuo atveju, jei jos yra būtinos, pateisinamos bendrojo intereso pagrindais bei proporcingos ir jei jas taikant išlaikomas skaitmeninio euro teisė</w:t>
            </w:r>
            <w:r>
              <w:t>tos mokėjimo priemonės statuso veiksmingumas</w:t>
            </w:r>
            <w:r>
              <w:rPr>
                <w:b/>
                <w:i/>
              </w:rPr>
              <w:t>.</w:t>
            </w:r>
            <w:r>
              <w:t xml:space="preserve"> Komisijos įgaliojimai priimti deleguotuosius aktus, kuriais nustatomos papildomos pareigos priimti mokėjimo skaitmeniniais eurais operacijas išimtys, neturėtų daryti poveikio valstybių narių galimybei pagal sav</w:t>
            </w:r>
            <w:r>
              <w:t xml:space="preserve">o įgaliojimus pasidalijamosios kompetencijos srityse priimti nacionalinės teisės aktus, kuriais būtų nustatytos privalomo priėmimo išimtys, kylančios iš teisėtos mokėjimo priemonės statuso, laikantis Europos Sąjungos Teisingumo Teismo sprendime sujungtose </w:t>
            </w:r>
            <w:r>
              <w:t>bylose C-422/19 ir C-423/19 nustatytų sąlygų;</w:t>
            </w:r>
          </w:p>
        </w:tc>
        <w:tc>
          <w:tcPr>
            <w:tcW w:w="4876" w:type="dxa"/>
            <w:hideMark/>
          </w:tcPr>
          <w:p w:rsidR="00CC11EF" w:rsidRPr="00156095" w:rsidRDefault="00B66595" w:rsidP="00CC11EF">
            <w:pPr>
              <w:pStyle w:val="Normal6"/>
              <w:rPr>
                <w:szCs w:val="24"/>
              </w:rPr>
            </w:pPr>
            <w:r>
              <w:lastRenderedPageBreak/>
              <w:t>(19)</w:t>
            </w:r>
            <w:r>
              <w:tab/>
              <w:t>siekiant užtikrinti, kad vėlesniame etape galėtų būti nustatytos papildomos privalomo skaitmeninio euro priėmimo išimtys, jei jų reikia, pavyzdžiui, dėl techninių ypatumų, kurių gali atsirasti ateityje, pa</w:t>
            </w:r>
            <w:r>
              <w:t xml:space="preserve">gal Sutarties dėl Europos Sąjungos veikimo 290 straipsnį Komisijai turėtų būti suteikti įgaliojimai priimti aktus dėl papildomų pinigų teisės pobūdžio </w:t>
            </w:r>
            <w:r>
              <w:lastRenderedPageBreak/>
              <w:t>išimčių, susijusių su pareiga priimti mokėjimo skaitmeniniais eurais operacijas, nustatymo, tokias išimti</w:t>
            </w:r>
            <w:r>
              <w:t xml:space="preserve">s darniai taikant visoje euro zonoje, atsižvelgiant į visus </w:t>
            </w:r>
            <w:r>
              <w:rPr>
                <w:b/>
                <w:i/>
              </w:rPr>
              <w:t xml:space="preserve">Europos Parlamentas ir </w:t>
            </w:r>
            <w:r>
              <w:t>valstybių narių pasiūlymus šiuo tikslu. Komisija gali patvirtinti tokias išimtis tik tuo atveju, jei jos yra būtinos, pateisinamos bendrojo intereso pagrindais bei proporcin</w:t>
            </w:r>
            <w:r>
              <w:t>gos ir jei jas taikant išlaikomas skaitmeninio euro teisėtos mokėjimo priemonės statuso veiksmingumas</w:t>
            </w:r>
            <w:r>
              <w:rPr>
                <w:b/>
                <w:i/>
              </w:rPr>
              <w:t xml:space="preserve"> ir tik tuo atveju</w:t>
            </w:r>
            <w:r>
              <w:t xml:space="preserve">, </w:t>
            </w:r>
            <w:r>
              <w:rPr>
                <w:b/>
                <w:i/>
              </w:rPr>
              <w:t>jei yra kitų piniginių skolų</w:t>
            </w:r>
            <w:r>
              <w:t xml:space="preserve"> mokėjimo </w:t>
            </w:r>
            <w:r>
              <w:rPr>
                <w:b/>
                <w:i/>
              </w:rPr>
              <w:t>priemonių.</w:t>
            </w:r>
            <w:r>
              <w:t xml:space="preserve"> Komisijos įgaliojimai priimti deleguotuosius aktus, kuriais nustatomos papildomos pare</w:t>
            </w:r>
            <w:r>
              <w:t>igos priimti mokėjimo skaitmeniniais eurais operacijas išimtys, neturėtų daryti poveikio valstybių narių galimybei pagal savo įgaliojimus pasidalijamosios kompetencijos srityse priimti nacionalinės teisės aktus, kuriais būtų nustatytos privalomo priėmimo i</w:t>
            </w:r>
            <w:r>
              <w:t>šimtys, kylančios iš teisėtos mokėjimo priemonės statuso, laikantis Europos Sąjungos Teisingumo Teismo sprendime sujungtose bylose C-422/19 ir C-423/19 nustatytų sąlygų;</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21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(21)</w:t>
            </w:r>
            <w:r>
              <w:tab/>
              <w:t>pagrindinis skaitmeninio euro sukūrimo tikslas – jo kaip bendros valiutos formos, turinčios teisėtos mokėjimo priemonės statusą, naudojimas euro zonoje. Š</w:t>
            </w:r>
            <w:r>
              <w:t>iuo tikslu ir laikantis Europos ekonominės erdvės susitarimo, mokėjimo skaitmeniniais eurais paslaugas Europos ekonominėje erdvėje įsisteigę MPT gali teikti euro zonoje gyvenantiems arba įsisteigusiems skaitmeninio euro naudotojams, įskaitant vartotojus, n</w:t>
            </w:r>
            <w:r>
              <w:t xml:space="preserve">eturinčius nuolatinės gyvenamosios </w:t>
            </w:r>
            <w:r>
              <w:lastRenderedPageBreak/>
              <w:t>vietos, prieglobsčio prašytojus ir vartotojus, kuriems leidimas gyventi šalyje nesuteiktas, tačiau kurių išsiųsti neįmanoma dėl teisinių ar faktinių priežasčių. Fiziniai ir juridiniai asmenys, kurie jau gavo mokėjimo skai</w:t>
            </w:r>
            <w:r>
              <w:t xml:space="preserve">tmeniniais eurais paslaugas, nes tuo metu, kai gyveno arba buvo įsisteigę valstybėje narėje, kurios valiuta yra euras, bet nebegyvena ar nebėra įsisteigę toje valstybėje narėje, atidarė mokėjimo skaitmeniniais eurais sąskaitą, vis tiek gali gauti mokėjimo </w:t>
            </w:r>
            <w:r>
              <w:t>skaitmeniniais eurais paslaugas, kurias Europos ekonominėje erdvėje įsisteigę mokėjimo paslaugų teikėjai, laikydamiesi Europos ekonominės erdvės susitarimo, gali gauti su šių asmenų gyvenamosios vietos arba įsisteigimo statusu susijusiais galimais laiko ap</w:t>
            </w:r>
            <w:r>
              <w:t>ribojimais, kuriuos gali nustatyti Europos Centrinis Bankas;</w:t>
            </w:r>
          </w:p>
        </w:tc>
        <w:tc>
          <w:tcPr>
            <w:tcW w:w="4876" w:type="dxa"/>
            <w:hideMark/>
          </w:tcPr>
          <w:p w:rsidR="00CC11EF" w:rsidRPr="00156095" w:rsidRDefault="00B66595" w:rsidP="00CC11EF">
            <w:pPr>
              <w:pStyle w:val="Normal6"/>
              <w:rPr>
                <w:szCs w:val="24"/>
              </w:rPr>
            </w:pPr>
            <w:r>
              <w:lastRenderedPageBreak/>
              <w:t>(21)</w:t>
            </w:r>
            <w:r>
              <w:tab/>
              <w:t xml:space="preserve">pagrindinis skaitmeninio euro sukūrimo tikslas – jo kaip </w:t>
            </w:r>
            <w:r>
              <w:rPr>
                <w:b/>
                <w:i/>
              </w:rPr>
              <w:t xml:space="preserve">papildomos </w:t>
            </w:r>
            <w:r>
              <w:t>bendros valiutos formos, turinčios teisėtos mokėjimo priemonės statusą, naudojimas euro zonoje. Šiuo tikslu ir laikantis E</w:t>
            </w:r>
            <w:r>
              <w:t>uropos ekonominės erdvės susitarimo, mokėjimo skaitmeniniais eurais paslaugas Europos ekonominėje erdvėje įsisteigę MPT gali teikti euro zonoje gyvenantiems arba įsisteigusiems skaitmeninio euro naudotojams, įskaitant vartotojus, neturinčius nuolatinės gyv</w:t>
            </w:r>
            <w:r>
              <w:t xml:space="preserve">enamosios </w:t>
            </w:r>
            <w:r>
              <w:lastRenderedPageBreak/>
              <w:t>vietos, prieglobsčio prašytojus ir vartotojus, kuriems leidimas gyventi šalyje nesuteiktas, tačiau kurių išsiųsti neįmanoma dėl teisinių ar faktinių priežasčių. Fiziniai ir juridiniai asmenys, kurie jau gavo mokėjimo skaitmeniniais eurais paslaug</w:t>
            </w:r>
            <w:r>
              <w:t>as, nes tuo metu, kai gyveno arba buvo įsisteigę valstybėje narėje, kurios valiuta yra euras, bet nebegyvena ar nebėra įsisteigę toje valstybėje narėje, atidarė mokėjimo skaitmeniniais eurais sąskaitą, vis tiek gali gauti mokėjimo skaitmeniniais eurais pas</w:t>
            </w:r>
            <w:r>
              <w:t xml:space="preserve">laugas, kurias Europos ekonominėje erdvėje įsisteigę mokėjimo paslaugų teikėjai, laikydamiesi Europos ekonominės erdvės susitarimo, gali gauti su šių asmenų gyvenamosios vietos arba įsisteigimo statusu susijusiais galimais laiko apribojimais, kuriuos gali </w:t>
            </w:r>
            <w:r>
              <w:t xml:space="preserve">nustatyti Europos Centrinis Bankas; </w:t>
            </w:r>
            <w:r>
              <w:rPr>
                <w:b/>
                <w:i/>
              </w:rPr>
              <w:t>Šiais tikslais Kovos su pinigų plovimu institucija ir Europos bankininkystės institucija kartu paskelbia gaires, kuriose nurodoma kovos su pinigų plovimu ir teroristų finansavimu reikalavimų ir pagrindinių skaitmeninių m</w:t>
            </w:r>
            <w:r>
              <w:rPr>
                <w:b/>
                <w:i/>
              </w:rPr>
              <w:t>okėjimo eurais paslaugų teikimo sąveika. Tose gairėse nenumatoma, kad mokėjimo paslaugų teikėjai registruoja potencialių skaitmeninio euro naudotojų, įskaitant prieglobsčio prašytojus ar tarptautinės apsaugos gavėjus arba nuolatinės gyvenamosios vietos net</w:t>
            </w:r>
            <w:r>
              <w:rPr>
                <w:b/>
                <w:i/>
              </w:rPr>
              <w:t>urinčius asmenis ar trečiosios šalies piliečius, kuriems nesuteiktas leidimas gyventi, statusą.</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 xml:space="preserve">Komisijos siūlomas </w:t>
            </w:r>
            <w:r>
              <w:t>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(31)</w:t>
            </w:r>
            <w:r>
              <w:tab/>
              <w:t xml:space="preserve">remdamasis Sutartimis jam suteiktais įgaliojimais ir laikydamasis šio reglamento nuostatų, Europos Centrinis Bankas turėtų galėti nustatyti skaitmeninio </w:t>
            </w:r>
            <w:r>
              <w:lastRenderedPageBreak/>
              <w:t>euro, kaip vertės išsaugojimo priemonės, naudojimo ribas. Veiksmingas skaitmen</w:t>
            </w:r>
            <w:r>
              <w:t>inio euro, kaip teisėtos mokėjimo priemonės, naudojimas turėtų būti išsaugotas ribojant MPT tarpusavio mokesčius ar prekybininkų mokesčius;</w:t>
            </w:r>
          </w:p>
        </w:tc>
        <w:tc>
          <w:tcPr>
            <w:tcW w:w="4876" w:type="dxa"/>
            <w:hideMark/>
          </w:tcPr>
          <w:p w:rsidR="00CC11EF" w:rsidRPr="00156095" w:rsidRDefault="00B66595" w:rsidP="00CC11EF">
            <w:pPr>
              <w:pStyle w:val="Normal6"/>
              <w:rPr>
                <w:szCs w:val="24"/>
              </w:rPr>
            </w:pPr>
            <w:r>
              <w:lastRenderedPageBreak/>
              <w:t>(31)</w:t>
            </w:r>
            <w:r>
              <w:tab/>
              <w:t>remdamasis Sutartimis jam suteiktais įgaliojimais ir laikydamasis šio reglamento nuostatų, Europos Centrinis Ba</w:t>
            </w:r>
            <w:r>
              <w:t xml:space="preserve">nkas turėtų galėti nustatyti skaitmeninio </w:t>
            </w:r>
            <w:r>
              <w:lastRenderedPageBreak/>
              <w:t xml:space="preserve">euro, kaip vertės išsaugojimo priemonės, naudojimo ribas. </w:t>
            </w:r>
            <w:r>
              <w:rPr>
                <w:b/>
                <w:i/>
              </w:rPr>
              <w:t>Nustatant tokias ribas reikėtų atsižvelgti į poveikį ES finansiniam stabilumui ir bankų sektoriui, taip pat į poveikį vartotojų interesams.</w:t>
            </w:r>
            <w:r>
              <w:t xml:space="preserve"> Veiksmingas skai</w:t>
            </w:r>
            <w:r>
              <w:t>tmeninio euro, kaip teisėtos mokėjimo priemonės, naudojimas turėtų būti išsaugotas ribojant MPT tarpusavio mokesčius ar prekybininkų mokesčius;</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32 </w:t>
      </w:r>
      <w:r>
        <w:t>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(32)</w:t>
            </w:r>
            <w:r>
              <w:tab/>
              <w:t>neribotas skaitmeninio euro, kaip vertės išsaugojimo priemonės, naudojimas galėtų kelti pavojų euro zonos finansiniam stabilumui, o tai turėtų neigiamą poveikį kredito įstaigų vy</w:t>
            </w:r>
            <w:r>
              <w:t>kdomam ekonomikos kreditavimui. Tam gali prireikti, kad Europos Centrinis Bankas, siekdamas užtikrinti finansų sistemos stabilumą ir laikydamasis proporcingumo principo, nustatytų skaitmeninio euro, kaip vertės išsaugojimo priemonės, naudojimo ribas. Polit</w:t>
            </w:r>
            <w:r>
              <w:t>ikos priemonės, kurios galėtų būti naudojamos šiuo tikslu, apima kiekybinius apribojimus, taikomus konkrečioms turimoms skaitmeninio euro sumoms, ir kitų kategorijų lėšų konvertavimo į skaitmeninį eurą per nustatytą laikotarpį apribojimus, bet ne tik. Prii</w:t>
            </w:r>
            <w:r>
              <w:t>mdamas sprendimą dėl 1 dalyje nurodytų priemonių parametrų ir naudojimo, Europos Centrinis Bankas turėtų laikytis atviros rinkos ekonomikos esant laisvai konkurencijai principo pagal SESV 127 straipsnio 1 dalį;</w:t>
            </w:r>
          </w:p>
        </w:tc>
        <w:tc>
          <w:tcPr>
            <w:tcW w:w="4876" w:type="dxa"/>
            <w:hideMark/>
          </w:tcPr>
          <w:p w:rsidR="00CC11EF" w:rsidRPr="00156095" w:rsidRDefault="00B66595" w:rsidP="00CC11EF">
            <w:pPr>
              <w:pStyle w:val="Normal6"/>
              <w:rPr>
                <w:szCs w:val="24"/>
              </w:rPr>
            </w:pPr>
            <w:r>
              <w:t>(32)</w:t>
            </w:r>
            <w:r>
              <w:tab/>
              <w:t>neribotas skaitmeninio euro, kaip vertės</w:t>
            </w:r>
            <w:r>
              <w:t xml:space="preserve"> išsaugojimo priemonės, naudojimas galėtų kelti pavojų euro zonos finansiniam stabilumui, o tai turėtų neigiamą poveikį kredito įstaigų vykdomam ekonomikos kreditavimui. Tam gali prireikti, kad Europos Centrinis Bankas, siekdamas užtikrinti finansų sistemo</w:t>
            </w:r>
            <w:r>
              <w:t>s stabilumą ir laikydamasis proporcingumo principo, nustatytų skaitmeninio euro, kaip vertės išsaugojimo priemonės, naudojimo ribas. Politikos priemonės, kurios galėtų būti naudojamos šiuo tikslu, apima kiekybinius apribojimus, taikomus konkrečioms turimom</w:t>
            </w:r>
            <w:r>
              <w:t>s skaitmeninio euro sumoms, ir kitų kategorijų lėšų konvertavimo į skaitmeninį eurą per nustatytą laikotarpį apribojimus, bet ne tik. Priimdamas sprendimą dėl 1 dalyje nurodytų priemonių parametrų ir naudojimo, Europos Centrinis Bankas turėtų laikytis atvi</w:t>
            </w:r>
            <w:r>
              <w:t xml:space="preserve">ros rinkos ekonomikos esant laisvai konkurencijai principo pagal SESV 127 straipsnio 1 dalį; </w:t>
            </w:r>
            <w:r>
              <w:rPr>
                <w:b/>
                <w:i/>
              </w:rPr>
              <w:t>Skaitmeninio euro konvertavimas į kitų formų eurą, įskaitant grynuosius pinigus, visada turėtų būti neribojamas.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lastRenderedPageBreak/>
        <w:t>&lt;Amend&gt;</w:t>
      </w:r>
      <w:r>
        <w:t>Pakeitimas</w:t>
      </w:r>
      <w:r>
        <w:tab/>
      </w:r>
      <w:r>
        <w:tab/>
      </w:r>
      <w:r>
        <w:rPr>
          <w:rStyle w:val="HideTWBExt"/>
          <w:b w:val="0"/>
          <w:lang w:val="en-GB"/>
        </w:rPr>
        <w:t>&lt;NumAm&gt;</w:t>
      </w:r>
      <w:r>
        <w:t>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32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(32a)</w:t>
            </w:r>
            <w:r>
              <w:rPr>
                <w:b/>
                <w:i/>
              </w:rPr>
              <w:tab/>
              <w:t>Siekdamas kuo labiau apsaugoti neinternetinio skaitmeninio euro naudotojų privatumą, Europos Centrinis Bank</w:t>
            </w:r>
            <w:r>
              <w:rPr>
                <w:b/>
                <w:i/>
              </w:rPr>
              <w:t>as gali apsvarstyti galimybę nustatyti mokėjimo skaitmeniniais eurais sąskaitų, skirtų neinternetiniam ir internetiniam turtui, laikymo apribojimus. Abi ribos galėtų būti apskaičiuojamos atskirai, atsižvelgiant į kiekvienos skaitmeninio euro formos ypatumu</w:t>
            </w:r>
            <w:r>
              <w:rPr>
                <w:b/>
                <w:i/>
              </w:rPr>
              <w:t>s. Tokiu būdu skaitmeninio euro naudotojai neatsidurtų tokioje padėtyje, kai sumažinus jų turimos neinternetinio skaitmeninio euro sumos ribą jie galėtų turėti daugiau internetinio skaitmeninio euro, ir atvirkščiai. Tokia padėtis kenkia su neinternetiniu s</w:t>
            </w:r>
            <w:r>
              <w:rPr>
                <w:b/>
                <w:i/>
              </w:rPr>
              <w:t>kaitmeniniu euru susijusio privatumo apsaugai, nes pakeitus turimos jo sumos ribą iš naudotojo pusės būtų atskleista suma, kurią naudotojas faktiškai turi arba nori turėti. Tai taip pat kenkia neinternetinio skaitmeninio euro panašumui į grynuosius pinigus</w:t>
            </w:r>
            <w:r>
              <w:rPr>
                <w:b/>
                <w:i/>
              </w:rPr>
              <w:t>, kurių laikymo ribos nenustatytos, o vartotojo turimų grynųjų pinigų suma nepriklauso nuo banko sąskaitoje laikomos sumos.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9</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34 a konstatuojamoji dalis </w:t>
      </w:r>
      <w:r>
        <w:t>(nauja)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(34a)</w:t>
            </w:r>
            <w:r>
              <w:rPr>
                <w:b/>
                <w:i/>
              </w:rPr>
              <w:tab/>
              <w:t>labai svarbu, kad neinternetinio skaitmeninio euro sukūrimas nesuteiktų pagrindo stebėti ar kontroliuoti, kaip jis išleidžiamas, palyginti su grynaisiais pinigais;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lastRenderedPageBreak/>
        <w:t>&lt;Amend&gt;</w:t>
      </w:r>
      <w:r>
        <w:t>Pakeitimas</w:t>
      </w:r>
      <w:r>
        <w:tab/>
      </w:r>
      <w:r>
        <w:tab/>
      </w:r>
      <w:r>
        <w:rPr>
          <w:rStyle w:val="HideTWBExt"/>
          <w:b w:val="0"/>
          <w:lang w:val="en-GB"/>
        </w:rPr>
        <w:t>&lt;NumAm&gt;</w:t>
      </w:r>
      <w:r>
        <w:t>10</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40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(40)</w:t>
            </w:r>
            <w:r>
              <w:tab/>
              <w:t>siekiant užtikrinti plačią prieigą prie skaitmeninio euro ir jo naudojimą, atsižvelgiant</w:t>
            </w:r>
            <w:r>
              <w:t xml:space="preserve"> į jo kaip teisėtos mokėjimo priemonės statusą, ir paremti jo kaip inkaro valiutos vaidmenį euro zonoje, euro zonoje gyvenantys fiziniai asmenys, fiziniai asmenys, kurie tuo metu, kai gyveno euro zonoje, bet joje nebegyvena, atidarė sąskaitą skaitmeniniais</w:t>
            </w:r>
            <w:r>
              <w:t xml:space="preserve"> eurais, taip pat lankytojai neturėtų mokėti už pagrindines mokėjimo skaitmeniniais eurais paslaugas. Tai reiškia, kad tokiems skaitmeninio euro naudotojams neturėtų būti taikomi jokie tiesioginiai mokesčiai už pagrindinę prieigą prie skaitmeninio euro ir </w:t>
            </w:r>
            <w:r>
              <w:t>pagrindinį jo naudojimą, įskaitant tai, kad jiems neturėtų būti taikomi operacijų mokesčiai ar bet kokie kiti mokesčiai, tiesiogiai susiję su paslaugų, susijusių su pagrindiniu skaitmeninio euro naudojimu, teikimu. Neturėtų būti reikalaujama, kad skaitmeni</w:t>
            </w:r>
            <w:r>
              <w:t>nio euro naudotojai turėtų arba atsidarytų mokėjimo neskaitmeniniais eurais sąskaitą arba priimtų kitus neskaitmeninio euro produktus. Kai skaitmeninio euro naudotojas sutinka su paslaugų paketu, kurį sudaro paslaugos neskaitmeniniais eurais ir pagrindinės</w:t>
            </w:r>
            <w:r>
              <w:t xml:space="preserve"> mokėjimo skaitmeniniais eurais paslaugos, </w:t>
            </w:r>
            <w:r>
              <w:rPr>
                <w:b/>
                <w:i/>
              </w:rPr>
              <w:t>mokėjimo paslaugų teikėjas turėtų</w:t>
            </w:r>
            <w:r>
              <w:t xml:space="preserve"> turėti </w:t>
            </w:r>
            <w:r>
              <w:rPr>
                <w:b/>
                <w:i/>
              </w:rPr>
              <w:t>galimybę apmokestinti tą</w:t>
            </w:r>
            <w:r>
              <w:t xml:space="preserve"> paslaugų </w:t>
            </w:r>
            <w:r>
              <w:rPr>
                <w:b/>
                <w:i/>
              </w:rPr>
              <w:t>paketą savo nuožiūra</w:t>
            </w:r>
            <w:r>
              <w:t>.</w:t>
            </w:r>
            <w:r>
              <w:rPr>
                <w:b/>
                <w:i/>
              </w:rPr>
              <w:t xml:space="preserve"> Tokiu atveju</w:t>
            </w:r>
            <w:r>
              <w:t xml:space="preserve"> neturėtų būti taikomas diferencijuotas mokestis už paslaugas neskaitmeniniais eurais, kai jos siūlomos atskirai arba kaip paketo, įskaitant pagrindines mokėjimo skaitmeniniais eurais paslaugas, dalis. Kai skaitmeninio euro naudotojas prašo gauti tik pagri</w:t>
            </w:r>
            <w:r>
              <w:t xml:space="preserve">ndines mokėjimo skaitmeniniais eurais paslaugas mokėjimo paslaugų teikėjo įstaigoje, tos paslaugos neturėtų </w:t>
            </w:r>
            <w:r>
              <w:lastRenderedPageBreak/>
              <w:t>būti apmokestinamos, įskaitant ir kaskadinio keitimo iš skaitmeninių eurų ir kaskadinio keitimo į skaitmeninius eurus funkcijas, kai skaitmeninio eu</w:t>
            </w:r>
            <w:r>
              <w:t>ro naudotojas taip pat turi mokėjimo neskaitmeniniais eurais sąskaitą kito mokėjimo paslaugų teikėjo įstaigoje. Mokėjimo paslaugų teikėjai turėtų turėti galimybę apmokestinti skaitmeninio euro naudotojus už papildomas mokėjimo skaitmeniniais eurais paslaug</w:t>
            </w:r>
            <w:r>
              <w:t>as, kurios nėra pagrindinės mokėjimo skaitmeniniais eurais paslaugos;</w:t>
            </w:r>
          </w:p>
        </w:tc>
        <w:tc>
          <w:tcPr>
            <w:tcW w:w="4876" w:type="dxa"/>
            <w:hideMark/>
          </w:tcPr>
          <w:p w:rsidR="00CC11EF" w:rsidRPr="00156095" w:rsidRDefault="00B66595" w:rsidP="00CC11EF">
            <w:pPr>
              <w:pStyle w:val="Normal6"/>
              <w:rPr>
                <w:szCs w:val="24"/>
              </w:rPr>
            </w:pPr>
            <w:r>
              <w:lastRenderedPageBreak/>
              <w:t>(40)</w:t>
            </w:r>
            <w:r>
              <w:tab/>
              <w:t>siekiant užtikrinti plačią prieigą prie skaitmeninio euro ir jo naudojimą, atsižvelgiant į jo kaip teisėtos mokėjimo priemonės statusą, ir paremti jo kaip inkaro valiutos vaidmenį e</w:t>
            </w:r>
            <w:r>
              <w:t>uro zonoje, euro zonoje gyvenantys fiziniai asmenys, fiziniai asmenys, kurie tuo metu, kai gyveno euro zonoje, bet joje nebegyvena, atidarė sąskaitą skaitmeniniais eurais, taip pat lankytojai neturėtų mokėti už pagrindines mokėjimo skaitmeniniais eurais pa</w:t>
            </w:r>
            <w:r>
              <w:t>slaugas. Tai reiškia, kad tokiems skaitmeninio euro naudotojams neturėtų būti taikomi jokie tiesioginiai mokesčiai už pagrindinę prieigą prie skaitmeninio euro ir pagrindinį jo naudojimą, įskaitant tai, kad jiems neturėtų būti taikomi operacijų mokesčiai a</w:t>
            </w:r>
            <w:r>
              <w:t>r bet kokie kiti mokesčiai, tiesiogiai susiję su paslaugų, susijusių su pagrindiniu skaitmeninio euro naudojimu, teikimu. Neturėtų būti reikalaujama, kad skaitmeninio euro naudotojai turėtų arba atsidarytų mokėjimo neskaitmeniniais eurais sąskaitą arba pri</w:t>
            </w:r>
            <w:r>
              <w:t xml:space="preserve">imtų kitus neskaitmeninio euro produktus. Kai skaitmeninio euro naudotojas sutinka su paslaugų paketu, kurį sudaro paslaugos neskaitmeniniais eurais ir pagrindinės mokėjimo skaitmeniniais eurais paslaugos, </w:t>
            </w:r>
            <w:r>
              <w:rPr>
                <w:b/>
                <w:i/>
              </w:rPr>
              <w:t>pastarųjų įtraukimas neturėtų</w:t>
            </w:r>
            <w:r>
              <w:t xml:space="preserve"> turėti </w:t>
            </w:r>
            <w:r>
              <w:rPr>
                <w:b/>
                <w:i/>
              </w:rPr>
              <w:t>jokios įtakos</w:t>
            </w:r>
            <w:r>
              <w:t xml:space="preserve"> paslaugų </w:t>
            </w:r>
            <w:r>
              <w:rPr>
                <w:b/>
                <w:i/>
              </w:rPr>
              <w:t>paketo kainai</w:t>
            </w:r>
            <w:r>
              <w:t>.</w:t>
            </w:r>
            <w:r>
              <w:rPr>
                <w:b/>
                <w:i/>
              </w:rPr>
              <w:t xml:space="preserve"> Kitaip tariant,</w:t>
            </w:r>
            <w:r>
              <w:t xml:space="preserve"> neturėtų būti taikomas diferencijuotas mokestis už paslaugas neskaitmeniniais eurais, kai jos siūlomos atskirai arba kaip paketo, įskaitant pagrindines mokėjimo skaitmeniniais eurais paslaugas, dalis. Kai skaitmenin</w:t>
            </w:r>
            <w:r>
              <w:t xml:space="preserve">io euro naudotojas prašo gauti tik pagrindines mokėjimo skaitmeniniais eurais paslaugas mokėjimo paslaugų teikėjo įstaigoje, tos paslaugos neturėtų būti apmokestinamos, </w:t>
            </w:r>
            <w:r>
              <w:lastRenderedPageBreak/>
              <w:t>įskaitant ir kaskadinio keitimo iš skaitmeninių eurų ir kaskadinio keitimo į skaitmenin</w:t>
            </w:r>
            <w:r>
              <w:t>ius eurus funkcijas, kai skaitmeninio euro naudotojas taip pat turi mokėjimo neskaitmeniniais eurais sąskaitą kito mokėjimo paslaugų teikėjo įstaigoje. Mokėjimo paslaugų teikėjai turėtų turėti galimybę apmokestinti skaitmeninio euro naudotojus už papildoma</w:t>
            </w:r>
            <w:r>
              <w:t>s mokėjimo skaitmeniniais eurais paslaugas, kurios nėra pagrindinės mokėjimo skaitmeniniais eurais paslaugos;</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41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(41)</w:t>
            </w:r>
            <w:r>
              <w:tab/>
              <w:t>Europos Centrinis Bankas arba Eurosistema mokėjimo paslaugų teikėjams netaiko mokesčių už išlaidas, kurių jie patiria teikdami skaitmeninių eurų paslaugas skaitmeninio euro naudotojams;</w:t>
            </w:r>
          </w:p>
        </w:tc>
        <w:tc>
          <w:tcPr>
            <w:tcW w:w="4876" w:type="dxa"/>
            <w:hideMark/>
          </w:tcPr>
          <w:p w:rsidR="00CC11EF" w:rsidRPr="00156095" w:rsidRDefault="00B66595" w:rsidP="00CC11EF">
            <w:pPr>
              <w:pStyle w:val="Normal6"/>
              <w:rPr>
                <w:szCs w:val="24"/>
              </w:rPr>
            </w:pPr>
            <w:r>
              <w:t>(41)</w:t>
            </w:r>
            <w:r>
              <w:tab/>
              <w:t>Europos Centrinis Ban</w:t>
            </w:r>
            <w:r>
              <w:t xml:space="preserve">kas arba Eurosistema mokėjimo paslaugų teikėjams netaiko mokesčių už išlaidas, kurių jie patiria teikdami skaitmeninių eurų paslaugas skaitmeninio euro naudotojams; </w:t>
            </w:r>
            <w:r>
              <w:rPr>
                <w:b/>
                <w:i/>
              </w:rPr>
              <w:t>Panašiai mokėjimo paslaugų teikėjai neturėtų apmokestinti naudotojų išlaidų, kurias jie pat</w:t>
            </w:r>
            <w:r>
              <w:rPr>
                <w:b/>
                <w:i/>
              </w:rPr>
              <w:t>iria naudodamiesi pagrindinėmis skaitmeninių eurų paslaugomis.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12</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47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(47)</w:t>
            </w:r>
            <w:r>
              <w:tab/>
              <w:t>pernelyg</w:t>
            </w:r>
            <w:r>
              <w:t xml:space="preserve"> didelis skaitmeninio euro platinimas už euro zonos ribų galėtų turėti nepageidaujamą poveikį Europos Centrinio Banko ir nacionalinių centrinių bankų konsoliduoto balanso dydžiui ir sudėčiai. Poveikis euro zonai nepriklausančių šalių monetariniam suverenum</w:t>
            </w:r>
            <w:r>
              <w:t xml:space="preserve">ui ir finansiniam stabilumui taip pat gali skirtis priklausomai </w:t>
            </w:r>
            <w:r>
              <w:lastRenderedPageBreak/>
              <w:t>nuo skaitmeninio euro naudojimo už euro zonos ribų. Tas poveikis galėtų būti žalingas, jei skaitmeninis euras pakeistų vietos valiutą daugelyje vidaus operacijų. Visų pirma situacija, kai skai</w:t>
            </w:r>
            <w:r>
              <w:t>tmeninis euras tampa dominuojančiu valstybėje narėje, kurios valiuta nėra euras, ir taip de facto pakeičia nacionalinę valiutą, galėtų trukdyti taikyti prisijungimo prie euro zonos kriterijus ir procesą, nustatytą SESV 140 straipsnyje. Siekiant išvengti ne</w:t>
            </w:r>
            <w:r>
              <w:t>pageidaujamo poveikio ir užkirsti kelią monetarinio suverenumo ir finansinio stabilumo rizikai tiek euro zonoje, tiek už jos ribų, būtina numatyti galimybę Sąjungai sudaryti susitarimus su trečiosiomis valstybėmis</w:t>
            </w:r>
            <w:r>
              <w:rPr>
                <w:b/>
                <w:i/>
              </w:rPr>
              <w:t>, o</w:t>
            </w:r>
            <w:r>
              <w:t xml:space="preserve"> Europos </w:t>
            </w:r>
            <w:r>
              <w:rPr>
                <w:b/>
                <w:i/>
              </w:rPr>
              <w:t>Centriniam Bankui –</w:t>
            </w:r>
            <w:r>
              <w:t xml:space="preserve"> sudaryti su</w:t>
            </w:r>
            <w:r>
              <w:t>sitarimus su valstybių narių, kurių valiuta nėra euras, nacionaliniais centriniais bankais</w:t>
            </w:r>
            <w:r>
              <w:rPr>
                <w:b/>
                <w:i/>
              </w:rPr>
              <w:t xml:space="preserve"> ir su trečiųjų valstybių nacionaliniais centriniais bankais</w:t>
            </w:r>
            <w:r>
              <w:t>, siekiant nustatyti reguliaraus mokėjimo skaitmeniniais eurais paslaugų teikimo ne euro zonoje gyvenantie</w:t>
            </w:r>
            <w:r>
              <w:t>ms arba įsisteigusiems skaitmeninio euro naudotojams sąlygas. Tokie susitarimai ir tvarka neturėtų būti taikomi euro zonos lankytojams, kuriems pagal Europos ekonominės erdvės susitarimą Europos ekonominėje erdvėje įsisteigę mokėjimo paslaugų teikėjai</w:t>
            </w:r>
            <w:r>
              <w:rPr>
                <w:vertAlign w:val="superscript"/>
              </w:rPr>
              <w:t>31</w:t>
            </w:r>
            <w:r>
              <w:t xml:space="preserve"> ga</w:t>
            </w:r>
            <w:r>
              <w:t>li tiesiogiai teikti mokėjimo skaitmeniniais eurais paslaugas;</w:t>
            </w:r>
          </w:p>
        </w:tc>
        <w:tc>
          <w:tcPr>
            <w:tcW w:w="4876" w:type="dxa"/>
            <w:hideMark/>
          </w:tcPr>
          <w:p w:rsidR="00CC11EF" w:rsidRPr="00156095" w:rsidRDefault="00B66595" w:rsidP="00CC11EF">
            <w:pPr>
              <w:pStyle w:val="Normal6"/>
              <w:rPr>
                <w:szCs w:val="24"/>
              </w:rPr>
            </w:pPr>
            <w:r>
              <w:lastRenderedPageBreak/>
              <w:t>(47)</w:t>
            </w:r>
            <w:r>
              <w:tab/>
              <w:t xml:space="preserve">pernelyg didelis skaitmeninio euro platinimas už euro zonos ribų galėtų turėti nepageidaujamą poveikį Europos Centrinio Banko ir nacionalinių centrinių bankų konsoliduoto balanso dydžiui </w:t>
            </w:r>
            <w:r>
              <w:t xml:space="preserve">ir sudėčiai. Poveikis euro zonai nepriklausančių šalių monetariniam suverenumui ir finansiniam stabilumui taip pat gali skirtis priklausomai </w:t>
            </w:r>
            <w:r>
              <w:lastRenderedPageBreak/>
              <w:t>nuo skaitmeninio euro naudojimo už euro zonos ribų. Tas poveikis galėtų būti žalingas, jei skaitmeninis euras pakei</w:t>
            </w:r>
            <w:r>
              <w:t>stų vietos valiutą daugelyje vidaus operacijų. Visų pirma situacija, kai skaitmeninis euras tampa dominuojančiu valstybėje narėje, kurios valiuta nėra euras, ir taip de facto pakeičia nacionalinę valiutą, galėtų trukdyti taikyti prisijungimo prie euro zono</w:t>
            </w:r>
            <w:r>
              <w:t>s kriterijus ir procesą, nustatytą SESV 140 straipsnyje. Siekiant išvengti nepageidaujamo poveikio ir užkirsti kelią monetarinio suverenumo ir finansinio stabilumo rizikai tiek euro zonoje, tiek už jos ribų, būtina numatyti galimybę Sąjungai sudaryti susit</w:t>
            </w:r>
            <w:r>
              <w:t>arimus su trečiosiomis valstybėmis</w:t>
            </w:r>
            <w:r>
              <w:rPr>
                <w:b/>
                <w:i/>
              </w:rPr>
              <w:t>.</w:t>
            </w:r>
            <w:r>
              <w:t xml:space="preserve"> Europos Centrinis Bankas </w:t>
            </w:r>
            <w:r>
              <w:rPr>
                <w:b/>
                <w:i/>
              </w:rPr>
              <w:t>turėtų būti skatinamas</w:t>
            </w:r>
            <w:r>
              <w:t xml:space="preserve"> sudaryti susitarimus su valstybių narių, kurių valiuta nėra euras, nacionaliniais centriniais bankais, siekiant nustatyti reguliaraus mokėjimo skaitmeniniais eurais paslaug</w:t>
            </w:r>
            <w:r>
              <w:t>ų teikimo ne euro zonoje gyvenantiems arba įsisteigusiems skaitmeninio euro naudotojams sąlygas.</w:t>
            </w:r>
            <w:r>
              <w:rPr>
                <w:b/>
                <w:i/>
              </w:rPr>
              <w:t xml:space="preserve"> Panašūs</w:t>
            </w:r>
            <w:r>
              <w:t xml:space="preserve"> </w:t>
            </w:r>
            <w:r>
              <w:rPr>
                <w:b/>
                <w:bCs/>
                <w:i/>
                <w:iCs/>
              </w:rPr>
              <w:t>susitarimai</w:t>
            </w:r>
            <w:r>
              <w:rPr>
                <w:b/>
                <w:bCs/>
              </w:rPr>
              <w:t xml:space="preserve"> </w:t>
            </w:r>
            <w:r>
              <w:rPr>
                <w:b/>
                <w:i/>
              </w:rPr>
              <w:t>gali</w:t>
            </w:r>
            <w:r>
              <w:t xml:space="preserve"> </w:t>
            </w:r>
            <w:r>
              <w:rPr>
                <w:b/>
                <w:bCs/>
                <w:i/>
                <w:iCs/>
              </w:rPr>
              <w:t>būti</w:t>
            </w:r>
            <w:r>
              <w:t xml:space="preserve"> </w:t>
            </w:r>
            <w:r>
              <w:rPr>
                <w:b/>
                <w:i/>
              </w:rPr>
              <w:t>sudaryti su trečiųjų valstybių nacionaliniais centriniais bankais.</w:t>
            </w:r>
            <w:r>
              <w:t xml:space="preserve"> Tokie susitarimai ir tvarka neturėtų būti taikomi euro zonos l</w:t>
            </w:r>
            <w:r>
              <w:t>ankytojams, kuriems pagal Europos ekonominės erdvės susitarimą Europos ekonominėje erdvėje</w:t>
            </w:r>
            <w:r>
              <w:rPr>
                <w:vertAlign w:val="superscript"/>
              </w:rPr>
              <w:t>31</w:t>
            </w:r>
            <w:r>
              <w:t xml:space="preserve"> įsisteigę mokėjimo paslaugų teikėjai gali tiesiogiai teikti mokėjimo skaitmeniniais eurais paslaugas;</w:t>
            </w:r>
          </w:p>
        </w:tc>
      </w:tr>
      <w:tr w:rsidR="009525CF" w:rsidTr="00CC11EF">
        <w:trPr>
          <w:jc w:val="center"/>
        </w:trPr>
        <w:tc>
          <w:tcPr>
            <w:tcW w:w="4876" w:type="dxa"/>
            <w:hideMark/>
          </w:tcPr>
          <w:p w:rsidR="00CC11EF" w:rsidRPr="00156095" w:rsidRDefault="00B66595" w:rsidP="00CC11EF">
            <w:pPr>
              <w:pStyle w:val="Normal6"/>
            </w:pPr>
            <w:r>
              <w:lastRenderedPageBreak/>
              <w:t>__________________</w:t>
            </w:r>
          </w:p>
        </w:tc>
        <w:tc>
          <w:tcPr>
            <w:tcW w:w="4876" w:type="dxa"/>
            <w:hideMark/>
          </w:tcPr>
          <w:p w:rsidR="00CC11EF" w:rsidRPr="00156095" w:rsidRDefault="00B66595" w:rsidP="00CC11EF">
            <w:pPr>
              <w:pStyle w:val="Normal6"/>
              <w:rPr>
                <w:szCs w:val="24"/>
              </w:rPr>
            </w:pPr>
            <w:r>
              <w:t>__________________</w:t>
            </w:r>
          </w:p>
        </w:tc>
      </w:tr>
      <w:tr w:rsidR="009525CF" w:rsidTr="00CC11EF">
        <w:trPr>
          <w:jc w:val="center"/>
        </w:trPr>
        <w:tc>
          <w:tcPr>
            <w:tcW w:w="4876" w:type="dxa"/>
            <w:hideMark/>
          </w:tcPr>
          <w:p w:rsidR="00CC11EF" w:rsidRPr="00156095" w:rsidRDefault="00B66595" w:rsidP="00CC11EF">
            <w:pPr>
              <w:pStyle w:val="Normal6"/>
            </w:pPr>
            <w:r>
              <w:rPr>
                <w:vertAlign w:val="superscript"/>
              </w:rPr>
              <w:t>31</w:t>
            </w:r>
            <w:r>
              <w:t xml:space="preserve"> Europos ekonominės</w:t>
            </w:r>
            <w:r>
              <w:t xml:space="preserve"> erdvės susitarimas (OL L 1, 1994 1 3, p. 3).</w:t>
            </w:r>
          </w:p>
        </w:tc>
        <w:tc>
          <w:tcPr>
            <w:tcW w:w="4876" w:type="dxa"/>
            <w:hideMark/>
          </w:tcPr>
          <w:p w:rsidR="00CC11EF" w:rsidRPr="00156095" w:rsidRDefault="00B66595" w:rsidP="00CC11EF">
            <w:pPr>
              <w:pStyle w:val="Normal6"/>
              <w:rPr>
                <w:szCs w:val="24"/>
              </w:rPr>
            </w:pPr>
            <w:r>
              <w:rPr>
                <w:vertAlign w:val="superscript"/>
              </w:rPr>
              <w:t>31</w:t>
            </w:r>
            <w:r>
              <w:t xml:space="preserve"> Europos ekonominės erdvės susitarimas (OL L 1, 1994 1 3, p. 3).</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48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(48)</w:t>
            </w:r>
            <w:r>
              <w:tab/>
              <w:t xml:space="preserve">mokėjimo skaitmeniniais eurais </w:t>
            </w:r>
            <w:r>
              <w:lastRenderedPageBreak/>
              <w:t xml:space="preserve">paslaugų teikimui skaitmeninio euro naudotojams, gyvenantiems arba įsisteigusiems valstybėje narėje, kurios valiuta nėra euras, turėtų būti </w:t>
            </w:r>
            <w:r>
              <w:rPr>
                <w:b/>
                <w:i/>
              </w:rPr>
              <w:t xml:space="preserve">taikomas </w:t>
            </w:r>
            <w:r>
              <w:t>išankstinis Europos Centrinio Ba</w:t>
            </w:r>
            <w:r>
              <w:t>nko ir valstybės narės, kurios valiuta nėra euras, nacionalinio centrinio banko susitarimas, gavus valstybės narės, kurios valiuta nėra euras, prašymą. Pagal Europos ekonominės erdvės susitarimą mokėjimo skaitmeniniais eurais paslaugas skaitmeninio euro na</w:t>
            </w:r>
            <w:r>
              <w:t>udotojams, gyvenantiems arba įsisteigusiems euro zonai nepriklausančiose valstybėse narėse, gali teikti Europos ekonominėje erdvėje įsisteigę mokėjimo paslaugų teikėjai;</w:t>
            </w:r>
          </w:p>
        </w:tc>
        <w:tc>
          <w:tcPr>
            <w:tcW w:w="4876" w:type="dxa"/>
            <w:hideMark/>
          </w:tcPr>
          <w:p w:rsidR="00CC11EF" w:rsidRPr="00156095" w:rsidRDefault="00B66595" w:rsidP="00CC11EF">
            <w:pPr>
              <w:pStyle w:val="Normal6"/>
              <w:rPr>
                <w:szCs w:val="24"/>
              </w:rPr>
            </w:pPr>
            <w:r>
              <w:lastRenderedPageBreak/>
              <w:t>(48)</w:t>
            </w:r>
            <w:r>
              <w:tab/>
            </w:r>
            <w:r>
              <w:rPr>
                <w:b/>
                <w:i/>
              </w:rPr>
              <w:t xml:space="preserve">pirminis skaitmeninio euro </w:t>
            </w:r>
            <w:r>
              <w:rPr>
                <w:b/>
                <w:i/>
              </w:rPr>
              <w:lastRenderedPageBreak/>
              <w:t>įvedimas euro zonoje neturėtų lemti piliečių ir įmonių</w:t>
            </w:r>
            <w:r>
              <w:rPr>
                <w:b/>
                <w:i/>
              </w:rPr>
              <w:t xml:space="preserve"> diskriminacijos valstybėse narėse, kurių valiuta nėra euras, ar kitaip netyčia sukurti dvigubų standartų bendrojoje rinkoje. Potencialiems skaitmeninio euro naudotojams tokiose valstybėse narėse turėtų būti suteikta galimybė, kai įmanoma, savanoriškai įsi</w:t>
            </w:r>
            <w:r>
              <w:rPr>
                <w:b/>
                <w:i/>
              </w:rPr>
              <w:t>vesti skaitmeninį eurą.</w:t>
            </w:r>
            <w:r>
              <w:t xml:space="preserve"> mokėjimo skaitmeniniais eurais paslaugų teikimui skaitmeninio euro naudotojams, gyvenantiems arba įsisteigusiems valstybėje narėje, kurios valiuta nėra euras, turėtų būti </w:t>
            </w:r>
            <w:r>
              <w:rPr>
                <w:b/>
                <w:i/>
              </w:rPr>
              <w:t xml:space="preserve">įmanomas pagal </w:t>
            </w:r>
            <w:r>
              <w:t xml:space="preserve"> išankstinį Europos Centrinio Banko ir valstyb</w:t>
            </w:r>
            <w:r>
              <w:t>ės narės, kurios valiuta nėra euras, nacionalinio centrinio banko susitarimą, gavus valstybės narės, kurios valiuta nėra euras, prašymą.</w:t>
            </w:r>
            <w:r>
              <w:rPr>
                <w:b/>
                <w:i/>
              </w:rPr>
              <w:t xml:space="preserve"> Tokia tvarka turėtų būti užtikrinta, kad fiziniai ir juridiniai asmenys, kurie tampa</w:t>
            </w:r>
            <w:r>
              <w:rPr>
                <w:b/>
                <w:bCs/>
                <w:i/>
                <w:iCs/>
              </w:rPr>
              <w:t xml:space="preserve"> skaitmeninio euro</w:t>
            </w:r>
            <w:r>
              <w:t xml:space="preserve"> </w:t>
            </w:r>
            <w:r>
              <w:rPr>
                <w:b/>
                <w:i/>
              </w:rPr>
              <w:t>naudotojais vals</w:t>
            </w:r>
            <w:r>
              <w:rPr>
                <w:b/>
                <w:i/>
              </w:rPr>
              <w:t>tybėje narėje</w:t>
            </w:r>
            <w:r>
              <w:t xml:space="preserve">, </w:t>
            </w:r>
            <w:r>
              <w:rPr>
                <w:b/>
                <w:i/>
              </w:rPr>
              <w:t>kurios valiuta nėra euro, turėtų tokias pačias prieigos prie skaitmeninio</w:t>
            </w:r>
            <w:r>
              <w:rPr>
                <w:b/>
                <w:bCs/>
                <w:i/>
                <w:iCs/>
              </w:rPr>
              <w:t xml:space="preserve"> euro s</w:t>
            </w:r>
            <w:r>
              <w:rPr>
                <w:b/>
                <w:i/>
              </w:rPr>
              <w:t>ąlygas ir galimybes, kaip ir skaitmeninio euro naudotojai</w:t>
            </w:r>
            <w:r>
              <w:t xml:space="preserve"> </w:t>
            </w:r>
            <w:r>
              <w:rPr>
                <w:b/>
                <w:bCs/>
                <w:i/>
                <w:iCs/>
              </w:rPr>
              <w:t>valstybėse narėse,</w:t>
            </w:r>
            <w:r>
              <w:t xml:space="preserve"> </w:t>
            </w:r>
            <w:r>
              <w:rPr>
                <w:b/>
                <w:i/>
              </w:rPr>
              <w:t xml:space="preserve">kurių valiuta yra euras, ypač kai kalbama apie apribojimus, nemokamų pagrindinių </w:t>
            </w:r>
            <w:r>
              <w:rPr>
                <w:b/>
                <w:i/>
              </w:rPr>
              <w:t>paslaugų apimtį ir t. t., nedarant poveikio</w:t>
            </w:r>
            <w:r>
              <w:t xml:space="preserve"> </w:t>
            </w:r>
            <w:r>
              <w:rPr>
                <w:b/>
                <w:bCs/>
                <w:i/>
                <w:iCs/>
              </w:rPr>
              <w:t>Europos</w:t>
            </w:r>
            <w:r>
              <w:rPr>
                <w:b/>
                <w:bCs/>
              </w:rPr>
              <w:t xml:space="preserve"> </w:t>
            </w:r>
            <w:r>
              <w:rPr>
                <w:b/>
                <w:i/>
              </w:rPr>
              <w:t>Centrinio Banko prerogatyvai apsaugoti savo pinigų politikos tikslus</w:t>
            </w:r>
            <w:r>
              <w:t>; Pagal Europos ekonominės erdvės susitarimą mokėjimo skaitmeniniais eurais paslaugas skaitmeninio euro naudotojams, gyvenantiems arba į</w:t>
            </w:r>
            <w:r>
              <w:t>sisteigusiems euro zonai nepriklausančiose valstybėse narėse, gali teikti Europos ekonominėje erdvėje įsisteigę mokėjimo paslaugų teikėjai;</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53 konstatuo</w:t>
      </w:r>
      <w:r>
        <w:t>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(53)</w:t>
            </w:r>
            <w:r>
              <w:tab/>
              <w:t xml:space="preserve">susitarimai, susiję su mokėjimo skaitmeniniais eurais paslaugų teikimu arba mokėjimais skirtingomis valiutomis, apimančiais skaitmeninį eurą, turėtų būti sudaromi savanoriškai, pirmenybę </w:t>
            </w:r>
            <w:r>
              <w:t>teikiant euro zonai nepriklausančioms valstybėms narėms. Europos Centrinis Bankas turėtų bendradarbiauti su valstybių narių, kurių valiuta nėra euras, nacionaliniais centriniais bankais, kad būtų galima atlikti mokėjimus skirtingomis valiutomis, apimančius</w:t>
            </w:r>
            <w:r>
              <w:t xml:space="preserve"> skaitmeninį eurą;</w:t>
            </w:r>
          </w:p>
        </w:tc>
        <w:tc>
          <w:tcPr>
            <w:tcW w:w="4876" w:type="dxa"/>
            <w:hideMark/>
          </w:tcPr>
          <w:p w:rsidR="00CC11EF" w:rsidRPr="00156095" w:rsidRDefault="00B66595" w:rsidP="00CC11EF">
            <w:pPr>
              <w:pStyle w:val="Normal6"/>
              <w:rPr>
                <w:szCs w:val="24"/>
              </w:rPr>
            </w:pPr>
            <w:r>
              <w:t>(53)</w:t>
            </w:r>
            <w:r>
              <w:tab/>
              <w:t>susitarimai, susiję su mokėjimo skaitmeniniais eurais paslaugų teikimu arba mokėjimais skirtingomis valiutomis, apimančiais skaitmeninį eurą, turėtų būti sudaromi savanoriškai, pirmenybę teikiant euro zonai nepriklausančioms valstyb</w:t>
            </w:r>
            <w:r>
              <w:t xml:space="preserve">ėms narėms. Europos Centrinis Bankas turėtų </w:t>
            </w:r>
            <w:r>
              <w:rPr>
                <w:b/>
                <w:i/>
              </w:rPr>
              <w:t xml:space="preserve">aktyviai </w:t>
            </w:r>
            <w:r>
              <w:t>bendradarbiauti su valstybių narių, kurių valiuta nėra euras, nacionaliniais centriniais bankais, kad būtų galima atlikti mokėjimus skirtingomis valiutomis, apimančius skaitmeninį eurą;</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59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(59)</w:t>
            </w:r>
            <w:r>
              <w:tab/>
              <w:t xml:space="preserve">siekiant sudaryti palankesnes sąlygas darniai naudotojų patirčiai, skaitmeninio euro </w:t>
            </w:r>
            <w:r>
              <w:t>taisyklės, standartai ir procesai, kuriuos Europos Centrinis Bankas gali priimti savo kompetencijos srityje, turėtų užtikrinti, kad bet kuris skaitmeninio euro naudotojas galėtų atlikti mokėjimo skaitmeniniais eurais operacijas su bet kuriais kitais skaitm</w:t>
            </w:r>
            <w:r>
              <w:t>eninio euro naudotojais visoje euro zonoje, nepriklausomai nuo susijusių mokėjimo paslaugų teikėjų ir naudojamų vartotojo sąsajos paslaugų. Siekiant sumažinti Europos mažmeninių mokėjimų rinkos susiskaidymą ir remti konkurenciją, veiksmingumą ir inovacijas</w:t>
            </w:r>
            <w:r>
              <w:t xml:space="preserve"> toje rinkoje, taip pat mokėjimo priemonių kūrimą visoje Sąjungoje, laikantis Komisijos mažmeninių mokėjimų strategijos tikslo, skaitmeninis euras turėtų būti kuo labiau suderinamas su privačiais skaitmeniniais mokėjimų sprendimais, remiantis funkcine ir t</w:t>
            </w:r>
            <w:r>
              <w:t xml:space="preserve">echnine sinergija. Visų pirma Europos Centrinis Bankas turėtų siekti užtikrinti, kad </w:t>
            </w:r>
            <w:r>
              <w:lastRenderedPageBreak/>
              <w:t>skaitmeninis euras būtų suderinamas su privačiais skaitmeninių mokėjimų sprendimais sąveikos taške ir su mokėjimais tarp asmenų – Sąjungos mažmeninių mokėjimų rinkos susis</w:t>
            </w:r>
            <w:r>
              <w:t>kaidymas šioje srityje šiuo metu yra didelis. Tokį suderinamumą galėtų padėti užtikrinti atvirųjų standartų, bendrų taisyklių ir procesų bei galbūt bendros infrastruktūros naudojimas. Nors esami sprendimai gali būti naudojami tais atvejais, kai jie laikomi</w:t>
            </w:r>
            <w:r>
              <w:t xml:space="preserve"> tinkamais suderinamumui užtikrinti, visų pirma siekiant kuo labiau sumažinti bendras prisitaikymo išlaidas, tokie esami sprendimai neturėtų sukurti pernelyg didelės priklausomybės, kuri galėtų užkirsti kelią skaitmeninio euro pritaikymui prie naujų techno</w:t>
            </w:r>
            <w:r>
              <w:t>logijų arba būtų nesuderinami su skaitmeninio euro savybėmis. Siekdamas šių tikslų ir nesuteikdamas rinkos operatoriams jokių vykdytinų teisių, Europos Centrinis Bankas turėtų siekti užtikrinti, kad skaitmeninis euras būtų suderinamas su privačiais skaitme</w:t>
            </w:r>
            <w:r>
              <w:t>ninių mokėjimų sprendimais, dėdamas kuo daugiau pastangų, kai mano, jog tai tikslinga;</w:t>
            </w:r>
          </w:p>
        </w:tc>
        <w:tc>
          <w:tcPr>
            <w:tcW w:w="4876" w:type="dxa"/>
            <w:hideMark/>
          </w:tcPr>
          <w:p w:rsidR="00CC11EF" w:rsidRPr="00156095" w:rsidRDefault="00B66595" w:rsidP="00CC11EF">
            <w:pPr>
              <w:pStyle w:val="Normal6"/>
              <w:rPr>
                <w:szCs w:val="24"/>
              </w:rPr>
            </w:pPr>
            <w:r>
              <w:lastRenderedPageBreak/>
              <w:t>(59)</w:t>
            </w:r>
            <w:r>
              <w:tab/>
              <w:t>siekiant sudaryti palankesnes sąlygas darniai naudotojų patirčiai, skaitmeninio euro taisyklės, standartai ir procesai, kuriuos Europos Centrinis Bankas gali priimt</w:t>
            </w:r>
            <w:r>
              <w:t>i savo kompetencijos srityje, turėtų užtikrinti, kad bet kuris skaitmeninio euro naudotojas galėtų atlikti mokėjimo skaitmeniniais eurais operacijas su bet kuriais kitais skaitmeninio euro naudotojais visoje euro zonoje, nepriklausomai nuo susijusių mokėji</w:t>
            </w:r>
            <w:r>
              <w:t>mo paslaugų teikėjų ir naudojamų vartotojo sąsajos paslaugų. Siekiant sumažinti Europos mažmeninių mokėjimų rinkos susiskaidymą ir remti konkurenciją, veiksmingumą ir inovacijas toje rinkoje, taip pat mokėjimo priemonių kūrimą visoje Sąjungoje, laikantis K</w:t>
            </w:r>
            <w:r>
              <w:t>omisijos mažmeninių mokėjimų strategijos tikslo, skaitmeninis euras turėtų būti kuo labiau suderinamas su privačiais skaitmeniniais mokėjimų sprendimais, remiantis funkcine ir technine sinergija. Visų pirma Europos Centrinis Bankas turėtų siekti užtikrinti</w:t>
            </w:r>
            <w:r>
              <w:t xml:space="preserve">, kad </w:t>
            </w:r>
            <w:r>
              <w:lastRenderedPageBreak/>
              <w:t>skaitmeninis euras būtų suderinamas su privačiais skaitmeninių mokėjimų sprendimais sąveikos taške ir su mokėjimais tarp asmenų – Sąjungos mažmeninių mokėjimų rinkos susiskaidymas šioje srityje šiuo metu yra didelis. Tokį suderinamumą galėtų padėti u</w:t>
            </w:r>
            <w:r>
              <w:t xml:space="preserve">žtikrinti atvirųjų standartų, bendrų taisyklių ir procesų bei galbūt bendros infrastruktūros naudojimas. </w:t>
            </w:r>
            <w:r>
              <w:rPr>
                <w:b/>
                <w:i/>
              </w:rPr>
              <w:t>Ypač Europos Centrinis Bankas turėtų teikti pirmenybę atvirųjų standartų taikymui, jei tokie standartai yra nustatyti.</w:t>
            </w:r>
            <w:r>
              <w:t xml:space="preserve"> Nors esami sprendimai gali būti </w:t>
            </w:r>
            <w:r>
              <w:t>naudojami tais atvejais, kai jie laikomi tinkamais suderinamumui užtikrinti, visų pirma siekiant kuo labiau sumažinti bendras prisitaikymo išlaidas, tokie esami sprendimai neturėtų sukurti pernelyg didelės priklausomybės, kuri galėtų užkirsti kelią skaitme</w:t>
            </w:r>
            <w:r>
              <w:t>ninio euro pritaikymui prie naujų technologijų arba būtų nesuderinami su skaitmeninio euro savybėmis. Siekdamas šių tikslų ir nesuteikdamas rinkos operatoriams jokių vykdytinų teisių, Europos Centrinis Bankas turėtų siekti užtikrinti, kad skaitmeninis eura</w:t>
            </w:r>
            <w:r>
              <w:t>s būtų suderinamas su privačiais skaitmeninių mokėjimų sprendimais, dėdamas kuo daugiau pastangų, kai mano, jog tai tikslinga;</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61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(61)</w:t>
            </w:r>
            <w:r>
              <w:tab/>
              <w:t xml:space="preserve">kad skaitmeninio euro naudotojai galėtų naudotis skaitmeniniu euru kaip mokėjimo skaitmeniniais eurais paslaugų dalimi, jiems turėtų būti teikiamos vartotojo sąsajos paslaugos. Tie naudotojai turėtų </w:t>
            </w:r>
            <w:r>
              <w:t xml:space="preserve">turėti galimybę naudotis mokėjimo skaitmeniniais eurais paslaugomis naudodamiesi mokėjimo paslaugų teikėjų </w:t>
            </w:r>
            <w:r>
              <w:lastRenderedPageBreak/>
              <w:t>ir Europos Centrinio Banko teikiamomis vartotojo sąsajos paslaugomis. Mokėjimo paslaugų teikėjai turėtų turėti galimybę nuspręsti naudotis kitų suint</w:t>
            </w:r>
            <w:r>
              <w:t>eresuotųjų subjektų, įskaitant Europos Centrinį Banką, teikiamomis vartotojo sąsajos paslaugomis, visų pirma tais atvejais, kai vartotojo sąsajos paslaugų, įskaitant taikomąsias programas, kūrimo ir teikimo sąnaudos yra neproporcingos. Tais atvejais, kai s</w:t>
            </w:r>
            <w:r>
              <w:t>kaitmeninio euro naudotojai gali rinktis iš skirtingų vartotojo sąsajos paslaugų, sprendimą pasirinkti tam tikrą vartotojo sąsajos paslaugą galiausiai turėtų priimti tie naudotojai ir jis neturėtų būti primestas mokėjimo paslaugų teikėjų ar Europos Centrin</w:t>
            </w:r>
            <w:r>
              <w:t>io Banko. Šiuo atžvilgiu mokėjimo paslaugų teikėjai turėtų turėti galimybę skaitmeninio euro naudotojams suteikti prieigą prie mokėjimo skaitmeniniais eurais paslaugų ir jomis naudotis naudojantis Europos Centrinio Banko teikiamomis vartotojo sąsajos pasla</w:t>
            </w:r>
            <w:r>
              <w:t xml:space="preserve">ugomis. Europos Centrinis Bankas ir mokėjimo paslaugų teikėjai </w:t>
            </w:r>
            <w:r>
              <w:rPr>
                <w:b/>
                <w:i/>
              </w:rPr>
              <w:t>įgyvendina</w:t>
            </w:r>
            <w:r>
              <w:t xml:space="preserve"> tinkamas technines ir organizacines priemones, įskaitant pažangiausias saugumo ir privatumo apsaugos priemones, </w:t>
            </w:r>
            <w:r>
              <w:rPr>
                <w:b/>
                <w:i/>
              </w:rPr>
              <w:t xml:space="preserve">siekdami užtikrinti, </w:t>
            </w:r>
            <w:r>
              <w:t xml:space="preserve">kad </w:t>
            </w:r>
            <w:r>
              <w:rPr>
                <w:b/>
                <w:i/>
              </w:rPr>
              <w:t>ECB pasitelkdamas savo vartotojo sąsajos spre</w:t>
            </w:r>
            <w:r>
              <w:rPr>
                <w:b/>
                <w:i/>
              </w:rPr>
              <w:t>ndimą negalėtų</w:t>
            </w:r>
            <w:r>
              <w:t xml:space="preserve"> gauti prieigos prie konkrečių skaitmeninio euro naudotojų tapatybės duomenų;</w:t>
            </w:r>
          </w:p>
        </w:tc>
        <w:tc>
          <w:tcPr>
            <w:tcW w:w="4876" w:type="dxa"/>
            <w:hideMark/>
          </w:tcPr>
          <w:p w:rsidR="00CC11EF" w:rsidRPr="00156095" w:rsidRDefault="00B66595" w:rsidP="00CC11EF">
            <w:pPr>
              <w:pStyle w:val="Normal6"/>
              <w:rPr>
                <w:szCs w:val="24"/>
              </w:rPr>
            </w:pPr>
            <w:r>
              <w:lastRenderedPageBreak/>
              <w:t>(61)</w:t>
            </w:r>
            <w:r>
              <w:tab/>
              <w:t>kad skaitmeninio euro naudotojai galėtų naudotis skaitmeniniu euru kaip mokėjimo skaitmeniniais eurais paslaugų dalimi, jiems turėtų būti teikiamos vartotojo s</w:t>
            </w:r>
            <w:r>
              <w:t xml:space="preserve">ąsajos paslaugos. Tie naudotojai turėtų turėti galimybę naudotis mokėjimo skaitmeniniais eurais paslaugomis naudodamiesi mokėjimo paslaugų teikėjų </w:t>
            </w:r>
            <w:r>
              <w:lastRenderedPageBreak/>
              <w:t>ir Europos Centrinio Banko teikiamomis vartotojo sąsajos paslaugomis. Mokėjimo paslaugų teikėjai turėtų turėt</w:t>
            </w:r>
            <w:r>
              <w:t xml:space="preserve">i galimybę nuspręsti naudotis kitų suinteresuotųjų subjektų, įskaitant Europos Centrinį Banką, teikiamomis vartotojo sąsajos paslaugomis, visų pirma tais atvejais, kai vartotojo sąsajos paslaugų, įskaitant taikomąsias programas, kūrimo ir teikimo sąnaudos </w:t>
            </w:r>
            <w:r>
              <w:t>yra neproporcingos. Tais atvejais, kai skaitmeninio euro naudotojai gali rinktis iš skirtingų vartotojo sąsajos paslaugų, sprendimą pasirinkti tam tikrą vartotojo sąsajos paslaugą galiausiai turėtų priimti tie naudotojai ir jis neturėtų būti primestas mokė</w:t>
            </w:r>
            <w:r>
              <w:t>jimo paslaugų teikėjų ar Europos Centrinio Banko. Šiuo atžvilgiu mokėjimo paslaugų teikėjai turėtų turėti galimybę skaitmeninio euro naudotojams suteikti prieigą prie mokėjimo skaitmeniniais eurais paslaugų ir jomis naudotis naudojantis Europos Centrinio B</w:t>
            </w:r>
            <w:r>
              <w:t xml:space="preserve">anko teikiamomis vartotojo sąsajos paslaugomis. Europos Centrinis Bankas ir mokėjimo paslaugų teikėjai </w:t>
            </w:r>
            <w:r>
              <w:rPr>
                <w:b/>
                <w:i/>
              </w:rPr>
              <w:t xml:space="preserve">turėtų </w:t>
            </w:r>
            <w:r>
              <w:t xml:space="preserve">įgyvendinti tinkamas technines ir organizacines priemones, įskaitant pažangiausias saugumo ir privatumo apsaugos priemones, kad </w:t>
            </w:r>
            <w:r>
              <w:rPr>
                <w:b/>
                <w:i/>
              </w:rPr>
              <w:t>būtų technologiška</w:t>
            </w:r>
            <w:r>
              <w:rPr>
                <w:b/>
                <w:i/>
              </w:rPr>
              <w:t xml:space="preserve">i neįmanoma, </w:t>
            </w:r>
            <w:r>
              <w:t>jog ECB galėtų gauti prieigos prie konkrečių skaitmeninio euro naudotojų tapatybės duomenų;</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62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 xml:space="preserve">Komisijos </w:t>
            </w:r>
            <w:r>
              <w:t>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(62)</w:t>
            </w:r>
            <w:r>
              <w:tab/>
              <w:t>siekiant išvengti kišimosi į mokėjimo paslaugų teikėjų santykius su klientais ir jų vaidmenį skaitmeninio euro platinimo procese, Europos Centrinio Banko teikiami vartotojo sąsajos sprendimai turėtų apsiriboti skaitmeninio</w:t>
            </w:r>
            <w:r>
              <w:t xml:space="preserve"> euro naudotojų ir mokėjimo paslaugų </w:t>
            </w:r>
            <w:r>
              <w:lastRenderedPageBreak/>
              <w:t xml:space="preserve">teikėjų mokėjimo infrastruktūrų sąsajos užtikrinimu. Visų pirma, Eurosistema neturėtų sutartinių santykių su skaitmeninio euro naudotojais, net jei tie naudotojai naudotųsi Europos Centrinio Banko teikiamomis vartotojo </w:t>
            </w:r>
            <w:r>
              <w:t xml:space="preserve">sąsajos paslaugomis. ECB ir mokėjimo paslaugų teikėjai įgyvendina tinkamas technines ir organizacines priemones, įskaitant pažangiausias saugumo ir privatumo apsaugos priemones, </w:t>
            </w:r>
            <w:r>
              <w:rPr>
                <w:b/>
                <w:bCs/>
                <w:i/>
                <w:iCs/>
              </w:rPr>
              <w:t>siekdami užtikrinti,</w:t>
            </w:r>
            <w:r>
              <w:t xml:space="preserve"> kad ECB </w:t>
            </w:r>
            <w:r>
              <w:rPr>
                <w:b/>
                <w:bCs/>
                <w:i/>
                <w:iCs/>
              </w:rPr>
              <w:t>pasitelkdamas savo vartotojo sąsajos sprendimą</w:t>
            </w:r>
            <w:r>
              <w:t xml:space="preserve"> </w:t>
            </w:r>
            <w:r>
              <w:rPr>
                <w:b/>
                <w:bCs/>
                <w:i/>
                <w:iCs/>
              </w:rPr>
              <w:t>ne</w:t>
            </w:r>
            <w:r>
              <w:rPr>
                <w:b/>
                <w:bCs/>
                <w:i/>
                <w:iCs/>
              </w:rPr>
              <w:t>galėtų</w:t>
            </w:r>
            <w:r>
              <w:rPr>
                <w:b/>
                <w:bCs/>
              </w:rPr>
              <w:t xml:space="preserve"> </w:t>
            </w:r>
            <w:r>
              <w:t>gauti prieigos prie konkrečių skaitmeninio euro naudotojų tapatybės duomenų;</w:t>
            </w:r>
          </w:p>
        </w:tc>
        <w:tc>
          <w:tcPr>
            <w:tcW w:w="4876" w:type="dxa"/>
            <w:hideMark/>
          </w:tcPr>
          <w:p w:rsidR="00CC11EF" w:rsidRPr="00156095" w:rsidRDefault="00B66595" w:rsidP="00CC11EF">
            <w:pPr>
              <w:pStyle w:val="Normal6"/>
              <w:rPr>
                <w:szCs w:val="24"/>
              </w:rPr>
            </w:pPr>
            <w:r>
              <w:lastRenderedPageBreak/>
              <w:t>(62)</w:t>
            </w:r>
            <w:r>
              <w:tab/>
              <w:t>siekiant išvengti kišimosi į mokėjimo paslaugų teikėjų santykius su klientais ir jų vaidmenį skaitmeninio euro platinimo procese, Europos Centrinio Banko teikiami vart</w:t>
            </w:r>
            <w:r>
              <w:t xml:space="preserve">otojo sąsajos sprendimai turėtų apsiriboti skaitmeninio euro naudotojų ir mokėjimo paslaugų </w:t>
            </w:r>
            <w:r>
              <w:lastRenderedPageBreak/>
              <w:t>teikėjų mokėjimo infrastruktūrų sąsajos užtikrinimu. Visų pirma, Eurosistema neturėtų sutartinių santykių su skaitmeninio euro naudotojais, net jei tie naudotojai n</w:t>
            </w:r>
            <w:r>
              <w:t xml:space="preserve">audotųsi Europos Centrinio Banko teikiamomis vartotojo sąsajos paslaugomis. ECB ir mokėjimo paslaugų teikėjai turėtų įgyvendinti tinkamas technines ir organizacines priemones, įskaitant pažangiausias saugumo ir privatumo apsaugos priemones, kad </w:t>
            </w:r>
            <w:r>
              <w:rPr>
                <w:b/>
                <w:bCs/>
                <w:i/>
                <w:iCs/>
              </w:rPr>
              <w:t>būtų techno</w:t>
            </w:r>
            <w:r>
              <w:rPr>
                <w:b/>
                <w:bCs/>
                <w:i/>
                <w:iCs/>
              </w:rPr>
              <w:t>logiškai neįmanoma,</w:t>
            </w:r>
            <w:r>
              <w:t xml:space="preserve"> gauti prieigos prie konkrečių skaitmeninio euro naudotojų tapatybės duomenų;</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64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w:t>
            </w:r>
            <w:r>
              <w:t xml:space="preserve">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(64)</w:t>
            </w:r>
            <w:r>
              <w:tab/>
              <w:t>siekiant užtikrinti momentinį atsiskaitymą, tiek internetinės, tiek neinternetinės mokėjimo skaitmeniniais eurais operacijos, taip pat susijusios su keitimu į skaitmeninius eurus ir keitimu iš skaitmeninių eurų, ir kaip kaskadinio</w:t>
            </w:r>
            <w:r>
              <w:t xml:space="preserve"> keitimo iš skaitmeninių eurų ir kaskadinio keitimo į skaitmeninius eurus funkcijos, įprastomis aplinkybėmis turėtų būti atliekamos iškart, vos per kelias sekundes. Atsiskaitymas atliekant internetines mokėjimo skaitmeniniais eurais operacijas turėtų vykti</w:t>
            </w:r>
            <w:r>
              <w:t xml:space="preserve"> Eurosistemos patvirtintoje atsiskaitymo skaitmeniniais eurais infrastruktūroje. Internetinės mokėjimo skaitmeniniais eurais operacijos turėtų būti atliekamos per kelias sekundes, kaip nurodyta pagal Europos Centrinio Banko patvirtintus funkcinius ir techn</w:t>
            </w:r>
            <w:r>
              <w:t xml:space="preserve">inius reikalavimus. Galutinis atsiskaitymas atliekant internetines mokėjimo skaitmeniniais eurais operacijas turėtų būti vykdomas registruojant atitinkamus mokėtojo ir gavėjo skaitmeninius eurus </w:t>
            </w:r>
            <w:r>
              <w:lastRenderedPageBreak/>
              <w:t>Europos Centrinio Banko patvirtintoje atsiskaitymo skaitmenin</w:t>
            </w:r>
            <w:r>
              <w:t>iais eurais infrastruktūroje, neatsižvelgiant į tai, ar skaitmeniniai eurai yra įtraukiami į apskaitą kaip turimos sumos likučiai arba vertės vienetai, ar į naudojamą technologiją. Atsiskaitymo skaitmeniniais eurais infrastruktūra turėtų būti siekiama užti</w:t>
            </w:r>
            <w:r>
              <w:t>krinti prisitaikymą prie naujų technologijų, įskaitant paskirstytojo registro technologiją;</w:t>
            </w:r>
          </w:p>
        </w:tc>
        <w:tc>
          <w:tcPr>
            <w:tcW w:w="4876" w:type="dxa"/>
            <w:hideMark/>
          </w:tcPr>
          <w:p w:rsidR="00CC11EF" w:rsidRPr="00156095" w:rsidRDefault="00B66595" w:rsidP="00CC11EF">
            <w:pPr>
              <w:pStyle w:val="Normal6"/>
              <w:rPr>
                <w:szCs w:val="24"/>
              </w:rPr>
            </w:pPr>
            <w:r>
              <w:lastRenderedPageBreak/>
              <w:t>(64)</w:t>
            </w:r>
            <w:r>
              <w:tab/>
              <w:t xml:space="preserve">siekiant užtikrinti momentinį atsiskaitymą, tiek internetinės, tiek neinternetinės mokėjimo skaitmeniniais eurais operacijos, taip pat susijusios su keitimu į </w:t>
            </w:r>
            <w:r>
              <w:t>skaitmeninius eurus ir keitimu iš skaitmeninių eurų, ir kaip kaskadinio keitimo iš skaitmeninių eurų ir kaskadinio keitimo į skaitmeninius eurus funkcijos, įprastomis aplinkybėmis turėtų būti atliekamos iškart, vos per kelias sekundes. Atsiskaitymas atliek</w:t>
            </w:r>
            <w:r>
              <w:t xml:space="preserve">ant internetines mokėjimo skaitmeniniais eurais operacijas turėtų vykti Eurosistemos patvirtintoje atsiskaitymo skaitmeniniais eurais infrastruktūroje. Internetinės mokėjimo skaitmeniniais eurais operacijos turėtų būti atliekamos per kelias sekundes, kaip </w:t>
            </w:r>
            <w:r>
              <w:t>nurodyta pagal Europos Centrinio Banko patvirtintus funkcinius ir techninius reikalavimus. Galutinis atsiskaitymas atliekant internetines mokėjimo skaitmeniniais eurais operacijas turėtų būti vykdomas registruojant atitinkamus mokėtojo ir gavėjo skaitmenin</w:t>
            </w:r>
            <w:r>
              <w:t xml:space="preserve">ius eurus </w:t>
            </w:r>
            <w:r>
              <w:lastRenderedPageBreak/>
              <w:t>Europos Centrinio Banko patvirtintoje atsiskaitymo skaitmeniniais eurais infrastruktūroje, neatsižvelgiant į tai, ar skaitmeniniai eurai yra įtraukiami į apskaitą kaip turimos sumos likučiai arba vertės vienetai, ar į naudojamą technologiją. Atsi</w:t>
            </w:r>
            <w:r>
              <w:t xml:space="preserve">skaitymo skaitmeniniais eurais infrastruktūra turėtų būti siekiama užtikrinti prisitaikymą prie naujų technologijų, įskaitant paskirstytojo registro technologiją; </w:t>
            </w:r>
            <w:r>
              <w:rPr>
                <w:b/>
                <w:i/>
              </w:rPr>
              <w:t>Atsižvelgiant į tai, kad atsiskaitymo infrastruktūroje saugotini duomenys yra neskelbtini, ją</w:t>
            </w:r>
            <w:r>
              <w:rPr>
                <w:b/>
                <w:i/>
              </w:rPr>
              <w:t xml:space="preserve"> plėtojant turėtų būti tinkamai atsižvelgiama į pritaikytosios ir standartizuotosios duomenų apsaugos principus, kaip apibrėžta Reglamente 2016/679, kartu įgyvendinant tinkamas apsaugos priemones šiuo atžvilgiu;</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19</w:t>
      </w:r>
      <w:r>
        <w:rPr>
          <w:rStyle w:val="HideTWBExt"/>
          <w:b w:val="0"/>
          <w:lang w:val="en-GB"/>
        </w:rPr>
        <w:t>&lt;/NumA</w:t>
      </w:r>
      <w:r>
        <w:rPr>
          <w:rStyle w:val="HideTWBExt"/>
          <w:b w:val="0"/>
          <w:lang w:val="en-GB"/>
        </w:rPr>
        <w:t>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67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(67)</w:t>
            </w:r>
            <w:r>
              <w:tab/>
              <w:t>siekiant užtikrinti laisvę sudaryti sutartis ir užtikrinti konkurenciją, skaitmeninio euro naudotojai turėtų turėti</w:t>
            </w:r>
            <w:r>
              <w:t xml:space="preserve"> galimybę savo mokėjimo skaitmeniniais eurais sąskaitas perkelti į kitų mokėjimo paslaugų teikėjų įstaigas. Skaitmeninio euro naudotojų prašymu mokėjimo paslaugų teikėjai turėtų sudaryti sąlygas perkelti mokėjimo skaitmeniniais eurais sąskaitas, palikdami </w:t>
            </w:r>
            <w:r>
              <w:t xml:space="preserve">tuos pačius sąskaitos identifikatorius. Išskirtinėmis aplinkybėmis, kai mokėjimo paslaugų teikėjas negali atlikti šios užduoties, be kita ko, dėl to, kad prarado atitinkamus su mokėjimo skaitmeniniais eurais sąskaita susijusius duomenis, Europos Centrinis </w:t>
            </w:r>
            <w:r>
              <w:t xml:space="preserve">Bankas turėtų turėti galimybę leisti perkelti mokėjimo skaitmeniniais eurais sąskaitas, kad skaitmeninio euro naudotojo paskirtas naujas mokėjimo paslaugų teikėjas galėtų </w:t>
            </w:r>
            <w:r>
              <w:lastRenderedPageBreak/>
              <w:t>gauti informaciją apie skaitmeninio euro naudotojo turimus skaitmeninius eurus ir užb</w:t>
            </w:r>
            <w:r>
              <w:t>aigti perkėlimą nesikliaudamas neprieinamu mokėjimo paslaugų teikėju. Šis procesas turėtų sudaryti sąlygas skaitmeninio euro naudotojui toliau naudotis savo skaitmeninėmis eurais per naują paskirtąjį mokėjimo paslaugų teikėją. Europos Centrinis Bankas perk</w:t>
            </w:r>
            <w:r>
              <w:t>eliant sąskaitą neatliktų jokio operatyvinio vaidmens tiek veiklos tęstinumo atveju, tiek išskirtinėmis aplinkybėmis;</w:t>
            </w:r>
          </w:p>
        </w:tc>
        <w:tc>
          <w:tcPr>
            <w:tcW w:w="4876" w:type="dxa"/>
            <w:hideMark/>
          </w:tcPr>
          <w:p w:rsidR="00CC11EF" w:rsidRPr="00156095" w:rsidRDefault="00B66595" w:rsidP="00CC11EF">
            <w:pPr>
              <w:pStyle w:val="Normal6"/>
              <w:rPr>
                <w:szCs w:val="24"/>
              </w:rPr>
            </w:pPr>
            <w:r>
              <w:lastRenderedPageBreak/>
              <w:t>(67)</w:t>
            </w:r>
            <w:r>
              <w:tab/>
              <w:t xml:space="preserve">siekiant užtikrinti laisvę sudaryti sutartis ir užtikrinti konkurenciją, skaitmeninio euro naudotojai turėtų turėti galimybę </w:t>
            </w:r>
            <w:r>
              <w:rPr>
                <w:b/>
                <w:i/>
              </w:rPr>
              <w:t>nemokama</w:t>
            </w:r>
            <w:r>
              <w:rPr>
                <w:b/>
                <w:i/>
              </w:rPr>
              <w:t>i </w:t>
            </w:r>
            <w:r>
              <w:t>savo mokėjimo skaitmeniniais eurais sąskaitas perkelti į kitų mokėjimo paslaugų teikėjų įstaigas. Skaitmeninio euro naudotojų prašymu mokėjimo paslaugų teikėjai turėtų sudaryti sąlygas perkelti mokėjimo skaitmeniniais eurais sąskaitas, palikdami tuos pač</w:t>
            </w:r>
            <w:r>
              <w:t>ius sąskaitos identifikatorius. Išskirtinėmis aplinkybėmis, kai mokėjimo paslaugų teikėjas negali atlikti šios užduoties, be kita ko, dėl to, kad prarado atitinkamus su mokėjimo skaitmeniniais eurais sąskaita susijusius duomenis, Europos Centrinis Bankas t</w:t>
            </w:r>
            <w:r>
              <w:t xml:space="preserve">urėtų turėti galimybę leisti perkelti mokėjimo skaitmeniniais eurais sąskaitas, kad skaitmeninio euro naudotojo paskirtas naujas mokėjimo paslaugų teikėjas galėtų </w:t>
            </w:r>
            <w:r>
              <w:lastRenderedPageBreak/>
              <w:t>gauti informaciją apie skaitmeninio euro naudotojo turimus skaitmeninius eurus ir užbaigti pe</w:t>
            </w:r>
            <w:r>
              <w:t>rkėlimą nesikliaudamas neprieinamu mokėjimo paslaugų teikėju. Šis procesas turėtų sudaryti sąlygas skaitmeninio euro naudotojui toliau naudotis savo skaitmeninėmis eurais per naują paskirtąjį mokėjimo paslaugų teikėją. Europos Centrinis Bankas perkeliant s</w:t>
            </w:r>
            <w:r>
              <w:t>ąskaitą neatliktų jokio operatyvinio vaidmens tiek veiklos tęstinumo atveju, tiek išskirtinėmis aplinkybėmis;</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20</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68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(68)</w:t>
            </w:r>
            <w:r>
              <w:tab/>
              <w:t>mokėjimo paslaugų teikėjų sukčiavimo prevencija yra labai svarbi siekiant apsaugoti skaitmeninį eurą naudojančius piliečius bei asmens duomenų, tvarkomų atliekant mokėjimus skaitmeniniais eurais, vientisumą ir už</w:t>
            </w:r>
            <w:r>
              <w:t>tikrinti sklandų ir veiksmingą skaitmeninio euro veikimą. Sukčiavimo prevencija atlieka esminį vaidmenį išsaugant pasitikėjimą bendra valiuta. Šiuo tikslu Europos Centrinis Bankas gali nustatyti bendrą sukčiavimo nustatymo ir prevencijos mechanizmą, kad pa</w:t>
            </w:r>
            <w:r>
              <w:t>dėtų mokėjimo paslaugų teikėjams vykdyti sukčiavimo valdymo veiklą, susijusią su internetinėmis mokėjimo skaitmeniniais eurais operacijomis. Bendras sukčiavimo nustatymo ir prevencijos mechanizmas atlieka įvairias esmines funkcijas, padedančias nustatyti s</w:t>
            </w:r>
            <w:r>
              <w:t>ukčiavimo modelius, kurių vienas mokėjimo paslaugų teikėjas pats negalėtų nustatyti. Neretai vienas mokėjimo paslaugų teikėjas neturi išsamaus vaizdo apie visus elementus, kurie galėtų padėti laiku nustatyti sukčiavimo atvejus. Tačiau galima užtikrinti did</w:t>
            </w:r>
            <w:r>
              <w:t xml:space="preserve">esnį veiksmingumą, jei iš kitų </w:t>
            </w:r>
            <w:r>
              <w:lastRenderedPageBreak/>
              <w:t>mokėjimo paslaugų teikėjų gaunama informacija apie galimai nesąžiningą veiklą. Ši bendra sukčiavimo nustatymo funkcija egzistuoja panašiose mokėjimo sistemose ir yra būtina norint pasiekti akivaizdžiai mažus sukčiavimo rodikl</w:t>
            </w:r>
            <w:r>
              <w:t>ius, kad skaitmeninis euras išliktų saugus tiek vartotojams, tiek prekybininkams. Informacijos perdavimui tarp MPT ir sukčiavimo nustatymo bei prevencijos mechanizmui turėtų būti taikomos pažangiausios saugumo ir privatumo apsaugos priemonės, siekiant užti</w:t>
            </w:r>
            <w:r>
              <w:t>krinti, kad taikant centrinį sukčiavimo nustatymo ir prevencijos mechanizmą nebūtų nustatoma pavienių skaitmeninio euro naudotojų tapatybė</w:t>
            </w:r>
            <w:r>
              <w:rPr>
                <w:b/>
                <w:i/>
              </w:rPr>
              <w:t>;</w:t>
            </w:r>
          </w:p>
        </w:tc>
        <w:tc>
          <w:tcPr>
            <w:tcW w:w="4876" w:type="dxa"/>
            <w:hideMark/>
          </w:tcPr>
          <w:p w:rsidR="00CC11EF" w:rsidRPr="00156095" w:rsidRDefault="00B66595" w:rsidP="00CC11EF">
            <w:pPr>
              <w:pStyle w:val="Normal6"/>
              <w:rPr>
                <w:szCs w:val="24"/>
              </w:rPr>
            </w:pPr>
            <w:r>
              <w:lastRenderedPageBreak/>
              <w:t>(68)</w:t>
            </w:r>
            <w:r>
              <w:tab/>
              <w:t>mokėjimo paslaugų teikėjų sukčiavimo prevencija yra labai svarbi siekiant apsaugoti skaitmeninį eurą naudojanči</w:t>
            </w:r>
            <w:r>
              <w:t xml:space="preserve">us piliečius bei asmens duomenų, tvarkomų atliekant mokėjimus skaitmeniniais eurais, vientisumą ir užtikrinti sklandų ir veiksmingą skaitmeninio euro veikimą. Sukčiavimo prevencija atlieka esminį vaidmenį išsaugant pasitikėjimą bendra valiuta. Šiuo tikslu </w:t>
            </w:r>
            <w:r>
              <w:t>Europos Centrinis Bankas gali nustatyti bendrą sukčiavimo nustatymo ir prevencijos mechanizmą, kad padėtų mokėjimo paslaugų teikėjams vykdyti sukčiavimo valdymo veiklą, susijusią su internetinėmis mokėjimo skaitmeniniais eurais operacijomis. Bendras sukčia</w:t>
            </w:r>
            <w:r>
              <w:t xml:space="preserve">vimo nustatymo ir prevencijos mechanizmas atlieka įvairias esmines funkcijas, padedančias nustatyti sukčiavimo modelius, kurių vienas mokėjimo paslaugų teikėjas pats negalėtų nustatyti. Neretai vienas mokėjimo paslaugų teikėjas neturi išsamaus vaizdo apie </w:t>
            </w:r>
            <w:r>
              <w:t xml:space="preserve">visus elementus, kurie galėtų padėti laiku nustatyti sukčiavimo atvejus. Tačiau galima užtikrinti didesnį veiksmingumą, jei iš kitų </w:t>
            </w:r>
            <w:r>
              <w:lastRenderedPageBreak/>
              <w:t>mokėjimo paslaugų teikėjų gaunama informacija apie galimai nesąžiningą veiklą. Ši bendra sukčiavimo nustatymo funkcija egzis</w:t>
            </w:r>
            <w:r>
              <w:t xml:space="preserve">tuoja panašiose mokėjimo sistemose ir yra būtina norint pasiekti akivaizdžiai mažus sukčiavimo rodiklius, kad skaitmeninis euras išliktų saugus tiek vartotojams, tiek prekybininkams. Informacijos perdavimui tarp MPT ir sukčiavimo nustatymo bei prevencijos </w:t>
            </w:r>
            <w:r>
              <w:t>mechanizmui turėtų būti taikomos pažangiausios saugumo ir privatumo apsaugos priemonės, siekiant užtikrinti, kad taikant centrinį sukčiavimo nustatymo ir prevencijos mechanizmą nebūtų nustatoma pavienių skaitmeninio euro naudotojų tapatybė</w:t>
            </w:r>
            <w:r>
              <w:rPr>
                <w:b/>
                <w:i/>
              </w:rPr>
              <w:t>, o taip pat tink</w:t>
            </w:r>
            <w:r>
              <w:rPr>
                <w:b/>
                <w:i/>
              </w:rPr>
              <w:t>amos apsaugos priemonės, kuriomis užkertamas kelias algoritminiam šališkumui.</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21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70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(70)</w:t>
            </w:r>
            <w:r>
              <w:tab/>
              <w:t>privatumo ir asmens duomenų apsaugos teisės yra pagrindinės teisės, įtvirtintos Europos Sąjungos pagrindinių teisių chartijos 7 ir 8 straipsniuose. Kaip pabrėžė Europos duomenų apsaugos valdyba</w:t>
            </w:r>
            <w:r>
              <w:rPr>
                <w:vertAlign w:val="superscript"/>
              </w:rPr>
              <w:t>34</w:t>
            </w:r>
            <w:r>
              <w:t xml:space="preserve">, aukšti privatumo ir duomenų apsaugos standartai yra </w:t>
            </w:r>
            <w:r>
              <w:t>itin svarbūs siekiant užtikrinti europiečių pasitikėjimą būsimu skaitmeniniu euru. Tai taip pat atitinka G7 viešosios politikos principus dėl mažmeninių centrinio banko skaitmeninių valiutų. Asmens duomenys siekiant laikytis reikalavimų ir šio reglamento k</w:t>
            </w:r>
            <w:r>
              <w:t>ontekste būtų tvarkomi laikantis Reglamento (ES) 2016/679</w:t>
            </w:r>
            <w:r>
              <w:rPr>
                <w:vertAlign w:val="superscript"/>
              </w:rPr>
              <w:t>35</w:t>
            </w:r>
            <w:r>
              <w:t xml:space="preserve"> ir Reglamento (ES) 2018/</w:t>
            </w:r>
            <w:r>
              <w:rPr>
                <w:b/>
                <w:i/>
              </w:rPr>
              <w:t>1715</w:t>
            </w:r>
            <w:r>
              <w:rPr>
                <w:b/>
                <w:i/>
                <w:vertAlign w:val="superscript"/>
              </w:rPr>
              <w:t>36</w:t>
            </w:r>
            <w:r>
              <w:t>, taip pat, kai taikytina, Direktyvos 2002/58/EB</w:t>
            </w:r>
            <w:r>
              <w:rPr>
                <w:vertAlign w:val="superscript"/>
              </w:rPr>
              <w:t>37</w:t>
            </w:r>
            <w:r>
              <w:rPr>
                <w:b/>
                <w:i/>
              </w:rPr>
              <w:t>;</w:t>
            </w:r>
          </w:p>
        </w:tc>
        <w:tc>
          <w:tcPr>
            <w:tcW w:w="4876" w:type="dxa"/>
            <w:hideMark/>
          </w:tcPr>
          <w:p w:rsidR="00CC11EF" w:rsidRPr="00156095" w:rsidRDefault="00B66595" w:rsidP="00CC11EF">
            <w:pPr>
              <w:pStyle w:val="Normal6"/>
              <w:rPr>
                <w:szCs w:val="24"/>
              </w:rPr>
            </w:pPr>
            <w:r>
              <w:t>(70)</w:t>
            </w:r>
            <w:r>
              <w:tab/>
              <w:t xml:space="preserve">privatumo ir asmens duomenų apsaugos teisės yra pagrindinės teisės, įtvirtintos Europos Sąjungos pagrindinių </w:t>
            </w:r>
            <w:r>
              <w:t>teisių chartijos 7 ir 8 straipsniuose. Kaip pabrėžė Europos duomenų apsaugos valdyba</w:t>
            </w:r>
            <w:r>
              <w:rPr>
                <w:vertAlign w:val="superscript"/>
              </w:rPr>
              <w:t>34</w:t>
            </w:r>
            <w:r>
              <w:t>, aukšti privatumo ir duomenų apsaugos standartai yra itin svarbūs siekiant užtikrinti europiečių pasitikėjimą būsimu skaitmeniniu euru. Tai taip pat atitinka G7 viešosio</w:t>
            </w:r>
            <w:r>
              <w:t>s politikos principus dėl mažmeninių centrinio banko skaitmeninių valiutų. Asmens duomenys siekiant laikytis reikalavimų ir šio reglamento kontekste būtų tvarkomi laikantis Reglamento (ES) 2016/679</w:t>
            </w:r>
            <w:r>
              <w:rPr>
                <w:vertAlign w:val="superscript"/>
              </w:rPr>
              <w:t>35</w:t>
            </w:r>
            <w:r>
              <w:t xml:space="preserve"> ir Reglamento (ES) 2018/</w:t>
            </w:r>
            <w:r>
              <w:rPr>
                <w:b/>
                <w:i/>
              </w:rPr>
              <w:t>1725</w:t>
            </w:r>
            <w:r>
              <w:rPr>
                <w:b/>
                <w:i/>
                <w:vertAlign w:val="superscript"/>
              </w:rPr>
              <w:t>36</w:t>
            </w:r>
            <w:r>
              <w:t>, taip pat, kai taikytina,</w:t>
            </w:r>
            <w:r>
              <w:t xml:space="preserve"> Direktyvos 2002/58/EB</w:t>
            </w:r>
            <w:r>
              <w:rPr>
                <w:vertAlign w:val="superscript"/>
              </w:rPr>
              <w:t>37</w:t>
            </w:r>
            <w:r>
              <w:rPr>
                <w:b/>
                <w:i/>
              </w:rPr>
              <w:t xml:space="preserve">, visų pirma laikantis pritaikytosios ir standartizuotosios duomenų apsaugos </w:t>
            </w:r>
            <w:r>
              <w:rPr>
                <w:b/>
                <w:i/>
              </w:rPr>
              <w:lastRenderedPageBreak/>
              <w:t>principų.</w:t>
            </w:r>
          </w:p>
        </w:tc>
      </w:tr>
      <w:tr w:rsidR="009525CF" w:rsidTr="00CC11EF">
        <w:trPr>
          <w:jc w:val="center"/>
        </w:trPr>
        <w:tc>
          <w:tcPr>
            <w:tcW w:w="4876" w:type="dxa"/>
            <w:hideMark/>
          </w:tcPr>
          <w:p w:rsidR="00CC11EF" w:rsidRPr="00156095" w:rsidRDefault="00B66595" w:rsidP="00CC11EF">
            <w:pPr>
              <w:pStyle w:val="Normal6"/>
            </w:pPr>
            <w:r>
              <w:lastRenderedPageBreak/>
              <w:t>__________________</w:t>
            </w:r>
          </w:p>
        </w:tc>
        <w:tc>
          <w:tcPr>
            <w:tcW w:w="4876" w:type="dxa"/>
            <w:hideMark/>
          </w:tcPr>
          <w:p w:rsidR="00CC11EF" w:rsidRPr="00156095" w:rsidRDefault="00B66595" w:rsidP="00CC11EF">
            <w:pPr>
              <w:pStyle w:val="Normal6"/>
              <w:rPr>
                <w:szCs w:val="24"/>
              </w:rPr>
            </w:pPr>
            <w:r>
              <w:t>__________________</w:t>
            </w:r>
          </w:p>
        </w:tc>
      </w:tr>
      <w:tr w:rsidR="009525CF" w:rsidTr="00CC11EF">
        <w:trPr>
          <w:jc w:val="center"/>
        </w:trPr>
        <w:tc>
          <w:tcPr>
            <w:tcW w:w="4876" w:type="dxa"/>
            <w:hideMark/>
          </w:tcPr>
          <w:p w:rsidR="00CC11EF" w:rsidRPr="00156095" w:rsidRDefault="00B66595" w:rsidP="00CC11EF">
            <w:pPr>
              <w:pStyle w:val="Normal6"/>
            </w:pPr>
            <w:r>
              <w:rPr>
                <w:vertAlign w:val="superscript"/>
              </w:rPr>
              <w:t>34</w:t>
            </w:r>
            <w:r>
              <w:t xml:space="preserve"> 2022 m. spalio 10 d. priimtas pareiškimas dėl skaitmeninio euro dizaino pasirinkimo privatumo ir duomenų apsaugos požiūriu.</w:t>
            </w:r>
          </w:p>
        </w:tc>
        <w:tc>
          <w:tcPr>
            <w:tcW w:w="4876" w:type="dxa"/>
            <w:hideMark/>
          </w:tcPr>
          <w:p w:rsidR="00CC11EF" w:rsidRPr="00156095" w:rsidRDefault="00B66595" w:rsidP="00CC11EF">
            <w:pPr>
              <w:pStyle w:val="Normal6"/>
              <w:rPr>
                <w:szCs w:val="24"/>
              </w:rPr>
            </w:pPr>
            <w:r>
              <w:rPr>
                <w:vertAlign w:val="superscript"/>
              </w:rPr>
              <w:t>34</w:t>
            </w:r>
            <w:r>
              <w:t xml:space="preserve"> 2022 m. spalio 10 d. priimtas pareiškimas dėl skaitmeninio euro dizaino pasirinkimo privatumo ir duomenų apsaugos požiūriu.</w:t>
            </w:r>
          </w:p>
        </w:tc>
      </w:tr>
      <w:tr w:rsidR="009525CF" w:rsidTr="00CC11EF">
        <w:trPr>
          <w:jc w:val="center"/>
        </w:trPr>
        <w:tc>
          <w:tcPr>
            <w:tcW w:w="4876" w:type="dxa"/>
            <w:hideMark/>
          </w:tcPr>
          <w:p w:rsidR="00CC11EF" w:rsidRPr="00156095" w:rsidRDefault="00B66595" w:rsidP="00CC11EF">
            <w:pPr>
              <w:pStyle w:val="Normal6"/>
            </w:pPr>
            <w:r>
              <w:rPr>
                <w:vertAlign w:val="superscript"/>
              </w:rPr>
              <w:t>35</w:t>
            </w:r>
            <w:r>
              <w:t xml:space="preserve"> </w:t>
            </w:r>
            <w:r>
              <w:t>2016 m. balandžio 27 d. Europos Parlamento ir Tarybos reglamentas (ES) 2016/679 dėl fizinių asmenų apsaugos tvarkant asmens duomenis ir dėl laisvo tokių duomenų judėjimo ir kuriuo panaikinama Direktyva 95/46/EB (Bendrasis duomenų apsaugos reglamentas) (OL </w:t>
            </w:r>
            <w:r>
              <w:t>L 119, 2016 5 4, p. 1–88).</w:t>
            </w:r>
          </w:p>
        </w:tc>
        <w:tc>
          <w:tcPr>
            <w:tcW w:w="4876" w:type="dxa"/>
            <w:hideMark/>
          </w:tcPr>
          <w:p w:rsidR="00CC11EF" w:rsidRPr="00156095" w:rsidRDefault="00B66595" w:rsidP="00CC11EF">
            <w:pPr>
              <w:pStyle w:val="Normal6"/>
              <w:rPr>
                <w:szCs w:val="24"/>
              </w:rPr>
            </w:pPr>
            <w:r>
              <w:rPr>
                <w:vertAlign w:val="superscript"/>
              </w:rPr>
              <w:t>35</w:t>
            </w:r>
            <w:r>
              <w:t xml:space="preserve"> 2016 m. balandžio 27 d. Europos Parlamento ir Tarybos reglamentas (ES) 2016/679 dėl fizinių asmenų apsaugos tvarkant asmens duomenis ir dėl laisvo tokių duomenų judėjimo ir kuriuo panaikinama Direktyva 95/46/EB (Bendrasis duom</w:t>
            </w:r>
            <w:r>
              <w:t>enų apsaugos reglamentas) (OL L 119, 2016 5 4, p. 1–88).</w:t>
            </w:r>
          </w:p>
        </w:tc>
      </w:tr>
      <w:tr w:rsidR="009525CF" w:rsidTr="00CC11EF">
        <w:trPr>
          <w:jc w:val="center"/>
        </w:trPr>
        <w:tc>
          <w:tcPr>
            <w:tcW w:w="4876" w:type="dxa"/>
            <w:hideMark/>
          </w:tcPr>
          <w:p w:rsidR="00CC11EF" w:rsidRPr="00156095" w:rsidRDefault="00B66595" w:rsidP="00CC11EF">
            <w:pPr>
              <w:pStyle w:val="Normal6"/>
            </w:pPr>
            <w:r>
              <w:rPr>
                <w:vertAlign w:val="superscript"/>
              </w:rPr>
              <w:t>36</w:t>
            </w:r>
            <w:r>
              <w:t xml:space="preserve"> 2018 m. spalio 23 d. Europos Parlamento ir Tarybos reglamentas (ES) 2018/1725 dėl fizinių asmenų apsaugos Sąjungos institucijoms, organams, tarnyboms ir agentūroms tvarkant asmens duomenis ir dėl</w:t>
            </w:r>
            <w:r>
              <w:t xml:space="preserve"> laisvo tokių duomenų judėjimo, kuriuo panaikinamas Reglamentas (EB) Nr. 45/2001 ir Sprendimas Nr. 1247/2002/EB (OL L 295, 2018 11 21, p. 39–98).</w:t>
            </w:r>
          </w:p>
        </w:tc>
        <w:tc>
          <w:tcPr>
            <w:tcW w:w="4876" w:type="dxa"/>
            <w:hideMark/>
          </w:tcPr>
          <w:p w:rsidR="00CC11EF" w:rsidRPr="00156095" w:rsidRDefault="00B66595" w:rsidP="00CC11EF">
            <w:pPr>
              <w:pStyle w:val="Normal6"/>
              <w:rPr>
                <w:szCs w:val="24"/>
              </w:rPr>
            </w:pPr>
            <w:r>
              <w:rPr>
                <w:vertAlign w:val="superscript"/>
              </w:rPr>
              <w:t>36</w:t>
            </w:r>
            <w:r>
              <w:t xml:space="preserve"> 2018 m. spalio 23 d. Europos Parlamento ir Tarybos reglamentas (ES) 2018/1725 dėl fizinių asmenų apsaugos S</w:t>
            </w:r>
            <w:r>
              <w:t>ąjungos institucijoms, organams, tarnyboms ir agentūroms tvarkant asmens duomenis ir dėl laisvo tokių duomenų judėjimo, kuriuo panaikinamas Reglamentas (EB) Nr. 45/2001 ir Sprendimas Nr. 1247/2002/EB (OL L 295, 2018 11 21, p. 39–98).</w:t>
            </w:r>
          </w:p>
        </w:tc>
      </w:tr>
      <w:tr w:rsidR="009525CF" w:rsidTr="00CC11EF">
        <w:trPr>
          <w:jc w:val="center"/>
        </w:trPr>
        <w:tc>
          <w:tcPr>
            <w:tcW w:w="4876" w:type="dxa"/>
            <w:hideMark/>
          </w:tcPr>
          <w:p w:rsidR="00CC11EF" w:rsidRPr="00156095" w:rsidRDefault="00B66595" w:rsidP="00CC11EF">
            <w:pPr>
              <w:pStyle w:val="Normal6"/>
            </w:pPr>
            <w:r>
              <w:rPr>
                <w:vertAlign w:val="superscript"/>
              </w:rPr>
              <w:t>37</w:t>
            </w:r>
            <w:r>
              <w:t xml:space="preserve"> 2002 m. liepos 12 </w:t>
            </w:r>
            <w:r>
              <w:t>d. Europos Parlamento ir Tarybos direktyva 2002/58/EB dėl asmens duomenų tvarkymo ir privatumo apsaugos elektroninių ryšių sektoriuje (OL L 201, 2002 7 31, p. 37).</w:t>
            </w:r>
          </w:p>
        </w:tc>
        <w:tc>
          <w:tcPr>
            <w:tcW w:w="4876" w:type="dxa"/>
            <w:hideMark/>
          </w:tcPr>
          <w:p w:rsidR="00CC11EF" w:rsidRPr="00156095" w:rsidRDefault="00B66595" w:rsidP="00CC11EF">
            <w:pPr>
              <w:pStyle w:val="Normal6"/>
              <w:rPr>
                <w:szCs w:val="24"/>
              </w:rPr>
            </w:pPr>
            <w:r>
              <w:rPr>
                <w:vertAlign w:val="superscript"/>
              </w:rPr>
              <w:t>37</w:t>
            </w:r>
            <w:r>
              <w:t xml:space="preserve"> 2002 m. liepos 12 d. Europos Parlamento ir Tarybos direktyva 2002/58/EB dėl asmens duomenų tvarkymo ir privatumo apsaugos elektroninių ryšių sektoriuje (OL L 201, 2002 7 31, p. 37).</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22</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 xml:space="preserve">Pasiūlymas dėl </w:t>
      </w:r>
      <w:r>
        <w:t>reglamento</w:t>
      </w:r>
      <w:r>
        <w:rPr>
          <w:rStyle w:val="HideTWBExt"/>
          <w:b w:val="0"/>
        </w:rPr>
        <w:t>&lt;/DocAmend&gt;</w:t>
      </w:r>
    </w:p>
    <w:p w:rsidR="00CC11EF" w:rsidRPr="00156095" w:rsidRDefault="00B66595" w:rsidP="00CC11EF">
      <w:pPr>
        <w:pStyle w:val="NormalBold"/>
      </w:pPr>
      <w:r>
        <w:rPr>
          <w:rStyle w:val="HideTWBExt"/>
          <w:b w:val="0"/>
        </w:rPr>
        <w:t>&lt;Article&gt;</w:t>
      </w:r>
      <w:r>
        <w:t>71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(71)</w:t>
            </w:r>
            <w:r>
              <w:tab/>
              <w:t xml:space="preserve">taigi skaitmeninis euras turėtų būti sukurtas taip, kad mokėjimo paslaugų teikėjai ir Europos Centrinis Bankas tvarkytų kuo mažiau asmens </w:t>
            </w:r>
            <w:r>
              <w:t xml:space="preserve">duomenų – tik tiek, kad būtų užtikrintas tinkamas skaitmeninio euro veikimas. Naudotis skaitmeniniu euru turėtų būti galima ne </w:t>
            </w:r>
            <w:r>
              <w:lastRenderedPageBreak/>
              <w:t>internetu, o jo privatumo lygis mokėjimo paslaugų teikėjų atžvilgiu būtų panašus į banknotų išėmimą bankomatuose. Atsiskaitymas a</w:t>
            </w:r>
            <w:r>
              <w:t>tliekant operacijas skaitmeniniais eurais vyks taip, kad nei Europos Centrinis Bankas, nei nacionaliniai centriniai bankai negalėtų priskirti duomenų skaitmeninio euro naudotojui, kurio tapatybė nustatyta arba gali būti nustatyta;</w:t>
            </w:r>
          </w:p>
        </w:tc>
        <w:tc>
          <w:tcPr>
            <w:tcW w:w="4876" w:type="dxa"/>
            <w:hideMark/>
          </w:tcPr>
          <w:p w:rsidR="00CC11EF" w:rsidRPr="00156095" w:rsidRDefault="00B66595" w:rsidP="00CC11EF">
            <w:pPr>
              <w:pStyle w:val="Normal6"/>
              <w:rPr>
                <w:szCs w:val="24"/>
              </w:rPr>
            </w:pPr>
            <w:r>
              <w:lastRenderedPageBreak/>
              <w:t>(71)</w:t>
            </w:r>
            <w:r>
              <w:tab/>
              <w:t>taigi skaitmeninis e</w:t>
            </w:r>
            <w:r>
              <w:t>uras turėtų būti sukurtas taip, kad mokėjimo paslaugų teikėjai ir Europos Centrinis Bankas tvarkytų kuo mažiau asmens duomenų – tik tiek, kad būtų užtikrintas tinkamas skaitmeninio euro veikimas</w:t>
            </w:r>
            <w:r>
              <w:rPr>
                <w:b/>
                <w:i/>
              </w:rPr>
              <w:t>, kaip nurodyta BDAR 5 straipsnio 1 dalies c punkte</w:t>
            </w:r>
            <w:r>
              <w:t xml:space="preserve">. </w:t>
            </w:r>
            <w:r>
              <w:lastRenderedPageBreak/>
              <w:t>Nau</w:t>
            </w:r>
            <w:r>
              <w:t xml:space="preserve">dotis </w:t>
            </w:r>
            <w:r>
              <w:t xml:space="preserve">skaitmeniniu euru turėtų būti galima ne internetu, o jo privatumo lygis mokėjimo paslaugų teikėjų atžvilgiu būtų panašus į banknotų išėmimą bankomatuose. Atsiskaitymas atliekant operacijas skaitmeniniais eurais vyks taip, kad nei Europos Centrinis Bankas, </w:t>
            </w:r>
            <w:r>
              <w:t xml:space="preserve">nei nacionaliniai centriniai bankai negalėtų priskirti duomenų skaitmeninio euro naudotojui, kurio tapatybė nustatyta arba gali būti nustatyta; </w:t>
            </w:r>
            <w:r>
              <w:rPr>
                <w:b/>
                <w:i/>
              </w:rPr>
              <w:t xml:space="preserve">Be to, tapatumo patvirtinimo ir tapatybės nustatymo tikslais ir laikydamiesi Reglamente (ES) 2016/679 nustatytų </w:t>
            </w:r>
            <w:r>
              <w:rPr>
                <w:b/>
                <w:i/>
              </w:rPr>
              <w:t>duomenų kiekio mažinimo ir pritaikytosios bei standartizuotosios privatumo apsaugos principų, mokėjimo paslaugų teikėjai turėtų automatiškai pateikti tapatumo patvirtinimo ir tapatybės nustatymo metodus, kurie nėra grindžiami biometriniais duomenimis.</w:t>
            </w:r>
          </w:p>
        </w:tc>
      </w:tr>
    </w:tbl>
    <w:p w:rsidR="00CC11EF" w:rsidRPr="00156095" w:rsidRDefault="00B66595" w:rsidP="00CC11EF">
      <w:r>
        <w:rPr>
          <w:rStyle w:val="HideTWBExt"/>
        </w:rPr>
        <w:lastRenderedPageBreak/>
        <w:t>&lt;/A</w:t>
      </w:r>
      <w:r>
        <w:rPr>
          <w:rStyle w:val="HideTWBExt"/>
        </w:rPr>
        <w:t>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23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72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(72)</w:t>
            </w:r>
            <w:r>
              <w:tab/>
              <w:t>visose įgyvendinant šį reglamentą sukurtose ir naudojamose duomenų tvarkymo</w:t>
            </w:r>
            <w:r>
              <w:t xml:space="preserve"> sistemose turėtų būti įdiegta pritaikytoji duomenų apsauga ir standartizuotoji duomenų apsauga. Asmens duomenų tvarkymui turėtų būti taikomos tinkamos apsaugos priemonės duomenų subjekto teisėms ir laisvėms apsaugoti. Tomis apsaugos priemonėmis turėtų būt</w:t>
            </w:r>
            <w:r>
              <w:t>i užtikrinta, kad būtų įdiegtos techninės ir organizacinės priemonės, visų pirma siekiant užtikrinti, kad būtų laikomasi reglamentuose (ES) 2016/679 ir (ES) 2018/</w:t>
            </w:r>
            <w:r>
              <w:rPr>
                <w:b/>
                <w:i/>
              </w:rPr>
              <w:t>1715</w:t>
            </w:r>
            <w:r>
              <w:t xml:space="preserve"> nustatytų duomenų apsaugos principų, įskaitant duomenų kiekio mažinimą ir tikslų apriboji</w:t>
            </w:r>
            <w:r>
              <w:t>mą;</w:t>
            </w:r>
          </w:p>
        </w:tc>
        <w:tc>
          <w:tcPr>
            <w:tcW w:w="4876" w:type="dxa"/>
            <w:hideMark/>
          </w:tcPr>
          <w:p w:rsidR="00CC11EF" w:rsidRPr="00156095" w:rsidRDefault="00B66595" w:rsidP="00CC11EF">
            <w:pPr>
              <w:pStyle w:val="Normal6"/>
              <w:rPr>
                <w:szCs w:val="24"/>
              </w:rPr>
            </w:pPr>
            <w:r>
              <w:t>(72)</w:t>
            </w:r>
            <w:r>
              <w:tab/>
              <w:t>visose įgyvendinant šį reglamentą sukurtose ir naudojamose duomenų tvarkymo sistemose turėtų būti įdiegta pritaikytoji duomenų apsauga ir standartizuotoji duomenų apsauga. Asmens duomenų tvarkymui turėtų būti taikomos tinkamos apsaugos priemonės d</w:t>
            </w:r>
            <w:r>
              <w:t>uomenų subjekto teisėms ir laisvėms apsaugoti. Tomis apsaugos priemonėmis turėtų būti užtikrinta, kad būtų įdiegtos techninės ir organizacinės priemonės, visų pirma siekiant užtikrinti, kad būtų laikomasi reglamentuose (ES) 2016/679 ir (ES) 2018/</w:t>
            </w:r>
            <w:r>
              <w:rPr>
                <w:b/>
                <w:i/>
              </w:rPr>
              <w:t>1725</w:t>
            </w:r>
            <w:r>
              <w:t xml:space="preserve"> nusta</w:t>
            </w:r>
            <w:r>
              <w:t xml:space="preserve">tytų duomenų apsaugos principų, įskaitant duomenų kiekio mažinimą ir tikslų apribojimą; </w:t>
            </w:r>
            <w:r>
              <w:rPr>
                <w:b/>
                <w:i/>
              </w:rPr>
              <w:t xml:space="preserve">Europos duomenų apsaugos valdyba, pasikonsultavusi su Europos centriniu </w:t>
            </w:r>
            <w:r>
              <w:rPr>
                <w:b/>
                <w:i/>
              </w:rPr>
              <w:lastRenderedPageBreak/>
              <w:t>banku, gali paskelbti gaires dėl tinkamų techninių ir organizacinių priemonių, įskaitant pseudon</w:t>
            </w:r>
            <w:r>
              <w:rPr>
                <w:b/>
                <w:i/>
              </w:rPr>
              <w:t>imų suteikimo metodus skaitmeninio euro tikslais, įgyvendinimo.</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24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73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(73)</w:t>
            </w:r>
            <w:r>
              <w:tab/>
            </w:r>
            <w:r>
              <w:t xml:space="preserve">mokėjimo paslaugų teikėjai turėtų turėti galimybę tvarkyti asmens duomenis tiek, kiek tai būtina užduotims, kurios yra būtinos tinkamam skaitmeninio euro veikimui, atlikti. Pagal Reglamento (ES) 2016/679 6 straipsnio 1 dalies c punktą su skaitmeniniu euru </w:t>
            </w:r>
            <w:r>
              <w:t>susijusi duomenų tvarkymo veikla turėtų būti laikoma teisėta, jei ir tiek, kiek ji būtina siekiant įvykdyti teisinę pareigą, kuri duomenų valdytojui taikoma pagal šį reglamentą. Pagal šį reglamentą asmens duomenų tvarkymas siekiant užtikrinti turimos sumos</w:t>
            </w:r>
            <w:r>
              <w:t xml:space="preserve"> ribų laikymąsi, naudotojų turimos sumos keitimo į skaitmeninius eurus ir keitimo iš skaitmeninių eurų inicijavimas, taip pat vietinių kaupiklių, skirtų neinternetiniams mokėjimams skaitmeniniais eurais, valdymas yra viešojo intereso užduotys, kurios yra l</w:t>
            </w:r>
            <w:r>
              <w:t>abai svarbios siekiant apsaugoti skaitmeninį eurą naudojančius piliečius, taip pat užtikrinti Sąjungos finansų sistemos stabilumą ir vientisumą. Atliekant šias užduotis, mokėjimo paslaugų teikėjai bus asmens duomenų valdytojai. Be to, mokėjimo paslaugų tei</w:t>
            </w:r>
            <w:r>
              <w:t xml:space="preserve">kėjai gali tvarkyti asmens duomenis, </w:t>
            </w:r>
            <w:r>
              <w:rPr>
                <w:b/>
                <w:bCs/>
                <w:i/>
                <w:iCs/>
              </w:rPr>
              <w:t>kad įvykdytų esamas viešojo intereso užduotis arba</w:t>
            </w:r>
            <w:r>
              <w:t xml:space="preserve"> Sąjungos teisėje, kuri taikoma Direktyvoje (ES) 2015/2366 apibrėžtoms lėšoms, nustatytą teisinę pareigą. Šios užduotys taikomos mokėjimo paslaugų teikimui ir sukčiavimo</w:t>
            </w:r>
            <w:r>
              <w:t xml:space="preserve"> prevencijai bei nustatymui pagal Direktyvą (ES) 2015/2366, kovai su pinigų plovimu ir </w:t>
            </w:r>
            <w:r>
              <w:lastRenderedPageBreak/>
              <w:t>terorizmo finansavimu pagal Direktyvą (ES) 2015/849, pareigų, susijusių su apmokestinimu ir mokesčių vengimu, vykdymui ir operacinės bei saugumo rizikos valdymui pagal R</w:t>
            </w:r>
            <w:r>
              <w:t>eglamentą (ES) 2022/255;</w:t>
            </w:r>
          </w:p>
        </w:tc>
        <w:tc>
          <w:tcPr>
            <w:tcW w:w="4876" w:type="dxa"/>
            <w:hideMark/>
          </w:tcPr>
          <w:p w:rsidR="00CC11EF" w:rsidRPr="00156095" w:rsidRDefault="00B66595" w:rsidP="00CC11EF">
            <w:pPr>
              <w:pStyle w:val="Normal6"/>
              <w:rPr>
                <w:szCs w:val="24"/>
              </w:rPr>
            </w:pPr>
            <w:r>
              <w:lastRenderedPageBreak/>
              <w:t>(73)</w:t>
            </w:r>
            <w:r>
              <w:tab/>
              <w:t xml:space="preserve">mokėjimo paslaugų teikėjai turėtų turėti galimybę tvarkyti asmens duomenis tiek, kiek tai būtina užduotims, kurios yra būtinos tinkamam skaitmeninio euro veikimui, atlikti. Pagal Reglamento (ES) 2016/679 6 straipsnio 1 dalies </w:t>
            </w:r>
            <w:r>
              <w:t>c punktą su skaitmeniniu euru susijusi duomenų tvarkymo veikla turėtų būti laikoma teisėta, jei ir tiek, kiek ji būtina siekiant įvykdyti teisinę pareigą, kuri duomenų valdytojui taikoma pagal šį reglamentą. Pagal šį reglamentą asmens duomenų tvarkymas sie</w:t>
            </w:r>
            <w:r>
              <w:t>kiant užtikrinti turimos sumos ribų laikymąsi, naudotojų turimos sumos keitimo į skaitmeninius eurus ir keitimo iš skaitmeninių eurų inicijavimas, taip pat vietinių kaupiklių, skirtų neinternetiniams mokėjimams skaitmeniniais eurais, valdymas yra viešojo i</w:t>
            </w:r>
            <w:r>
              <w:t>ntereso užduotys, kurios yra labai svarbios siekiant apsaugoti skaitmeninį eurą naudojančius piliečius, taip pat užtikrinti Sąjungos finansų sistemos stabilumą ir vientisumą. Atliekant šias užduotis, mokėjimo paslaugų teikėjai bus asmens duomenų valdytojai</w:t>
            </w:r>
            <w:r>
              <w:t>. Be to, mokėjimo paslaugų teikėjai gali tvarkyti asmens duomenis, kad įvykdytų Sąjungos teisėje, kuri taikoma Direktyvoje (ES) 2015/2366 apibrėžtoms lėšoms, nustatytą teisinę pareigą. Šios užduotys taikomos mokėjimo paslaugų teikimui ir sukčiavimo prevenc</w:t>
            </w:r>
            <w:r>
              <w:t xml:space="preserve">ijai bei nustatymui pagal Direktyvą (ES) 2015/2366, kovai su pinigų plovimu ir terorizmo finansavimu pagal Direktyvą </w:t>
            </w:r>
            <w:r>
              <w:lastRenderedPageBreak/>
              <w:t>(ES) 2015/849, pareigų, susijusių su apmokestinimu ir mokesčių vengimu, vykdymui ir operacinės bei saugumo rizikos valdymui pagal Reglament</w:t>
            </w:r>
            <w:r>
              <w:t>ą (ES) 2022/255;</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25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75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(75)</w:t>
            </w:r>
            <w:r>
              <w:tab/>
              <w:t xml:space="preserve">neinternetinės mokėjimo skaitmeniniais eurais </w:t>
            </w:r>
            <w:r>
              <w:t>operacijos – tai mokėjimai, kurie atliekami esant fiziškai arti (tiesioginiai mokėjimai). Jie turi panašumų su operacijomis grynaisiais pinigais ir privatumo požiūriu turėtų būti traktuojami panašiai. Todėl mokėjimo paslaugų teikėjai neturėtų tvarkyti su n</w:t>
            </w:r>
            <w:r>
              <w:t>einternetinėmis mokėjimo skaitmeniniais eurais operacijomis susijusių asmens duomenų ir turėtų tvarkyti tik asmens duomenis, susijusius su skaitmeninių eurų įnešimu ar išėmimu iš mokėjimo skaitmeniniais eurais sąskaitų, siekiant juos įkelti į vietinius kau</w:t>
            </w:r>
            <w:r>
              <w:t>piklius arba iš vietinių kaupiklių perkelti į mokėjimo skaitmeniniais eurais sąskaitas. Tai apima vietinių kaupiklių, kuriuos mokėjimo paslaugų teikėjai priskiria skaitmeninio euro naudotojui, laikančiam skaitmeninius eurus ne internetu, identifikatorių. T</w:t>
            </w:r>
            <w:r>
              <w:t>oks privatumo lygis būtų panašus į banknotų išėmimą bankomatuose, kai mokėjimo paslaugų teikėjai tvarko asmens duomenis, susijusius su naudotojo tapatybe, ir duomenis, susijusius su tuo, kaip buvo atliktos keitimo į skaitmeninius eurus ir keitimo iš skaitm</w:t>
            </w:r>
            <w:r>
              <w:t>eninių eurų operacijos. Tai reiškia, kad atliekant neinternetines mokėjimo skaitmeniniais eurais operacijas operacijų duomenų stebėsena neturėtų būti vykdoma;</w:t>
            </w:r>
          </w:p>
        </w:tc>
        <w:tc>
          <w:tcPr>
            <w:tcW w:w="4876" w:type="dxa"/>
            <w:hideMark/>
          </w:tcPr>
          <w:p w:rsidR="00CC11EF" w:rsidRPr="00156095" w:rsidRDefault="00B66595" w:rsidP="00CC11EF">
            <w:pPr>
              <w:pStyle w:val="Normal6"/>
              <w:rPr>
                <w:szCs w:val="24"/>
              </w:rPr>
            </w:pPr>
            <w:r>
              <w:t>(75)</w:t>
            </w:r>
            <w:r>
              <w:tab/>
              <w:t>neinternetinės mokėjimo skaitmeniniais eurais operacijos – tai mokėjimai, kurie atliekami es</w:t>
            </w:r>
            <w:r>
              <w:t>ant fiziškai arti (tiesioginiai mokėjimai). Jie turi panašumų su operacijomis grynaisiais pinigais ir privatumo požiūriu turėtų būti traktuojami panašiai.</w:t>
            </w:r>
            <w:r>
              <w:rPr>
                <w:b/>
                <w:i/>
              </w:rPr>
              <w:t xml:space="preserve"> Šiuo požiūriu labai svarbu</w:t>
            </w:r>
            <w:r>
              <w:t xml:space="preserve">, </w:t>
            </w:r>
            <w:r>
              <w:rPr>
                <w:b/>
                <w:i/>
              </w:rPr>
              <w:t>kad neinternetinio</w:t>
            </w:r>
            <w:r>
              <w:t xml:space="preserve"> skaitmeninio euro </w:t>
            </w:r>
            <w:r>
              <w:rPr>
                <w:b/>
                <w:i/>
              </w:rPr>
              <w:t xml:space="preserve">sukūrimas nesuteiktų pagrindo sekti </w:t>
            </w:r>
            <w:r>
              <w:rPr>
                <w:b/>
                <w:i/>
              </w:rPr>
              <w:t>ar kontroliuoti</w:t>
            </w:r>
            <w:r>
              <w:t xml:space="preserve">, </w:t>
            </w:r>
            <w:r>
              <w:rPr>
                <w:b/>
                <w:i/>
              </w:rPr>
              <w:t>kaip jis išleidžiamas</w:t>
            </w:r>
            <w:r>
              <w:t xml:space="preserve">, </w:t>
            </w:r>
            <w:r>
              <w:rPr>
                <w:b/>
                <w:i/>
              </w:rPr>
              <w:t>palyginti</w:t>
            </w:r>
            <w:r>
              <w:t xml:space="preserve"> su </w:t>
            </w:r>
            <w:r>
              <w:rPr>
                <w:b/>
                <w:i/>
              </w:rPr>
              <w:t>grynaisiais pinigais</w:t>
            </w:r>
            <w:r>
              <w:t>. Todėl mokėjimo paslaugų teikėjai neturėtų tvarkyti su neinternetinėmis mokėjimo skaitmeniniais eurais operacijomis susijusių asmens duomenų ir turėtų tvarkyti tik asmens duomenis, s</w:t>
            </w:r>
            <w:r>
              <w:t xml:space="preserve">usijusius su skaitmeninių eurų įnešimu ar išėmimu iš mokėjimo skaitmeniniais eurais sąskaitų, siekiant juos įkelti į vietinius kaupiklius arba iš vietinių kaupiklių perkelti į mokėjimo skaitmeniniais eurais sąskaitas. Tai apima vietinių kaupiklių, kuriuos </w:t>
            </w:r>
            <w:r>
              <w:t>mokėjimo paslaugų teikėjai priskiria skaitmeninio euro naudotojui, laikančiam skaitmeninius eurus ne internetu, identifikatorių. Toks privatumo lygis būtų panašus į banknotų išėmimą bankomatuose, kai mokėjimo paslaugų teikėjai tvarko asmens duomenis, susij</w:t>
            </w:r>
            <w:r>
              <w:t xml:space="preserve">usius su naudotojo tapatybe, ir duomenis, susijusius su tuo, kaip buvo atliktos keitimo į skaitmeninius eurus ir keitimo iš skaitmeninių eurų operacijos. Tai reiškia, </w:t>
            </w:r>
            <w:r>
              <w:lastRenderedPageBreak/>
              <w:t xml:space="preserve">kad atliekant neinternetines mokėjimo skaitmeniniais eurais operacijas operacijų duomenų </w:t>
            </w:r>
            <w:r>
              <w:t>stebėsena neturėtų būti vykdoma;</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26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76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(76)</w:t>
            </w:r>
            <w:r>
              <w:tab/>
              <w:t xml:space="preserve">Europos Centrinis Bankas ir </w:t>
            </w:r>
            <w:r>
              <w:t xml:space="preserve">nacionaliniai centriniai bankai gali tvarkyti asmens duomenis tiek, kiek tai būtina tinkamam skaitmeninio euro veikimui užtikrinti. Pagal šį reglamentą asmens duomenų tvarkymas atsiskaitymo už mokėjimo skaitmeniniais eurais operacijas ir skaitmeninio euro </w:t>
            </w:r>
            <w:r>
              <w:t>infrastruktūros saugumo ir vientisumo valdymo tikslais yra viešojo intereso užduotys, kurios yra būtinos siekiant apsaugoti skaitmeninį eurą naudojančius piliečius ir užtikrinti Sąjungos finansų sistemos stabilumą ir vientisumą. Skaitmeninio euro infrastru</w:t>
            </w:r>
            <w:r>
              <w:t>ktūros saugumo ir vientisumo išlaikymo užduotis apima veiklą, susijusią su skaitmeninio euro stabilumo ir operacinio atsparumo užtikrinimu. Europos Centrinis Bankas ir nacionaliniai centriniai bankai, vykdydami šias užduotis, būtų asmens duomenų valdytojai</w:t>
            </w:r>
            <w:r>
              <w:t>. Europos Centrinis Bankas ir nacionaliniai centriniai bankai tvarkytų asmens duomenis šioms užduotims atlikti taikydami pažangiausias saugumo ir privatumo apsaugos priemones, pavyzdžiui, pseudoniminimą ar šifravimą, siekdami užtikrinti, kad duomenys negal</w:t>
            </w:r>
            <w:r>
              <w:t>ėtų būti naudojami siekiant tiesiogiai nustatyti konkretaus skaitmeninio euro naudotojo tapatybę;</w:t>
            </w:r>
          </w:p>
        </w:tc>
        <w:tc>
          <w:tcPr>
            <w:tcW w:w="4876" w:type="dxa"/>
            <w:hideMark/>
          </w:tcPr>
          <w:p w:rsidR="00CC11EF" w:rsidRPr="00156095" w:rsidRDefault="00B66595" w:rsidP="00CC11EF">
            <w:pPr>
              <w:pStyle w:val="Normal6"/>
              <w:rPr>
                <w:szCs w:val="24"/>
              </w:rPr>
            </w:pPr>
            <w:r>
              <w:t>(76)</w:t>
            </w:r>
            <w:r>
              <w:tab/>
              <w:t>Europos Centrinis Bankas ir nacionaliniai centriniai bankai gali tvarkyti asmens duomenis tiek, kiek tai būtina tinkamam skaitmeninio euro veikimui užtik</w:t>
            </w:r>
            <w:r>
              <w:t>rinti. Pagal šį reglamentą asmens duomenų tvarkymas atsiskaitymo už mokėjimo skaitmeniniais eurais operacijas ir skaitmeninio euro infrastruktūros saugumo ir vientisumo valdymo tikslais yra viešojo intereso užduotys, kurios yra būtinos siekiant apsaugoti s</w:t>
            </w:r>
            <w:r>
              <w:t xml:space="preserve">kaitmeninį eurą naudojančius piliečius ir užtikrinti Sąjungos finansų sistemos stabilumą ir vientisumą. </w:t>
            </w:r>
            <w:r>
              <w:rPr>
                <w:b/>
                <w:i/>
              </w:rPr>
              <w:t>Todėl</w:t>
            </w:r>
            <w:r>
              <w:t xml:space="preserve"> asmens duomenų </w:t>
            </w:r>
            <w:r>
              <w:rPr>
                <w:b/>
                <w:i/>
              </w:rPr>
              <w:t>tvarkymo teisinis pagrindas nacionaliniams bankams nustatytas Reglamento (ES) 2016/679 6 straipsnio 1 dalies e punkte</w:t>
            </w:r>
            <w:r>
              <w:t xml:space="preserve">, </w:t>
            </w:r>
            <w:r>
              <w:rPr>
                <w:b/>
                <w:i/>
              </w:rPr>
              <w:t>o Europos Ce</w:t>
            </w:r>
            <w:r>
              <w:rPr>
                <w:b/>
                <w:i/>
              </w:rPr>
              <w:t xml:space="preserve">ntrinio Banko atveju – Reglamento (ES) 2018/1725 5 straipsnio 1 dalies a punkte. </w:t>
            </w:r>
            <w:r>
              <w:t xml:space="preserve">Skaitmeninio euro infrastruktūros saugumo ir vientisumo išlaikymo užduotis apima veiklą, susijusią su skaitmeninio euro stabilumo ir operacinio atsparumo užtikrinimu. Europos </w:t>
            </w:r>
            <w:r>
              <w:t>Centrinis Bankas ir nacionaliniai centriniai bankai, vykdydami šias užduotis, būtų asmens duomenų valdytojai. Europos Centrinis Bankas ir nacionaliniai centriniai bankai tvarkytų asmens duomenis šioms užduotims atlikti taikydami pažangiausias saugumo ir pr</w:t>
            </w:r>
            <w:r>
              <w:t xml:space="preserve">ivatumo apsaugos priemones, pavyzdžiui, pseudoniminimą ar šifravimą, siekdami užtikrinti, kad duomenys negalėtų būti naudojami siekiant tiesiogiai nustatyti konkretaus skaitmeninio euro naudotojo </w:t>
            </w:r>
            <w:r>
              <w:lastRenderedPageBreak/>
              <w:t>tapatybę.</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27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77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(77)</w:t>
            </w:r>
            <w:r>
              <w:tab/>
              <w:t>siekiant užtikrinti turimos sumos ribų laikymąsi ir kritinėse situacijose skaitmeninio euro naudotojo prašymu užtikrint</w:t>
            </w:r>
            <w:r>
              <w:t>i išimtinį mokėjimo skaitmeniniais eurais sąskaitų perkėlimą, būtina sukurti vieną bendrą prieigos prie skaitmeninio euro naudotojų identifikatorių punktą ir susijusias turimos skaitmeninių eurų sumos ribas, kad būtų užtikrintas veiksmingas skaitmeninio eu</w:t>
            </w:r>
            <w:r>
              <w:t>ro veikimas visoje euro zonoje, nes skaitmeninio euro naudotojai gali turėti mokėjimo skaitmeniniais eurais sąskaitas skirtingose valstybėse narėse. Įsteigdami bendrą prieigos punktą, Europos Centrinis Bankas ir nacionaliniai centriniai bankai turėtų užtik</w:t>
            </w:r>
            <w:r>
              <w:t>rinti, kad asmens duomenų tvarkymas būtų kuo mažesnis apsiribojant tik tuo, kas tikrai būtina</w:t>
            </w:r>
            <w:r>
              <w:rPr>
                <w:b/>
                <w:i/>
              </w:rPr>
              <w:t>,</w:t>
            </w:r>
            <w:r>
              <w:t xml:space="preserve"> ir kad būtų įdiegta pritaikytoji ir standartizuotoji duomenų apsauga. Europos Centrinis Bankas ir nacionaliniai centriniai bankai turėtų apsvarstyti galimybę ati</w:t>
            </w:r>
            <w:r>
              <w:t>tinkamais atvejais ir siekiant kuo labiau sumažinti duomenų saugumo pažeidimų riziką, naudoti decentralizuotą duomenų saugojimą;</w:t>
            </w:r>
          </w:p>
        </w:tc>
        <w:tc>
          <w:tcPr>
            <w:tcW w:w="4876" w:type="dxa"/>
            <w:hideMark/>
          </w:tcPr>
          <w:p w:rsidR="00CC11EF" w:rsidRPr="00156095" w:rsidRDefault="00B66595" w:rsidP="00CC11EF">
            <w:pPr>
              <w:pStyle w:val="Normal6"/>
              <w:rPr>
                <w:szCs w:val="24"/>
              </w:rPr>
            </w:pPr>
            <w:r>
              <w:t>(77)</w:t>
            </w:r>
            <w:r>
              <w:tab/>
              <w:t>siekiant užtikrinti turimos sumos ribų laikymąsi ir kritinėse situacijose skaitmeninio euro naudotojo prašymu užtikrinti i</w:t>
            </w:r>
            <w:r>
              <w:t xml:space="preserve">šimtinį mokėjimo skaitmeniniais eurais sąskaitų perkėlimą, būtina sukurti vieną bendrą prieigos prie skaitmeninio euro naudotojų identifikatorių punktą ir susijusias turimos skaitmeninių eurų sumos ribas, kad būtų užtikrintas veiksmingas skaitmeninio euro </w:t>
            </w:r>
            <w:r>
              <w:t>veikimas visoje euro zonoje, nes skaitmeninio euro naudotojai gali turėti mokėjimo skaitmeniniais eurais sąskaitas skirtingose valstybėse narėse. Įsteigdami bendrą prieigos punktą, Europos Centrinis Bankas ir nacionaliniai centriniai bankai turėtų užtikrin</w:t>
            </w:r>
            <w:r>
              <w:t>ti, kad asmens duomenų tvarkymas būtų kuo mažesnis apsiribojant tik tuo, kas tikrai būtina</w:t>
            </w:r>
            <w:r>
              <w:rPr>
                <w:b/>
                <w:i/>
              </w:rPr>
              <w:t xml:space="preserve"> bei proporcinga</w:t>
            </w:r>
            <w:r>
              <w:t xml:space="preserve"> ir kad būtų įdiegta pritaikytoji ir standartizuotoji duomenų apsauga. Europos Centrinis Bankas ir nacionaliniai centriniai bankai turėtų apsvarstyti </w:t>
            </w:r>
            <w:r>
              <w:t xml:space="preserve">galimybę atitinkamais atvejais ir siekiant kuo labiau sumažinti duomenų saugumo pažeidimų riziką, naudoti decentralizuotą duomenų saugojimą; </w:t>
            </w:r>
            <w:r>
              <w:rPr>
                <w:b/>
                <w:i/>
              </w:rPr>
              <w:t>Taip pat jie gali patvirtinti priemones, užtikrinančias, kad naudotojai galėtų tiesiogiai susigrąžinti sąskaitų lik</w:t>
            </w:r>
            <w:r>
              <w:rPr>
                <w:b/>
                <w:i/>
              </w:rPr>
              <w:t>učius naudodami atsarginį kodą.</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28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78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(78)</w:t>
            </w:r>
            <w:r>
              <w:tab/>
              <w:t xml:space="preserve">2021 m. liepos 21 d. Komisijos </w:t>
            </w:r>
            <w:r>
              <w:t>priimtame dokumentų rinkinyje dėl finansų sistemos naudojimo pinigų plovimui ir terorizmo finansavimui prevencijos</w:t>
            </w:r>
            <w:r>
              <w:rPr>
                <w:vertAlign w:val="superscript"/>
              </w:rPr>
              <w:t>38</w:t>
            </w:r>
            <w:r>
              <w:t xml:space="preserve"> (toliau – Kovos su pinigų plovimu dokumentų rinkinys) Komisija pasiūlė gerokai sugriežtinti kovos su pinigų plovimu </w:t>
            </w:r>
            <w:r>
              <w:rPr>
                <w:b/>
                <w:i/>
              </w:rPr>
              <w:t>taisykles visoje Sąjung</w:t>
            </w:r>
            <w:r>
              <w:rPr>
                <w:b/>
                <w:i/>
              </w:rPr>
              <w:t>oje.</w:t>
            </w:r>
            <w:r>
              <w:t xml:space="preserve"> </w:t>
            </w:r>
            <w:r>
              <w:rPr>
                <w:b/>
                <w:i/>
              </w:rPr>
              <w:t xml:space="preserve">Siekiant to tikslo ir siekiant užtikrinti veiksmingą kovos su pinigų plovimu </w:t>
            </w:r>
            <w:r>
              <w:t xml:space="preserve">ir terorizmo finansavimu </w:t>
            </w:r>
            <w:r>
              <w:rPr>
                <w:b/>
                <w:i/>
              </w:rPr>
              <w:t>reikalavimų taikymą skaitmeniniam eurui, šiame reglamente turėtų būti nustatyta, kad internetinėms mokėjimo skaitmeniniais eurais operacijoms būtų ta</w:t>
            </w:r>
            <w:r>
              <w:rPr>
                <w:b/>
                <w:i/>
              </w:rPr>
              <w:t>ikomi Direktyvoje (ES) 2015/849 nustatyti kovos su pinigų plovimu ir terorizmo finansavimu reikalavimai;</w:t>
            </w:r>
          </w:p>
        </w:tc>
        <w:tc>
          <w:tcPr>
            <w:tcW w:w="4876" w:type="dxa"/>
            <w:hideMark/>
          </w:tcPr>
          <w:p w:rsidR="00CC11EF" w:rsidRPr="00156095" w:rsidRDefault="00B66595" w:rsidP="00CC11EF">
            <w:pPr>
              <w:pStyle w:val="Normal6"/>
              <w:rPr>
                <w:szCs w:val="24"/>
              </w:rPr>
            </w:pPr>
            <w:r>
              <w:t>(78)</w:t>
            </w:r>
            <w:r>
              <w:tab/>
              <w:t>2021 m. liepos 21 d. Komisijos priimtame dokumentų rinkinyje dėl finansų sistemos naudojimo pinigų plovimui ir terorizmo finansavimui prevencijos</w:t>
            </w:r>
            <w:r>
              <w:rPr>
                <w:vertAlign w:val="superscript"/>
              </w:rPr>
              <w:t>38</w:t>
            </w:r>
            <w:r>
              <w:t xml:space="preserve"> (toliau – Kovos su pinigų plovimu dokumentų rinkinys) Komisija pasiūlė gerokai sugriežtinti kovos su pinigų plovimu </w:t>
            </w:r>
            <w:r>
              <w:rPr>
                <w:b/>
                <w:bCs/>
                <w:i/>
                <w:iCs/>
              </w:rPr>
              <w:t>ir terorizmo finansavimu taisykles</w:t>
            </w:r>
            <w:r>
              <w:t xml:space="preserve"> visoje Sąjungoje. Siekiant to tikslo ir siekiant užtikrinti veiksmingą kovos su pinigų plovimu ir tero</w:t>
            </w:r>
            <w:r>
              <w:t>rizmo finansavimu reikalavimų taikymą skaitmeniniam eurui, šiame reglamente turėtų būti nustatyta, kad internetinėms mokėjimo skaitmeniniais eurais operacijoms būtų taikomi Direktyvoje (ES) 2015/849 nustatyti kovos su pinigų plovimu ir terorizmo finansavim</w:t>
            </w:r>
            <w:r>
              <w:t>u reikalavimai;</w:t>
            </w:r>
            <w:r>
              <w:rPr>
                <w:vertAlign w:val="superscript"/>
              </w:rPr>
              <w:t xml:space="preserve"> </w:t>
            </w:r>
          </w:p>
        </w:tc>
      </w:tr>
      <w:tr w:rsidR="009525CF" w:rsidTr="00CC11EF">
        <w:trPr>
          <w:jc w:val="center"/>
        </w:trPr>
        <w:tc>
          <w:tcPr>
            <w:tcW w:w="4876" w:type="dxa"/>
            <w:hideMark/>
          </w:tcPr>
          <w:p w:rsidR="00CC11EF" w:rsidRPr="00156095" w:rsidRDefault="00B66595" w:rsidP="00CC11EF">
            <w:pPr>
              <w:pStyle w:val="Normal6"/>
            </w:pPr>
            <w:r>
              <w:t>__________________</w:t>
            </w:r>
          </w:p>
        </w:tc>
        <w:tc>
          <w:tcPr>
            <w:tcW w:w="4876" w:type="dxa"/>
            <w:hideMark/>
          </w:tcPr>
          <w:p w:rsidR="00CC11EF" w:rsidRPr="00156095" w:rsidRDefault="00B66595" w:rsidP="00CC11EF">
            <w:pPr>
              <w:pStyle w:val="Normal6"/>
              <w:rPr>
                <w:szCs w:val="24"/>
              </w:rPr>
            </w:pPr>
            <w:r>
              <w:t>__________________</w:t>
            </w:r>
          </w:p>
        </w:tc>
      </w:tr>
      <w:tr w:rsidR="009525CF" w:rsidTr="00CC11EF">
        <w:trPr>
          <w:jc w:val="center"/>
        </w:trPr>
        <w:tc>
          <w:tcPr>
            <w:tcW w:w="4876" w:type="dxa"/>
            <w:hideMark/>
          </w:tcPr>
          <w:p w:rsidR="00CC11EF" w:rsidRPr="00156095" w:rsidRDefault="00B66595" w:rsidP="00CC11EF">
            <w:pPr>
              <w:pStyle w:val="Normal6"/>
            </w:pPr>
            <w:r>
              <w:rPr>
                <w:vertAlign w:val="superscript"/>
              </w:rPr>
              <w:t>38</w:t>
            </w:r>
            <w:r>
              <w:t xml:space="preserve"> Pasiūlymas dėl Reglamento dėl finansų sistemos naudojimo pinigų plovimui ar terorizmo finansavimui prevencijos (COM(2021) 420 final); pasiūlymas dėl Direktyvos dėl mechanizmų, kuriuos turi įdiegti</w:t>
            </w:r>
            <w:r>
              <w:t xml:space="preserve"> valstybės narės finansų sistemos naudojimo pinigų plovimui ar terorizmo finansavimui prevencijos tikslais, kuria panaikinama Direktyva (ES) 2015/849 (COM(2021) 423 final); pasiūlymas dėl reglamento, kuriuo įsteigiama ES kovos su pinigų plovimu ir terorizm</w:t>
            </w:r>
            <w:r>
              <w:t>o finansavimu institucija (AMLA) (COM (2021) 421 final); pasiūlymas dėl Reglamento (ES) 2015/847 naujos redakcijos, pagal kurią atsekamumo reikalavimai būtų taikomi ir kriptoturtui (COM(2021)422 final).</w:t>
            </w:r>
          </w:p>
        </w:tc>
        <w:tc>
          <w:tcPr>
            <w:tcW w:w="4876" w:type="dxa"/>
            <w:hideMark/>
          </w:tcPr>
          <w:p w:rsidR="00CC11EF" w:rsidRPr="00156095" w:rsidRDefault="00B66595" w:rsidP="00CC11EF">
            <w:pPr>
              <w:pStyle w:val="Normal6"/>
              <w:rPr>
                <w:szCs w:val="24"/>
              </w:rPr>
            </w:pPr>
            <w:r>
              <w:rPr>
                <w:vertAlign w:val="superscript"/>
              </w:rPr>
              <w:t>38</w:t>
            </w:r>
            <w:r>
              <w:t xml:space="preserve"> Pasiūlymas dėl Reglamento dėl finansų sistemos nau</w:t>
            </w:r>
            <w:r>
              <w:t>dojimo pinigų plovimui ar terorizmo finansavimui prevencijos (COM(2021) 420 final); pasiūlymas dėl Direktyvos dėl mechanizmų, kuriuos turi įdiegti valstybės narės finansų sistemos naudojimo pinigų plovimui ar terorizmo finansavimui prevencijos tikslais, ku</w:t>
            </w:r>
            <w:r>
              <w:t>ria panaikinama Direktyva (ES) 2015/849 (COM(2021) 423 final); pasiūlymas dėl reglamento, kuriuo įsteigiama ES kovos su pinigų plovimu ir terorizmo finansavimu institucija (AMLA) (COM (2021) 421 final); pasiūlymas dėl Reglamento (ES) 2015/847 naujos redakc</w:t>
            </w:r>
            <w:r>
              <w:t>ijos, pagal kurią atsekamumo reikalavimai būtų taikomi ir kriptoturtui (COM(2021)422 final).</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29</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79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 xml:space="preserve">Komisijos siūlomas </w:t>
            </w:r>
            <w:r>
              <w:t>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(79)</w:t>
            </w:r>
            <w:r>
              <w:tab/>
              <w:t>siekiant sudaryti palankesnes sąlygas plačiai naudoti skaitmeninį eurą, labai svarbu, kad būsimi skaitmeninio euro naudotojai galėtų lengvai ir darniai naudotis mokėjimo paslaugų teikėjų teikiamomis mokėjimo skaitmeniniais eurais p</w:t>
            </w:r>
            <w:r>
              <w:t xml:space="preserve">aslaugomis visoje euro zonoje. Todėl tikslinga, nedarant poveikio rizikos metodui, kuriuo grindžiamas </w:t>
            </w:r>
            <w:r>
              <w:rPr>
                <w:b/>
                <w:bCs/>
                <w:i/>
                <w:iCs/>
              </w:rPr>
              <w:t>Kovos su pinigų plovimu</w:t>
            </w:r>
            <w:r>
              <w:rPr>
                <w:b/>
                <w:bCs/>
              </w:rPr>
              <w:t xml:space="preserve"> </w:t>
            </w:r>
            <w:r>
              <w:t xml:space="preserve">dokumentų rinkinys, Sąjungos kovos su pinigų plovimu institucijai (toliau – AMLA) spręsti mokėjimo skaitmeniniais eurais sąskaitų </w:t>
            </w:r>
            <w:r>
              <w:t>atidarymo klausimą savo techniniuose reguliavimo standartuose dėl išsamaus klientų patikrinimo</w:t>
            </w:r>
            <w:r>
              <w:rPr>
                <w:b/>
                <w:i/>
              </w:rPr>
              <w:t>.</w:t>
            </w:r>
            <w:r>
              <w:t xml:space="preserve"> Mažos rizikos operacijų ar verslo santykių atveju AMLA turėtų nustatyti atitinkamas supaprastinto išsamaus patikrinimo priemones, kurias turėtų taikyti mokėjimo</w:t>
            </w:r>
            <w:r>
              <w:t xml:space="preserve"> paslaugų teikėjai. AMLA turėtų teikti pirmenybę šių techninių reguliavimo standartų rengimui;</w:t>
            </w:r>
          </w:p>
        </w:tc>
        <w:tc>
          <w:tcPr>
            <w:tcW w:w="4876" w:type="dxa"/>
            <w:hideMark/>
          </w:tcPr>
          <w:p w:rsidR="00CC11EF" w:rsidRPr="00156095" w:rsidRDefault="00B66595" w:rsidP="00CC11EF">
            <w:pPr>
              <w:pStyle w:val="Normal6"/>
              <w:rPr>
                <w:szCs w:val="24"/>
              </w:rPr>
            </w:pPr>
            <w:r>
              <w:t>(79)</w:t>
            </w:r>
            <w:r>
              <w:tab/>
              <w:t>siekiant sudaryti palankesnes sąlygas plačiai naudoti skaitmeninį eurą, labai svarbu, kad būsimi skaitmeninio euro naudotojai galėtų lengvai ir darniai naud</w:t>
            </w:r>
            <w:r>
              <w:t xml:space="preserve">otis mokėjimo paslaugų teikėjų teikiamomis mokėjimo skaitmeniniais eurais paslaugomis visoje euro zonoje. Todėl tikslinga, nedarant poveikio rizikos metodui, kuriuo grindžiamas Kovos su pinigų plovimu </w:t>
            </w:r>
            <w:r>
              <w:rPr>
                <w:b/>
                <w:i/>
              </w:rPr>
              <w:t>teisės aktų</w:t>
            </w:r>
            <w:r>
              <w:t xml:space="preserve"> rinkinys, Sąjungos kovos su pinigų plovimu </w:t>
            </w:r>
            <w:r>
              <w:t>institucijai (toliau – AMLA) spręsti mokėjimo skaitmeniniais eurais sąskaitų atidarymo klausimą savo techniniuose reguliavimo standartuose dėl išsamaus klientų patikrinimo</w:t>
            </w:r>
            <w:r>
              <w:rPr>
                <w:b/>
                <w:i/>
              </w:rPr>
              <w:t>, parengtuose pagal Kovos su pinigų plovimu reglamento [Pasiūlymas dėl EUROPOS PARLAM</w:t>
            </w:r>
            <w:r>
              <w:rPr>
                <w:b/>
                <w:i/>
              </w:rPr>
              <w:t>ENTO IR TARYBOS REGLAMENTO dėl finansų sistemos naudojimo pinigų plovimui ar terorizmo finansavimui prevencijos] 22 straipsnį.</w:t>
            </w:r>
            <w:r>
              <w:t xml:space="preserve"> Mažos rizikos operacijų ar verslo santykių atveju AMLA turėtų nustatyti atitinkamas supaprastinto išsamaus patikrinimo priemones,</w:t>
            </w:r>
            <w:r>
              <w:t xml:space="preserve"> kurias turėtų taikyti mokėjimo paslaugų teikėjai. AMLA turėtų teikti pirmenybę šių techninių reguliavimo standartų rengimui;</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30</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2 straipsnio 1 pastraipos </w:t>
      </w:r>
      <w:r>
        <w:t>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5.</w:t>
            </w:r>
            <w:r>
              <w:tab/>
            </w:r>
            <w:r>
              <w:t>mokėjimo skaitmeniniais eurais sąskaita – sąskaita, kurią vienas ar daugiau skaitmeninio euro naudotojų turi mokėjimo paslaugų teikėjo įstaigoje, kad gautų prieigą prie skaitmeninio euro, įregistruoto atsiskaitymo skaitmeniniais eurais infrastruktūroje arb</w:t>
            </w:r>
            <w:r>
              <w:t xml:space="preserve">a </w:t>
            </w:r>
            <w:r>
              <w:rPr>
                <w:b/>
                <w:i/>
              </w:rPr>
              <w:t xml:space="preserve">neinternetiniame </w:t>
            </w:r>
            <w:r>
              <w:rPr>
                <w:b/>
                <w:i/>
              </w:rPr>
              <w:lastRenderedPageBreak/>
              <w:t>skaitmeninių eurų įrenginyje</w:t>
            </w:r>
            <w:r>
              <w:t>, ir inicijuotų arba gautų mokėjimo skaitmeniniais eurais operacijas ne internetu arba internetu, nepriklausomai nuo technologijų ir duomenų struktūros;</w:t>
            </w:r>
          </w:p>
        </w:tc>
        <w:tc>
          <w:tcPr>
            <w:tcW w:w="4876" w:type="dxa"/>
            <w:hideMark/>
          </w:tcPr>
          <w:p w:rsidR="00CC11EF" w:rsidRPr="00156095" w:rsidRDefault="00B66595" w:rsidP="00CC11EF">
            <w:pPr>
              <w:pStyle w:val="Normal6"/>
              <w:rPr>
                <w:szCs w:val="24"/>
              </w:rPr>
            </w:pPr>
            <w:r>
              <w:lastRenderedPageBreak/>
              <w:t>5.</w:t>
            </w:r>
            <w:r>
              <w:tab/>
              <w:t>mokėjimo skaitmeniniais eurais sąskaita – sąskaita, k</w:t>
            </w:r>
            <w:r>
              <w:t xml:space="preserve">urią vienas ar daugiau skaitmeninio euro naudotojų turi mokėjimo paslaugų teikėjo įstaigoje, kad gautų prieigą prie skaitmeninio euro, įregistruoto atsiskaitymo skaitmeniniais eurais infrastruktūroje arba </w:t>
            </w:r>
            <w:r>
              <w:rPr>
                <w:b/>
                <w:i/>
              </w:rPr>
              <w:t xml:space="preserve">vietiniame </w:t>
            </w:r>
            <w:r>
              <w:rPr>
                <w:b/>
                <w:i/>
              </w:rPr>
              <w:lastRenderedPageBreak/>
              <w:t>kaupiklyje</w:t>
            </w:r>
            <w:r>
              <w:t>, ir inicijuotų arba gautų mok</w:t>
            </w:r>
            <w:r>
              <w:t>ėjimo skaitmeniniais eurais operacijas ne internetu arba internetu, nepriklausomai nuo technologijų ir duomenų struktūros;</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31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2 straipsnio 1 pastraipos 28 </w:t>
      </w:r>
      <w:r>
        <w:t>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28.</w:t>
            </w:r>
            <w:r>
              <w:tab/>
              <w:t>naudotojo vardas</w:t>
            </w:r>
            <w:r>
              <w:rPr>
                <w:b/>
                <w:i/>
              </w:rPr>
              <w:t> </w:t>
            </w:r>
            <w:r>
              <w:t xml:space="preserve">– unikalus </w:t>
            </w:r>
            <w:r>
              <w:rPr>
                <w:b/>
                <w:i/>
              </w:rPr>
              <w:t>pseudoniminis identifikatorius</w:t>
            </w:r>
            <w:r>
              <w:t xml:space="preserve">, naudojamas naudotojo tapatybei apsaugoti tvarkant mokėjimus skaitmeniniais eurais, kurį fiziniam arba juridiniam asmeniui, kurio </w:t>
            </w:r>
            <w:r>
              <w:t>tapatybę galima nustatyti, gali priskirti tik</w:t>
            </w:r>
            <w:r>
              <w:rPr>
                <w:b/>
                <w:i/>
              </w:rPr>
              <w:t xml:space="preserve"> skaitmeninį eurą platinantis</w:t>
            </w:r>
            <w:r>
              <w:t xml:space="preserve"> mokėjimo paslaugų teikėjas arba skaitmeninio euro naudotojas;</w:t>
            </w:r>
          </w:p>
        </w:tc>
        <w:tc>
          <w:tcPr>
            <w:tcW w:w="4876" w:type="dxa"/>
            <w:hideMark/>
          </w:tcPr>
          <w:p w:rsidR="00CC11EF" w:rsidRPr="00156095" w:rsidRDefault="00B66595" w:rsidP="00CC11EF">
            <w:pPr>
              <w:pStyle w:val="Normal6"/>
              <w:rPr>
                <w:szCs w:val="24"/>
              </w:rPr>
            </w:pPr>
            <w:r>
              <w:t>28.</w:t>
            </w:r>
            <w:r>
              <w:tab/>
              <w:t>naudotojo vardas</w:t>
            </w:r>
            <w:r>
              <w:rPr>
                <w:b/>
                <w:i/>
              </w:rPr>
              <w:t xml:space="preserve"> </w:t>
            </w:r>
            <w:r>
              <w:t xml:space="preserve">– </w:t>
            </w:r>
            <w:r>
              <w:rPr>
                <w:b/>
                <w:i/>
              </w:rPr>
              <w:t xml:space="preserve">pseudoniminis identifikatorius, kurį sudaro </w:t>
            </w:r>
            <w:r>
              <w:t xml:space="preserve">unikalus </w:t>
            </w:r>
            <w:r>
              <w:rPr>
                <w:b/>
                <w:i/>
              </w:rPr>
              <w:t>skaitmeninės sąskaitos eurais numeris ir, s</w:t>
            </w:r>
            <w:r>
              <w:rPr>
                <w:b/>
                <w:i/>
              </w:rPr>
              <w:t>kaitmeninio euro naudotojo prašymu, papildomi pakaitiniai duomenys</w:t>
            </w:r>
            <w:r>
              <w:t>,</w:t>
            </w:r>
            <w:r>
              <w:rPr>
                <w:b/>
                <w:i/>
              </w:rPr>
              <w:t xml:space="preserve"> kuriais vienareikšmiškai identifikuojama skaitmeninė mokėjimo eurais sąskaita ir kuris</w:t>
            </w:r>
            <w:r>
              <w:t xml:space="preserve"> naudojamas naudotojo tapatybei apsaugoti tvarkant mokėjimus skaitmeniniais eurais, kurį fiziniam arba</w:t>
            </w:r>
            <w:r>
              <w:t xml:space="preserve"> juridiniam asmeniui, kurio tapatybę galima nustatyti, gali priskirti tik mokėjimo paslaugų teikėjas arba skaitmeninio euro naudotojas;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32</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2 straipsnio 1 </w:t>
      </w:r>
      <w:r>
        <w:t>pastraipos 31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31.</w:t>
            </w:r>
            <w:r>
              <w:tab/>
              <w:t>mobilusis įrenginys</w:t>
            </w:r>
            <w:r>
              <w:rPr>
                <w:b/>
                <w:i/>
              </w:rPr>
              <w:t> </w:t>
            </w:r>
            <w:r>
              <w:t xml:space="preserve">– įrenginys, kurį naudodami skaitmeninio euro naudotojai gali </w:t>
            </w:r>
            <w:r>
              <w:rPr>
                <w:b/>
                <w:i/>
              </w:rPr>
              <w:t xml:space="preserve">leisti </w:t>
            </w:r>
            <w:r>
              <w:t xml:space="preserve">atlikti mokėjimo skaitmeniniais eurais operacijas internetu arba ne internetu, įskaitant </w:t>
            </w:r>
            <w:r>
              <w:t>visų pirma išmaniuosius telefonus, planšetinius kompiuterius, išmaniuosius laikrodžius ir visų rūšių dėvimuosius prietaisus</w:t>
            </w:r>
            <w:r>
              <w:rPr>
                <w:b/>
                <w:i/>
              </w:rPr>
              <w:t>.</w:t>
            </w:r>
          </w:p>
        </w:tc>
        <w:tc>
          <w:tcPr>
            <w:tcW w:w="4876" w:type="dxa"/>
            <w:hideMark/>
          </w:tcPr>
          <w:p w:rsidR="00CC11EF" w:rsidRPr="00156095" w:rsidRDefault="00B66595" w:rsidP="00CC11EF">
            <w:pPr>
              <w:pStyle w:val="Normal6"/>
              <w:rPr>
                <w:szCs w:val="24"/>
              </w:rPr>
            </w:pPr>
            <w:r>
              <w:t>31.</w:t>
            </w:r>
            <w:r>
              <w:tab/>
              <w:t>mobilusis įrenginys</w:t>
            </w:r>
            <w:r>
              <w:rPr>
                <w:b/>
                <w:i/>
              </w:rPr>
              <w:t xml:space="preserve"> </w:t>
            </w:r>
            <w:r>
              <w:t>–</w:t>
            </w:r>
            <w:r>
              <w:rPr>
                <w:b/>
                <w:i/>
              </w:rPr>
              <w:t xml:space="preserve"> mokėjimo terminalas arba</w:t>
            </w:r>
            <w:r>
              <w:t xml:space="preserve"> įrenginys, kurį naudodami skaitmeninio euro naudotojai gali </w:t>
            </w:r>
            <w:r>
              <w:rPr>
                <w:b/>
                <w:i/>
              </w:rPr>
              <w:t>saugiai </w:t>
            </w:r>
            <w:r>
              <w:t>atlikti mokė</w:t>
            </w:r>
            <w:r>
              <w:t>jimo skaitmeniniais eurais operacijas internetu arba ne internetu, įskaitant</w:t>
            </w:r>
            <w:r>
              <w:rPr>
                <w:b/>
                <w:i/>
              </w:rPr>
              <w:t>, bet neapsiribojant,</w:t>
            </w:r>
            <w:r>
              <w:t xml:space="preserve"> visų pirma išmaniuosius telefonus, planšetinius kompiuterius, išmaniuosius laikrodžius ir visų rūšių dėvimuosius prietaisus</w:t>
            </w:r>
            <w:r>
              <w:rPr>
                <w:b/>
                <w:i/>
              </w:rPr>
              <w:t xml:space="preserve">, taip pat korteles ir USB </w:t>
            </w:r>
            <w:r>
              <w:rPr>
                <w:b/>
                <w:i/>
              </w:rPr>
              <w:lastRenderedPageBreak/>
              <w:t>atmintin</w:t>
            </w:r>
            <w:r>
              <w:rPr>
                <w:b/>
                <w:i/>
              </w:rPr>
              <w:t>es, turinčias vietinius kaupiklius;</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33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2 straipsnio 1 pastraipos 31 a dalis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31a.</w:t>
            </w:r>
            <w:r>
              <w:rPr>
                <w:b/>
                <w:i/>
              </w:rPr>
              <w:tab/>
              <w:t xml:space="preserve">vietinis </w:t>
            </w:r>
            <w:r>
              <w:rPr>
                <w:b/>
                <w:i/>
              </w:rPr>
              <w:t>kaupiklis – arba mobilusis įrenginys, arba mokėjimo terminalas, kuriame leidžiama atlikti neelektronines skaitmenines mokėjimo eurais operacijas ir už jas atsiskaitoma.</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34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5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w:t>
            </w:r>
            <w:r>
              <w:tab/>
              <w:t xml:space="preserve">Skaitmeninis euras reglamentuojamas šio reglamento nuostatomis, papildytomis deleguotaisiais aktais, kuriuos Komisija įgaliota priimti pagal 11, 33, 34, 35 ir </w:t>
            </w:r>
            <w:r>
              <w:t>38 straipsnius, ir įgyvendinimo aktais, kuriuos Komisija įgaliota priimti pagal 37 straipsnį.</w:t>
            </w:r>
          </w:p>
        </w:tc>
        <w:tc>
          <w:tcPr>
            <w:tcW w:w="4876" w:type="dxa"/>
            <w:hideMark/>
          </w:tcPr>
          <w:p w:rsidR="00CC11EF" w:rsidRPr="00156095" w:rsidRDefault="00B66595" w:rsidP="00CC11EF">
            <w:pPr>
              <w:pStyle w:val="Normal6"/>
              <w:rPr>
                <w:szCs w:val="24"/>
              </w:rPr>
            </w:pPr>
            <w:r>
              <w:t>1.</w:t>
            </w:r>
            <w:r>
              <w:tab/>
              <w:t xml:space="preserve">Skaitmeninis euras reglamentuojamas šio reglamento nuostatomis, papildytomis deleguotaisiais aktais, kuriuos Komisija įgaliota priimti pagal 11, 33, 34, 35 ir </w:t>
            </w:r>
            <w:r>
              <w:t xml:space="preserve">38 straipsnius, ir įgyvendinimo aktais, kuriuos Komisija įgaliota priimti pagal 37 straipsnį. </w:t>
            </w:r>
            <w:r>
              <w:rPr>
                <w:b/>
                <w:i/>
              </w:rPr>
              <w:t>Rengdama deleguotuosius ir įgyvendinimo aktus pagal šioje dalyje nurodytus straipsnius, Komisija visapusiškai įgyvendina pritaikytosios ir standartizuotosios duom</w:t>
            </w:r>
            <w:r>
              <w:rPr>
                <w:b/>
                <w:i/>
              </w:rPr>
              <w:t>enų apsaugos principus, kaip apibrėžta Reglamente (ES) 2016/679.</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35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5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t xml:space="preserve">Pagal šį </w:t>
            </w:r>
            <w:r>
              <w:t xml:space="preserve">reglamentą skaitmeniniam </w:t>
            </w:r>
            <w:r>
              <w:lastRenderedPageBreak/>
              <w:t xml:space="preserve">eurui taip pat taikomos išsamios priemonės, taisyklės ir standartai, kuriuos Europos Centrinis Bankas gali priimti savo kompetencijos srityje. Kai tokios išsamios priemonės, taisyklės ir standartai daro poveikį asmens </w:t>
            </w:r>
            <w:r>
              <w:rPr>
                <w:b/>
                <w:i/>
              </w:rPr>
              <w:t>teisių</w:t>
            </w:r>
            <w:r>
              <w:t xml:space="preserve"> ir lai</w:t>
            </w:r>
            <w:r>
              <w:t>svių apsaugai tvarkant asmens duomenis, prieš juos priimdamas Europos Centrinis Bankas konsultuojasi su Europos duomenų apsaugos priežiūros pareigūnu.</w:t>
            </w:r>
          </w:p>
        </w:tc>
        <w:tc>
          <w:tcPr>
            <w:tcW w:w="4876" w:type="dxa"/>
            <w:hideMark/>
          </w:tcPr>
          <w:p w:rsidR="00CC11EF" w:rsidRPr="00156095" w:rsidRDefault="00B66595" w:rsidP="00CC11EF">
            <w:pPr>
              <w:pStyle w:val="Normal6"/>
              <w:rPr>
                <w:szCs w:val="24"/>
              </w:rPr>
            </w:pPr>
            <w:r>
              <w:lastRenderedPageBreak/>
              <w:t>2.</w:t>
            </w:r>
            <w:r>
              <w:tab/>
              <w:t xml:space="preserve">Pagal šį reglamentą skaitmeniniam </w:t>
            </w:r>
            <w:r>
              <w:lastRenderedPageBreak/>
              <w:t>eurui taip pat taikomos išsamios priemonės, taisyklės ir standartai,</w:t>
            </w:r>
            <w:r>
              <w:t xml:space="preserve"> kuriuos Europos Centrinis Bankas gali priimti savo kompetencijos srityje. Kai tokios išsamios priemonės, taisyklės ir standartai daro poveikį asmens </w:t>
            </w:r>
            <w:r>
              <w:rPr>
                <w:b/>
                <w:i/>
              </w:rPr>
              <w:t>privatumui</w:t>
            </w:r>
            <w:r>
              <w:t xml:space="preserve"> ir </w:t>
            </w:r>
            <w:r>
              <w:rPr>
                <w:b/>
                <w:i/>
              </w:rPr>
              <w:t xml:space="preserve">teisių bei </w:t>
            </w:r>
            <w:r>
              <w:t>laisvių apsaugai tvarkant</w:t>
            </w:r>
            <w:r>
              <w:rPr>
                <w:b/>
                <w:i/>
              </w:rPr>
              <w:t xml:space="preserve"> jų</w:t>
            </w:r>
            <w:r>
              <w:t xml:space="preserve"> asmens duomenis, prieš juos priimdamas Europos Centr</w:t>
            </w:r>
            <w:r>
              <w:t>inis Bankas konsultuojasi su Europos duomenų apsaugos priežiūros pareigūnu.</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Tokiomis išsamiomis priemonėmis, taisyklėmis ir standartais įgyvendinami pritaikytosios ir standartizuotosios duomenų apsaugos principai, kaip apibrėžta Reglamente (ES) 2016/679,</w:t>
            </w:r>
            <w:r>
              <w:rPr>
                <w:b/>
                <w:i/>
              </w:rPr>
              <w:t xml:space="preserve"> ir įgyvendinamos privatumo didinimo technologijos, kai tai techniškai įmanoma.</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36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6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t>2015 m. lapkričio 25 d. Europos Parlamento ir Tarybos direktyva (ES) 2015/2366 dėl mokėjimo paslaugų vidaus rinkoje, pakeista Direktyva (ES) [įrašyti nuorodą – pasiūlymas dėl Direktyvos dėl mokėjimo paslaugų ir elektroninių pinigų paslaugų vidaus rinkoj</w:t>
            </w:r>
            <w:r>
              <w:t xml:space="preserve">e, COM/2023/366 final], reglamentuojama buveinės valstybių narių ir priimančiųjų valstybių narių kompetentingų institucijų vykdoma priežiūra, sankcijų tvarka ir priežiūros priemonės, susijusios su mokėjimo paslaugų teikėjų pareigų pagal šio reglamento IV, </w:t>
            </w:r>
            <w:r>
              <w:t>V, VI ir VII skyrius vykdymu.</w:t>
            </w:r>
          </w:p>
        </w:tc>
        <w:tc>
          <w:tcPr>
            <w:tcW w:w="4876" w:type="dxa"/>
            <w:hideMark/>
          </w:tcPr>
          <w:p w:rsidR="00CC11EF" w:rsidRPr="00156095" w:rsidRDefault="00B66595" w:rsidP="00CC11EF">
            <w:pPr>
              <w:pStyle w:val="Normal6"/>
              <w:rPr>
                <w:szCs w:val="24"/>
              </w:rPr>
            </w:pPr>
            <w:r>
              <w:t>2.</w:t>
            </w:r>
            <w:r>
              <w:tab/>
              <w:t>2015 m. lapkričio 25 d. Europos Parlamento ir Tarybos direktyva (ES) 2015/2366 dėl mokėjimo paslaugų vidaus rinkoje, pakeista Direktyva (ES) [įrašyti nuorodą – pasiūlymas dėl Direktyvos dėl mokėjimo paslaugų ir elektroninių</w:t>
            </w:r>
            <w:r>
              <w:t xml:space="preserve"> pinigų paslaugų vidaus rinkoje, COM/2023/366 final]</w:t>
            </w:r>
            <w:r>
              <w:rPr>
                <w:b/>
                <w:i/>
              </w:rPr>
              <w:t xml:space="preserve"> ir Reglamentu (ES) [įrašyti nuorodą – pasiūlymas dėl Reglamento dėl mokėjimo paslaugų vidaus rinkoje</w:t>
            </w:r>
            <w:r>
              <w:t>,</w:t>
            </w:r>
            <w:r>
              <w:rPr>
                <w:b/>
                <w:i/>
              </w:rPr>
              <w:t xml:space="preserve"> kuriuo iš dalies keičiamas Reglamentas (ES) Nr. 1093/2010, COM(2023)367 final]</w:t>
            </w:r>
            <w:r>
              <w:t xml:space="preserve"> reglamentuojama buvein</w:t>
            </w:r>
            <w:r>
              <w:t>ės valstybių narių ir priimančiųjų valstybių narių kompetentingų institucijų vykdoma priežiūra, sankcijų tvarka ir priežiūros priemonės, susijusios su mokėjimo paslaugų teikėjų pareigų pagal šio reglamento IV, V, VI ir VII skyrius vykdymu.</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37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6 straipsnio 2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2a.</w:t>
            </w:r>
            <w:r>
              <w:rPr>
                <w:b/>
                <w:i/>
              </w:rPr>
              <w:tab/>
              <w:t xml:space="preserve">Reglamentu (ES) 2016/679 ir Reglamentu (ES) 2018/1725 reglamentuojama </w:t>
            </w:r>
            <w:r>
              <w:rPr>
                <w:b/>
                <w:i/>
              </w:rPr>
              <w:t>kompetentingų institucijų vykdoma priežiūra, buveinės valstybių narių ir priimančiųjų valstybių narių kompetentingų institucijų sankcijų režimas ir priežiūros susitarimai, susiję su tuo, kaip duomenų valdytojai vykdo savo pareigas pagal šio reglamento VIII</w:t>
            </w:r>
            <w:r>
              <w:rPr>
                <w:b/>
                <w:i/>
              </w:rPr>
              <w:t xml:space="preserve"> skyrių.</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38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9 straipsnio 1 pastraipos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a)</w:t>
            </w:r>
            <w:r>
              <w:tab/>
              <w:t xml:space="preserve">gavėjas yra įmonė, kurioje dirba mažiau nei </w:t>
            </w:r>
            <w:r>
              <w:rPr>
                <w:b/>
                <w:i/>
              </w:rPr>
              <w:t>10</w:t>
            </w:r>
            <w:r>
              <w:t xml:space="preserve"> asmenų arba kurios metinė apyvarta arba bendras metinis balansas neviršija </w:t>
            </w:r>
            <w:r>
              <w:rPr>
                <w:b/>
                <w:i/>
              </w:rPr>
              <w:t>2</w:t>
            </w:r>
            <w:r>
              <w:t> mln. EUR, arba yra ne pelno teisės subjektas, kaip apibrėžta Europos Parlamento ir Tarybos reglamento (ES) 2021/695</w:t>
            </w:r>
            <w:r>
              <w:rPr>
                <w:vertAlign w:val="superscript"/>
              </w:rPr>
              <w:t>44</w:t>
            </w:r>
            <w:r>
              <w:t xml:space="preserve"> 2 straipsnio 18 punkte, išskyrus atvejus, kai gavėjas priima</w:t>
            </w:r>
            <w:r>
              <w:rPr>
                <w:b/>
                <w:i/>
              </w:rPr>
              <w:t xml:space="preserve"> panašias</w:t>
            </w:r>
            <w:r>
              <w:t xml:space="preserve"> skaitmenines mokėjimo priemones;</w:t>
            </w:r>
          </w:p>
        </w:tc>
        <w:tc>
          <w:tcPr>
            <w:tcW w:w="4876" w:type="dxa"/>
            <w:hideMark/>
          </w:tcPr>
          <w:p w:rsidR="00CC11EF" w:rsidRPr="00156095" w:rsidRDefault="00B66595" w:rsidP="00CC11EF">
            <w:pPr>
              <w:pStyle w:val="Normal6"/>
              <w:rPr>
                <w:szCs w:val="24"/>
              </w:rPr>
            </w:pPr>
            <w:r>
              <w:t>a)</w:t>
            </w:r>
            <w:r>
              <w:tab/>
              <w:t xml:space="preserve">gavėjas yra įmonė, kurioje dirba mažiau nei </w:t>
            </w:r>
            <w:r>
              <w:rPr>
                <w:b/>
                <w:i/>
              </w:rPr>
              <w:t>50</w:t>
            </w:r>
            <w:r>
              <w:t xml:space="preserve"> asmenų arba kurios metinė apyvarta arba bendras metinis balansas neviršija </w:t>
            </w:r>
            <w:r>
              <w:rPr>
                <w:b/>
                <w:i/>
              </w:rPr>
              <w:t>5</w:t>
            </w:r>
            <w:r>
              <w:t> mln. EUR, arba yra ne pelno teisės subjektas, kaip apibrėžta Europos Parlamento ir Tar</w:t>
            </w:r>
            <w:r>
              <w:t>ybos reglamento (ES) 2021/695</w:t>
            </w:r>
            <w:r>
              <w:rPr>
                <w:vertAlign w:val="superscript"/>
              </w:rPr>
              <w:t>44</w:t>
            </w:r>
            <w:r>
              <w:t xml:space="preserve"> 2 straipsnio 18 punkte, išskyrus atvejus, kai gavėjas priima skaitmenines mokėjimo priemones;</w:t>
            </w:r>
          </w:p>
        </w:tc>
      </w:tr>
      <w:tr w:rsidR="009525CF" w:rsidTr="00CC11EF">
        <w:trPr>
          <w:jc w:val="center"/>
        </w:trPr>
        <w:tc>
          <w:tcPr>
            <w:tcW w:w="4876" w:type="dxa"/>
            <w:hideMark/>
          </w:tcPr>
          <w:p w:rsidR="00CC11EF" w:rsidRPr="00156095" w:rsidRDefault="00B66595" w:rsidP="00CC11EF">
            <w:pPr>
              <w:pStyle w:val="Normal6"/>
            </w:pPr>
            <w:r>
              <w:t>__________________</w:t>
            </w:r>
          </w:p>
        </w:tc>
        <w:tc>
          <w:tcPr>
            <w:tcW w:w="4876" w:type="dxa"/>
            <w:hideMark/>
          </w:tcPr>
          <w:p w:rsidR="00CC11EF" w:rsidRPr="00156095" w:rsidRDefault="00B66595" w:rsidP="00CC11EF">
            <w:pPr>
              <w:pStyle w:val="Normal6"/>
              <w:rPr>
                <w:szCs w:val="24"/>
              </w:rPr>
            </w:pPr>
            <w:r>
              <w:t>__________________</w:t>
            </w:r>
          </w:p>
        </w:tc>
      </w:tr>
      <w:tr w:rsidR="009525CF" w:rsidTr="00CC11EF">
        <w:trPr>
          <w:jc w:val="center"/>
        </w:trPr>
        <w:tc>
          <w:tcPr>
            <w:tcW w:w="4876" w:type="dxa"/>
            <w:hideMark/>
          </w:tcPr>
          <w:p w:rsidR="00CC11EF" w:rsidRPr="00156095" w:rsidRDefault="00B66595" w:rsidP="00CC11EF">
            <w:pPr>
              <w:pStyle w:val="Normal6"/>
            </w:pPr>
            <w:r>
              <w:rPr>
                <w:vertAlign w:val="superscript"/>
              </w:rPr>
              <w:t>44</w:t>
            </w:r>
            <w:r>
              <w:t xml:space="preserve"> 2021 m. balandžio 28 d. Europos Parlamento ir Tarybos reglamentas (ES) 2021/695, kuriuo sukuriama bendroji mokslinių tyrimų ir inovacijų programa „Europos horizontas“, nustatomos su ja susijusios dalyvavimo ir sklaidos taisyklės ir panaikinami reglamentai</w:t>
            </w:r>
            <w:r>
              <w:t xml:space="preserve"> (ES) Nr. 1290/2013 ir (ES) Nr. 1291/2013 </w:t>
            </w:r>
            <w:r>
              <w:lastRenderedPageBreak/>
              <w:t>(OL L 170, 2021 5 12, p. 1).</w:t>
            </w:r>
          </w:p>
        </w:tc>
        <w:tc>
          <w:tcPr>
            <w:tcW w:w="4876" w:type="dxa"/>
            <w:hideMark/>
          </w:tcPr>
          <w:p w:rsidR="00CC11EF" w:rsidRPr="00156095" w:rsidRDefault="00B66595" w:rsidP="00CC11EF">
            <w:pPr>
              <w:pStyle w:val="Normal6"/>
              <w:rPr>
                <w:szCs w:val="24"/>
              </w:rPr>
            </w:pPr>
            <w:r>
              <w:rPr>
                <w:vertAlign w:val="superscript"/>
              </w:rPr>
              <w:lastRenderedPageBreak/>
              <w:t>44</w:t>
            </w:r>
            <w:r>
              <w:t xml:space="preserve"> 2021 m. balandžio 28 d. Europos Parlamento ir Tarybos reglamentas (ES) 2021/695, kuriuo sukuriama bendroji mokslinių tyrimų ir inovacijų programa „Europos horizontas“, nustatomos su </w:t>
            </w:r>
            <w:r>
              <w:t xml:space="preserve">ja susijusios dalyvavimo ir sklaidos taisyklės ir panaikinami reglamentai (ES) Nr. 1290/2013 ir (ES) Nr. 1291/2013 </w:t>
            </w:r>
            <w:r>
              <w:lastRenderedPageBreak/>
              <w:t>(OL L 170, 2021 5 12, p. 1).</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39</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13 strai</w:t>
      </w:r>
      <w:r>
        <w:t>psnio 1 dalies 2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Europos Centrinis Bankas gali apriboti b ir c punktuose nurodytų skaitmeninio euro naudotojų prieigą prie skaitmeninio euro ir jo naudojimą tam tikru laikotarpiu, laikydamasis 16</w:t>
            </w:r>
            <w:r>
              <w:t xml:space="preserve"> straipsnio 2 dalyje nustatytų sąlygų. Tie laikotarpiai nustatomi atsižvelgiant į skaitmeninio euro naudotojų gyvenamąją vietą arba lankytojo statusą.</w:t>
            </w:r>
          </w:p>
        </w:tc>
        <w:tc>
          <w:tcPr>
            <w:tcW w:w="4876" w:type="dxa"/>
            <w:hideMark/>
          </w:tcPr>
          <w:p w:rsidR="00CC11EF" w:rsidRPr="00156095" w:rsidRDefault="00B66595" w:rsidP="00CC11EF">
            <w:pPr>
              <w:pStyle w:val="Normal6"/>
              <w:rPr>
                <w:szCs w:val="24"/>
              </w:rPr>
            </w:pPr>
            <w:r>
              <w:t>Europos Centrinis Bankas</w:t>
            </w:r>
            <w:r>
              <w:rPr>
                <w:b/>
                <w:i/>
              </w:rPr>
              <w:t>, siekiant apsaugoti savo pinigų politikos tikslus,</w:t>
            </w:r>
            <w:r>
              <w:t xml:space="preserve"> gali apriboti b ir c punktuos</w:t>
            </w:r>
            <w:r>
              <w:t xml:space="preserve">e nurodytų skaitmeninio euro naudotojų prieigą prie skaitmeninio euro ir jo naudojimą tam tikru laikotarpiu, laikydamasis 16 straipsnio 2 dalyje nustatytų sąlygų. Tie laikotarpiai nustatomi atsižvelgiant į skaitmeninio euro naudotojų gyvenamąją vietą arba </w:t>
            </w:r>
            <w:r>
              <w:t>lankytojo statusą.</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40</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13 straipsnio 4 dalies 2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 xml:space="preserve">Taikant a ir b punktus ir gavus </w:t>
            </w:r>
            <w:r>
              <w:rPr>
                <w:b/>
                <w:i/>
              </w:rPr>
              <w:t xml:space="preserve">išankstinį </w:t>
            </w:r>
            <w:r>
              <w:t xml:space="preserve">skaitmeninio euro naudotojų </w:t>
            </w:r>
            <w:r>
              <w:rPr>
                <w:b/>
                <w:i/>
              </w:rPr>
              <w:t>sutikimą</w:t>
            </w:r>
            <w:r>
              <w:t>, mokėjimo paslaugų teikėjai susieja kiekvieną mokėjimo skaitmeniniais eurais sąskaitą su viena mokėjimo neskaitmeniniais eurais sąskaita, kurią nurodo skaitmeninio euro naudotojai. Skaitmeninio euro naudotojams leidžiam</w:t>
            </w:r>
            <w:r>
              <w:t>a tą nurodytą mokėjimo neskaitmeniniais eurais sąskaitą turėti kito mokėjimo paslaugų teikėjo, nei tas, kurio įstaigoje laikoma tam tikra mokėjimo skaitmeniniais eurais sąskaita, įstaigoje.</w:t>
            </w:r>
          </w:p>
        </w:tc>
        <w:tc>
          <w:tcPr>
            <w:tcW w:w="4876" w:type="dxa"/>
            <w:hideMark/>
          </w:tcPr>
          <w:p w:rsidR="00CC11EF" w:rsidRPr="00156095" w:rsidRDefault="00B66595" w:rsidP="00CC11EF">
            <w:pPr>
              <w:pStyle w:val="Normal6"/>
              <w:rPr>
                <w:szCs w:val="24"/>
              </w:rPr>
            </w:pPr>
            <w:r>
              <w:t xml:space="preserve">Taikant a ir b punktus ir gavus skaitmeninio euro naudotojų </w:t>
            </w:r>
            <w:r>
              <w:rPr>
                <w:b/>
                <w:i/>
              </w:rPr>
              <w:t>leidim</w:t>
            </w:r>
            <w:r>
              <w:rPr>
                <w:b/>
                <w:i/>
              </w:rPr>
              <w:t>ą</w:t>
            </w:r>
            <w:r>
              <w:t>, mokėjimo paslaugų teikėjai susieja kiekvieną mokėjimo skaitmeniniais eurais sąskaitą su viena mokėjimo neskaitmeniniais eurais sąskaita, kurią nurodo skaitmeninio euro naudotojai. Skaitmeninio euro naudotojams leidžiama tą nurodytą mokėjimo neskaitmenin</w:t>
            </w:r>
            <w:r>
              <w:t>iais eurais sąskaitą turėti kito mokėjimo paslaugų teikėjo, nei tas, kurio įstaigoje laikoma tam tikra mokėjimo skaitmeniniais eurais sąskaita, įstaigoje.</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41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13 straipsnio 6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6a.</w:t>
            </w:r>
            <w:r>
              <w:rPr>
                <w:b/>
                <w:i/>
              </w:rPr>
              <w:tab/>
              <w:t xml:space="preserve">Tuo atveju, kai mokėjimo paslaugų teikėjui, teikiančiam skaitmenines mokėjimo eurais paslaugas, pradedama nemokumo procedūra ar kitos panašios procedūros, tai </w:t>
            </w:r>
            <w:r>
              <w:rPr>
                <w:b/>
                <w:i/>
              </w:rPr>
              <w:t>nedaro poveikio skaitmeninio euro naudotojų turimoms skaitmeninių eurų sumoms.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42</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14 straipsnio 3 dalies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a)</w:t>
            </w:r>
            <w:r>
              <w:tab/>
              <w:t>pagrindines mokėjimo skaitmeniniais eurais paslaugas</w:t>
            </w:r>
            <w:r>
              <w:rPr>
                <w:b/>
                <w:i/>
              </w:rPr>
              <w:t xml:space="preserve"> 13 straipsnio 1 dalies a punkte nurodytiems </w:t>
            </w:r>
            <w:r>
              <w:t>fiziniams asmenims</w:t>
            </w:r>
            <w:r>
              <w:rPr>
                <w:b/>
                <w:i/>
              </w:rPr>
              <w:t>, kurie neturi arba nenori turėti mokėjimo neskaitmeniniais eurais sąskaitos</w:t>
            </w:r>
            <w:r>
              <w:t>;</w:t>
            </w:r>
          </w:p>
        </w:tc>
        <w:tc>
          <w:tcPr>
            <w:tcW w:w="4876" w:type="dxa"/>
            <w:hideMark/>
          </w:tcPr>
          <w:p w:rsidR="00CC11EF" w:rsidRPr="00156095" w:rsidRDefault="00B66595" w:rsidP="00CC11EF">
            <w:pPr>
              <w:pStyle w:val="Normal6"/>
              <w:rPr>
                <w:szCs w:val="24"/>
              </w:rPr>
            </w:pPr>
            <w:r>
              <w:t>a)</w:t>
            </w:r>
            <w:r>
              <w:tab/>
              <w:t>pagrindines mokėjimo skaitmeniniais eurais pa</w:t>
            </w:r>
            <w:r>
              <w:t>slaugas</w:t>
            </w:r>
            <w:r>
              <w:rPr>
                <w:b/>
                <w:i/>
              </w:rPr>
              <w:t> </w:t>
            </w:r>
            <w:r>
              <w:t>fiziniams asmenims;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43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14 straipsnio 3 dalies b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b)</w:t>
            </w:r>
            <w:r>
              <w:tab/>
              <w:t xml:space="preserve">pagrindines skaitmenines mokėjimo </w:t>
            </w:r>
            <w:r>
              <w:t>paslaugas ir skaitmeninės įtraukties paramą tiesiogiai asmeniškai asmenims su negalia, funkcinių sutrikimų ar ribotų skaitmeninių įgūdžių turintiems asmenims ir vyresnio amžiaus asmenims.</w:t>
            </w:r>
          </w:p>
        </w:tc>
        <w:tc>
          <w:tcPr>
            <w:tcW w:w="4876" w:type="dxa"/>
            <w:hideMark/>
          </w:tcPr>
          <w:p w:rsidR="00CC11EF" w:rsidRPr="00156095" w:rsidRDefault="00B66595" w:rsidP="00CC11EF">
            <w:pPr>
              <w:pStyle w:val="Normal6"/>
              <w:rPr>
                <w:szCs w:val="24"/>
              </w:rPr>
            </w:pPr>
            <w:r>
              <w:t>b)</w:t>
            </w:r>
            <w:r>
              <w:tab/>
              <w:t>pagrindines skaitmenines mokėjimo paslaugas ir skaitmeninės įtrau</w:t>
            </w:r>
            <w:r>
              <w:t xml:space="preserve">kties paramą tiesiogiai asmeniškai </w:t>
            </w:r>
            <w:r>
              <w:rPr>
                <w:b/>
                <w:i/>
              </w:rPr>
              <w:t xml:space="preserve">visiems vartotojams, ypač </w:t>
            </w:r>
            <w:r>
              <w:t>asmenims su negalia, funkcinių sutrikimų ar ribotų skaitmeninių įgūdžių turintiems asmenims ir vyresnio amžiaus asmenims.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44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 xml:space="preserve">Pasiūlymas dėl </w:t>
      </w:r>
      <w:r>
        <w:t>reglamento</w:t>
      </w:r>
      <w:r>
        <w:rPr>
          <w:rStyle w:val="HideTWBExt"/>
          <w:b w:val="0"/>
        </w:rPr>
        <w:t>&lt;/DocAmend&gt;</w:t>
      </w:r>
    </w:p>
    <w:p w:rsidR="00CC11EF" w:rsidRPr="00156095" w:rsidRDefault="00B66595" w:rsidP="00CC11EF">
      <w:pPr>
        <w:pStyle w:val="NormalBold"/>
      </w:pPr>
      <w:r>
        <w:rPr>
          <w:rStyle w:val="HideTWBExt"/>
          <w:b w:val="0"/>
        </w:rPr>
        <w:t>&lt;Article&gt;</w:t>
      </w:r>
      <w:r>
        <w:t>14 straipsnio 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3a.</w:t>
            </w:r>
            <w:r>
              <w:rPr>
                <w:b/>
                <w:i/>
              </w:rPr>
              <w:tab/>
              <w:t xml:space="preserve">Valstybės narės užtikrina, kad visi skaitmeninio euro naudotojai gautų pakankamą ir veiksmingą prieigą prie pirmoje pastraipoje nurodytų </w:t>
            </w:r>
            <w:r>
              <w:rPr>
                <w:b/>
                <w:i/>
              </w:rPr>
              <w:t>subjektų, teikdami aukšto lygio paramą ir paslaugas, visų pirma pritaikytas konkretiems pažeidžiamų vartotojų poreikiams.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45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14 straipsnio 4 dalis</w:t>
      </w:r>
      <w:r>
        <w:rPr>
          <w:rStyle w:val="HideTWBExt"/>
          <w:b w:val="0"/>
        </w:rPr>
        <w:t>&lt;/Article</w:t>
      </w:r>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w:t>
            </w:r>
            <w:r>
              <w:tab/>
              <w:t xml:space="preserve">1–3 dalyse nurodyti mokėjimo paslaugų teikėjai remia asmenų su negalia, funkcinių sutrikimų ar ribotų skaitmeninių įgūdžių turinčių asmenų ir vyresnio amžiaus asmenų skaitmeninę įtrauktį. Nedarant poveikio 3 </w:t>
            </w:r>
            <w:r>
              <w:t>dalies b punktui, skaitmeninės įtraukties rėmimas apima specialią paramą, skirtą prisijungti prie sąskaitos skaitmeniniais eurais ir naudotis visomis pagrindinėmis skaitmeninio euro paslaugomis.</w:t>
            </w:r>
          </w:p>
        </w:tc>
        <w:tc>
          <w:tcPr>
            <w:tcW w:w="4876" w:type="dxa"/>
            <w:hideMark/>
          </w:tcPr>
          <w:p w:rsidR="00CC11EF" w:rsidRPr="00156095" w:rsidRDefault="00B66595" w:rsidP="00CC11EF">
            <w:pPr>
              <w:pStyle w:val="Normal6"/>
              <w:rPr>
                <w:szCs w:val="24"/>
              </w:rPr>
            </w:pPr>
            <w:r>
              <w:t>4.</w:t>
            </w:r>
            <w:r>
              <w:tab/>
              <w:t>1–3 dalyse nurodyti mokėjimo paslaugų teikėjai remia asmen</w:t>
            </w:r>
            <w:r>
              <w:t>ų su negalia, funkcinių sutrikimų ar ribotų skaitmeninių įgūdžių turinčių asmenų ir vyresnio amžiaus asmenų skaitmeninę įtrauktį. Nedarant poveikio 3 dalies b punktui, skaitmeninės įtraukties rėmimas apima specialią paramą, skirtą prisijungti prie sąskaito</w:t>
            </w:r>
            <w:r>
              <w:t xml:space="preserve">s skaitmeniniais eurais ir naudotis visomis pagrindinėmis skaitmeninio euro paslaugomis. </w:t>
            </w:r>
            <w:r>
              <w:rPr>
                <w:b/>
                <w:i/>
              </w:rPr>
              <w:t>Skaitmeninės įtraukties parama teikiama nemokamai kaip pagrindinių skaitmeninio euro paslaugų dalis.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46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14 straipsnio 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5.</w:t>
            </w:r>
            <w:r>
              <w:tab/>
              <w:t xml:space="preserve">Sąjungos kovos su pinigų plovimu institucija (toliau – AMLA), įsteigta pagal Reglamentą (ES) [įrašyti nuorodą – pasiūlymas dėl </w:t>
            </w:r>
            <w:r>
              <w:t xml:space="preserve">Reglamento, kuriuo įsteigiama ES kovos su pinigų plovimu ir </w:t>
            </w:r>
            <w:r>
              <w:lastRenderedPageBreak/>
              <w:t>terorizmo finansavimu institucija, COM/2021/421 final], ir Europos bankininkystės institucija kartu parengia gaires, kuriose nurodoma kovos su pinigų plovimu ir terorizmo finansavimu reikalavimų i</w:t>
            </w:r>
            <w:r>
              <w:t>r pagrindinių mokėjimo skaitmeniniais eurais paslaugų teikimo sąveika, ypatingą dėmesį skiriant pažeidžiamų grupių, įskaitant prieglobsčio prašytojus arba tarptautinės apsaugos gavėjus, asmenis, neturinčius nuolatinės gyvenamosios vietos, arba trečiųjų val</w:t>
            </w:r>
            <w:r>
              <w:t>stybių piliečius, kuriems nesuteiktas leidimas gyventi šalyje, tačiau kurių neįmanoma išsiųsti dėl teisinių ar faktinių priežasčių, finansinei įtraukčiai.</w:t>
            </w:r>
          </w:p>
        </w:tc>
        <w:tc>
          <w:tcPr>
            <w:tcW w:w="4876" w:type="dxa"/>
            <w:hideMark/>
          </w:tcPr>
          <w:p w:rsidR="00CC11EF" w:rsidRPr="00156095" w:rsidRDefault="00B66595" w:rsidP="00CC11EF">
            <w:pPr>
              <w:pStyle w:val="Normal6"/>
              <w:rPr>
                <w:szCs w:val="24"/>
              </w:rPr>
            </w:pPr>
            <w:r>
              <w:lastRenderedPageBreak/>
              <w:t>5.</w:t>
            </w:r>
            <w:r>
              <w:tab/>
            </w:r>
            <w:r>
              <w:rPr>
                <w:b/>
                <w:bCs/>
                <w:i/>
                <w:iCs/>
              </w:rPr>
              <w:t>Sąjungos kovos su pinigų plovimu institucija</w:t>
            </w:r>
            <w:r>
              <w:rPr>
                <w:b/>
                <w:bCs/>
              </w:rPr>
              <w:t xml:space="preserve"> </w:t>
            </w:r>
            <w:r>
              <w:t>(toliau – AMLA), įsteigta pagal Reglamentą (ES) [įraš</w:t>
            </w:r>
            <w:r>
              <w:t xml:space="preserve">yti nuorodą – pasiūlymas dėl Reglamento, kuriuo įsteigiama ES kovos su pinigų plovimu ir </w:t>
            </w:r>
            <w:r>
              <w:lastRenderedPageBreak/>
              <w:t>terorizmo finansavimu institucija, COM/2021/421 final], ir Europos bankininkystės institucija kartu parengia gaires, kuriose nurodoma kovos su pinigų plovimu ir terori</w:t>
            </w:r>
            <w:r>
              <w:t>zmo finansavimu reikalavimų ir pagrindinių mokėjimo skaitmeniniais eurais paslaugų teikimo sąveika, ypatingą dėmesį skiriant pažeidžiamų grupių, įskaitant prieglobsčio prašytojus arba tarptautinės apsaugos gavėjus, asmenis, neturinčius nuolatinės gyvenamos</w:t>
            </w:r>
            <w:r>
              <w:t>ios vietos, arba trečiųjų valstybių piliečius, kuriems nesuteiktas leidimas gyventi šalyje, tačiau kurių neįmanoma išsiųsti dėl teisinių ar faktinių priežasčių, finansinei įtraukčiai.</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47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w:t>
      </w:r>
      <w:r>
        <w:t xml:space="preserve"> reglamento</w:t>
      </w:r>
      <w:r>
        <w:rPr>
          <w:rStyle w:val="HideTWBExt"/>
          <w:b w:val="0"/>
        </w:rPr>
        <w:t>&lt;/DocAmend&gt;</w:t>
      </w:r>
    </w:p>
    <w:p w:rsidR="00CC11EF" w:rsidRPr="00156095" w:rsidRDefault="00B66595" w:rsidP="00CC11EF">
      <w:pPr>
        <w:pStyle w:val="NormalBold"/>
      </w:pPr>
      <w:r>
        <w:rPr>
          <w:rStyle w:val="HideTWBExt"/>
          <w:b w:val="0"/>
        </w:rPr>
        <w:t>&lt;Article&gt;</w:t>
      </w:r>
      <w:r>
        <w:t>16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w:t>
            </w:r>
            <w:r>
              <w:tab/>
              <w:t xml:space="preserve">Taikant 15 straipsnio 1 dalį Europos Centrinis Bankas parengia priemones, kuriomis ribojamas skaitmeninio euro, kaip vertės išsaugojimo priemonės, </w:t>
            </w:r>
            <w:r>
              <w:t>naudojimas, ir priima sprendimus dėl jų parametrų ir naudojimo pagal šiame straipsnyje nustatytą sistemą. MPT, teikiantys sąskaitų tvarkymo mokėjimo paslaugas, kaip apibrėžta Direktyvoje (ES) 2015/2366, 12 straipsnio 1 dalyje nurodytiems fiziniams ir jurid</w:t>
            </w:r>
            <w:r>
              <w:t>iniams asmenims taiko šiuos apribojimus mokėjimo skaitmeniniais eurais sąskaitoms.</w:t>
            </w:r>
          </w:p>
        </w:tc>
        <w:tc>
          <w:tcPr>
            <w:tcW w:w="4876" w:type="dxa"/>
            <w:hideMark/>
          </w:tcPr>
          <w:p w:rsidR="00CC11EF" w:rsidRPr="00156095" w:rsidRDefault="00B66595" w:rsidP="00CC11EF">
            <w:pPr>
              <w:pStyle w:val="Normal6"/>
              <w:rPr>
                <w:szCs w:val="24"/>
              </w:rPr>
            </w:pPr>
            <w:r>
              <w:t>1.</w:t>
            </w:r>
            <w:r>
              <w:tab/>
              <w:t>Taikant 15 straipsnio 1 dalį</w:t>
            </w:r>
            <w:r>
              <w:rPr>
                <w:b/>
                <w:i/>
              </w:rPr>
              <w:t>, jei būtų įvesti apribojimai,</w:t>
            </w:r>
            <w:r>
              <w:t xml:space="preserve"> Europos Centrinis Bankas parengia priemones, kuriomis ribojamas skaitmeninio euro, kaip vertės išsaugojimo prie</w:t>
            </w:r>
            <w:r>
              <w:t>monės, naudojimas, ir priima sprendimus dėl jų parametrų ir naudojimo pagal šiame straipsnyje nustatytą sistemą. MPT, teikiantys sąskaitų tvarkymo mokėjimo paslaugas, kaip apibrėžta Direktyvoje (ES) 2015/2366, 12 straipsnio 1 dalyje nurodytiems fiziniams i</w:t>
            </w:r>
            <w:r>
              <w:t>r juridiniams asmenims taiko šiuos apribojimus mokėjimo skaitmeniniais eurais sąskaitoms.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48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16 straipsnio 2 dalies c a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ca)</w:t>
            </w:r>
            <w:r>
              <w:rPr>
                <w:b/>
                <w:i/>
              </w:rPr>
              <w:tab/>
              <w:t>atspindėti šiuolaikines tendencijas ir riziką, susijusią su pinigų plovimu ir terorizmo finansavimu.</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49</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16 </w:t>
      </w:r>
      <w:r>
        <w:t>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w:t>
            </w:r>
            <w:r>
              <w:tab/>
              <w:t>Visos pagal 1 dalį nustatytos mokėjimo skaitmeniniais eurais sąskaitose turimų sumų ribos taikomos tiek neinternetinėms, tiek internetinėms turimoms sumoms. Kai skaitmeninio euro naud</w:t>
            </w:r>
            <w:r>
              <w:t>otojas naudoja skaitmeninį eurą tiek ne internetu, tiek internetu, internetiniam skaitmeniniam eurui taikoma riba yra lygi Europos Centrinio Banko nustatytai bendrai ribai, atėmus skaitmeninio euro naudotojų nustatytą turimos neinternetinio skaitmeninio eu</w:t>
            </w:r>
            <w:r>
              <w:t>ro sumos ribą. Skaitmeninio euro naudotojas gali nustatyti bet kokią savo neinternetinės turimos sumos ribą nuo nulio iki turimos sumos ribos, nustatytos pagal 37 straipsnį.</w:t>
            </w:r>
          </w:p>
        </w:tc>
        <w:tc>
          <w:tcPr>
            <w:tcW w:w="4876" w:type="dxa"/>
            <w:hideMark/>
          </w:tcPr>
          <w:p w:rsidR="00CC11EF" w:rsidRPr="00156095" w:rsidRDefault="00B66595" w:rsidP="00CC11EF">
            <w:pPr>
              <w:pStyle w:val="Normal6"/>
              <w:rPr>
                <w:szCs w:val="24"/>
              </w:rPr>
            </w:pPr>
            <w:r>
              <w:t>4.</w:t>
            </w:r>
            <w:r>
              <w:tab/>
              <w:t xml:space="preserve">Visos pagal 1 dalį nustatytos mokėjimo skaitmeniniais eurais sąskaitose turimų </w:t>
            </w:r>
            <w:r>
              <w:t>sumų ribos taikomos tiek neinternetinėms, tiek internetinėms turimoms sumoms. Kai skaitmeninio euro naudotojas naudoja skaitmeninį eurą tiek ne internetu, tiek internetu, internetiniam skaitmeniniam eurui taikoma riba yra lygi Europos Centrinio Banko nusta</w:t>
            </w:r>
            <w:r>
              <w:t>tytai bendrai ribai, atėmus skaitmeninio euro naudotojų nustatytą turimos neinternetinio skaitmeninio euro sumos ribą. Skaitmeninio euro naudotojas gali nustatyti bet kokią savo neinternetinės turimos sumos ribą nuo nulio iki turimos sumos ribos, nustatyto</w:t>
            </w:r>
            <w:r>
              <w:t xml:space="preserve">s pagal 37 straipsnį. </w:t>
            </w:r>
            <w:r>
              <w:rPr>
                <w:b/>
                <w:i/>
              </w:rPr>
              <w:t>Europos Centrinis Bankas taip pat gali apsvarstyti galimybę nustatyti skaitmeninio euro internete ir ne internete apribojimus, kurie būtų nepriklausomi vienas nuo kito, siekiant kuo labiau apsaugoti neinternetinio skaitmeninio euro na</w:t>
            </w:r>
            <w:r>
              <w:rPr>
                <w:b/>
                <w:i/>
              </w:rPr>
              <w:t>udotojų privatumą.</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50</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17 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w:t>
            </w:r>
            <w:r>
              <w:tab/>
              <w:t xml:space="preserve">Europos Centrinis Bankas gali </w:t>
            </w:r>
            <w:r>
              <w:lastRenderedPageBreak/>
              <w:t xml:space="preserve">reikalauti, kad mokėjimo </w:t>
            </w:r>
            <w:r>
              <w:t>paslaugų teikėjai pateiktų visą informaciją, būtiną šiam straipsniui taikyti, ir patikrintų, ar jo laikomasi. Visą prašomą informaciją mokėjimo paslaugų teikėjai išsiunčia per Europos Centrinio Banko nustatytą terminą. Europos Centrinis Bankas gali reikala</w:t>
            </w:r>
            <w:r>
              <w:t>uti, kad tokia informacija būtų patvirtinta nepriklausomo auditoriaus.</w:t>
            </w:r>
          </w:p>
        </w:tc>
        <w:tc>
          <w:tcPr>
            <w:tcW w:w="4876" w:type="dxa"/>
            <w:hideMark/>
          </w:tcPr>
          <w:p w:rsidR="00CC11EF" w:rsidRPr="00156095" w:rsidRDefault="00B66595" w:rsidP="00CC11EF">
            <w:pPr>
              <w:pStyle w:val="Normal6"/>
              <w:rPr>
                <w:szCs w:val="24"/>
              </w:rPr>
            </w:pPr>
            <w:r>
              <w:lastRenderedPageBreak/>
              <w:t>4.</w:t>
            </w:r>
            <w:r>
              <w:tab/>
              <w:t xml:space="preserve">Europos Centrinis Bankas gali </w:t>
            </w:r>
            <w:r>
              <w:lastRenderedPageBreak/>
              <w:t>reikalauti, kad mokėjimo paslaugų teikėjai pateiktų visą informaciją, būtiną šiam straipsniui taikyti, ir patikrintų, ar jo laikomasi.</w:t>
            </w:r>
            <w:r>
              <w:rPr>
                <w:b/>
                <w:i/>
              </w:rPr>
              <w:t xml:space="preserve"> Kai ši informacij</w:t>
            </w:r>
            <w:r>
              <w:rPr>
                <w:b/>
                <w:i/>
              </w:rPr>
              <w:t>a yra susijusi su asmens duomenimis,</w:t>
            </w:r>
            <w:r>
              <w:t xml:space="preserve"> Europos </w:t>
            </w:r>
            <w:r>
              <w:rPr>
                <w:b/>
                <w:i/>
              </w:rPr>
              <w:t>Centrinis Bankas reikalauja pateikti tik tuos duomenis, kurie yra tikrai būtini duomenų tvarkymo tikslais</w:t>
            </w:r>
            <w:r>
              <w:t xml:space="preserve">, </w:t>
            </w:r>
            <w:r>
              <w:rPr>
                <w:b/>
                <w:i/>
              </w:rPr>
              <w:t>ir visapusiškai įgyvendinant duomenų kiekio mažinimo principą</w:t>
            </w:r>
            <w:r>
              <w:t>. Visą prašomą informaciją mokėjimo paslaug</w:t>
            </w:r>
            <w:r>
              <w:t xml:space="preserve">ų teikėjai išsiunčia per Europos Centrinio Banko nustatytą terminą. Europos Centrinis Bankas gali reikalauti, kad tokia informacija būtų patvirtinta nepriklausomo auditoriaus. </w:t>
            </w:r>
            <w:r>
              <w:rPr>
                <w:b/>
                <w:i/>
              </w:rPr>
              <w:t xml:space="preserve"> </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51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 xml:space="preserve">Pasiūlymas dėl </w:t>
      </w:r>
      <w:r>
        <w:t>reglamento</w:t>
      </w:r>
      <w:r>
        <w:rPr>
          <w:rStyle w:val="HideTWBExt"/>
          <w:b w:val="0"/>
        </w:rPr>
        <w:t>&lt;/DocAmend&gt;</w:t>
      </w:r>
    </w:p>
    <w:p w:rsidR="00CC11EF" w:rsidRPr="00156095" w:rsidRDefault="00B66595" w:rsidP="00CC11EF">
      <w:pPr>
        <w:pStyle w:val="NormalBold"/>
      </w:pPr>
      <w:r>
        <w:rPr>
          <w:rStyle w:val="HideTWBExt"/>
          <w:b w:val="0"/>
        </w:rPr>
        <w:t>&lt;Article&gt;</w:t>
      </w:r>
      <w:r>
        <w:t>18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w:t>
            </w:r>
            <w:r>
              <w:tab/>
              <w:t>Mokėjimo paslaugų teikėjai gali platinti skaitmeninį eurą fiziniams ir juridiniams asmenims, gyvenantiems arba įsisteigusiems valstybėje narėje, kuri</w:t>
            </w:r>
            <w:r>
              <w:t>os valiuta nėra euras, tik jei Europos Centrinis Bankas ir tos valstybės narės nacionalinis centrinis bankas tuo tikslu yra pasirašę susitarimą.</w:t>
            </w:r>
          </w:p>
        </w:tc>
        <w:tc>
          <w:tcPr>
            <w:tcW w:w="4876" w:type="dxa"/>
            <w:hideMark/>
          </w:tcPr>
          <w:p w:rsidR="00CC11EF" w:rsidRPr="00156095" w:rsidRDefault="00B66595" w:rsidP="00CC11EF">
            <w:pPr>
              <w:pStyle w:val="Normal6"/>
              <w:rPr>
                <w:szCs w:val="24"/>
              </w:rPr>
            </w:pPr>
            <w:r>
              <w:t>1.</w:t>
            </w:r>
            <w:r>
              <w:tab/>
              <w:t>Mokėjimo paslaugų teikėjai gali platinti skaitmeninį eurą fiziniams ir juridiniams asmenims, gyvenantiems ar</w:t>
            </w:r>
            <w:r>
              <w:t xml:space="preserve">ba įsisteigusiems valstybėje narėje, kurios valiuta nėra euras, tik jei Europos Centrinis Bankas ir tos valstybės narės nacionalinis centrinis bankas tuo tikslu yra pasirašę susitarimą. </w:t>
            </w:r>
            <w:r>
              <w:rPr>
                <w:b/>
                <w:i/>
              </w:rPr>
              <w:t>Pagal tokį susitarimą toje valstybėje narėje gyvenantys arba įsisteigę</w:t>
            </w:r>
            <w:r>
              <w:rPr>
                <w:b/>
                <w:i/>
              </w:rPr>
              <w:t xml:space="preserve"> fiziniai ir juridiniai asmenys, norintys tapti skaitmeninio euro naudotojais, gauna tas pačias skaitmeninio euro naudojimo sąlygas ir galimybes kaip ir skaitmeninio euro naudotojai valstybėse narėse, kurių valiuta yra euro, nedarant poveikio Europos Centr</w:t>
            </w:r>
            <w:r>
              <w:rPr>
                <w:b/>
                <w:i/>
              </w:rPr>
              <w:t>inio Banko prerogatyvai apsaugoti savo pinigų politikos tikslus.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52</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lastRenderedPageBreak/>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18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w:t>
            </w:r>
            <w:r>
              <w:tab/>
              <w:t xml:space="preserve">1 dalyje </w:t>
            </w:r>
            <w:r>
              <w:t>nurodytame susitarime nurodomos būtinos įgyvendinimo priemonės bei procedūros ir atvejai, kuriais susitarimas gali būti apribotas, sustabdytas arba nutrauktas.</w:t>
            </w:r>
          </w:p>
        </w:tc>
        <w:tc>
          <w:tcPr>
            <w:tcW w:w="4876" w:type="dxa"/>
            <w:hideMark/>
          </w:tcPr>
          <w:p w:rsidR="00CC11EF" w:rsidRPr="00156095" w:rsidRDefault="00B66595" w:rsidP="00CC11EF">
            <w:pPr>
              <w:pStyle w:val="Normal6"/>
              <w:rPr>
                <w:szCs w:val="24"/>
              </w:rPr>
            </w:pPr>
            <w:r>
              <w:t>3.</w:t>
            </w:r>
            <w:r>
              <w:tab/>
              <w:t>1 dalyje nurodytame susitarime nurodomos būtinos įgyvendinimo priemonės bei procedūros ir atv</w:t>
            </w:r>
            <w:r>
              <w:t>ejai, kuriais susitarimas gali būti apribotas, sustabdytas arba nutrauktas.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53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18 straipsnio 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3a.</w:t>
            </w:r>
            <w:r>
              <w:rPr>
                <w:b/>
                <w:i/>
              </w:rPr>
              <w:tab/>
              <w:t xml:space="preserve">Europos centrinis bankas valstybių narių, kurių valiuta nėra euro, nacionaliniams centriniams bankams teikia atitinkamą informaciją ir pagalbą, kad būtų lengviau pasirašyti 1 dalyje nurodytus susitarimus. Šiuo tikslu Komisija gali rengti </w:t>
            </w:r>
            <w:r>
              <w:rPr>
                <w:b/>
                <w:i/>
              </w:rPr>
              <w:t>informavimo kampanijas, kad informuotų valstybes nares, kurių valiuta nėra euro, apie įvairias skaitmeninio euro savybes, įskaitant jo naudojimo naudą, taip pat jo aspektus, susijusius su pagrindinių teisių ir laisvių apsauga ir naudojimusi jomis.</w:t>
            </w:r>
          </w:p>
        </w:tc>
      </w:tr>
    </w:tbl>
    <w:p w:rsidR="00CC11EF" w:rsidRPr="00156095" w:rsidRDefault="00B66595" w:rsidP="00CC11EF">
      <w:r>
        <w:rPr>
          <w:rStyle w:val="HideTWBExt"/>
        </w:rPr>
        <w:t>&lt;/Amend</w:t>
      </w:r>
      <w:r>
        <w:rPr>
          <w:rStyle w:val="HideTWBExt"/>
        </w:rPr>
        <w:t>&gt;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54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19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w:t>
            </w:r>
            <w:r>
              <w:tab/>
              <w:t>Sąjungos ir trečiosios valstybės susitarime nurodomos būtinos įgyvendinimo priemonės</w:t>
            </w:r>
            <w:r>
              <w:t xml:space="preserve"> ir procedūros, taip pat atvejai, kuriais susitarimas gali būti apribotas, sustabdytas arba nutrauktas, visų pirma tais atvejais, kai nustatoma, kad trečioji valstybė yra trečioji valstybė, </w:t>
            </w:r>
            <w:r>
              <w:lastRenderedPageBreak/>
              <w:t>turinti didelių strateginių jos nacionalinės kovos su pinigų plovi</w:t>
            </w:r>
            <w:r>
              <w:t>mu ir terorizmo finansavimu tvarkos trūkumų, kaip nurodyta Reglamento [įrašyti nuorodą – pasiūlymas dėl Kovos su pinigų plovimu reglamento, COM/2021/420 final] 23 straipsnyje, arba trečioji valstybė, turinti nacionalinės kovos su pinigų plovimu ir terorizm</w:t>
            </w:r>
            <w:r>
              <w:t>o finansavimu tvarkos atitikties trūkumų, kaip nurodyta Reglamento [įrašyti nuorodą – pasiūlymas dėl Kovos su pinigų plovimu reglamento, COM/2021/420 final] 24 straipsnyje</w:t>
            </w:r>
            <w:r>
              <w:rPr>
                <w:b/>
                <w:i/>
              </w:rPr>
              <w:t>.</w:t>
            </w:r>
            <w:r>
              <w:t xml:space="preserve"> Toks susitarimas papildomas Europos Centrinio Banko ir trečiosios valstybės naciona</w:t>
            </w:r>
            <w:r>
              <w:t>linio centrinio banko ir, kai tinkama, jos nacionalinės kompetentingos institucijos susitarimu.</w:t>
            </w:r>
          </w:p>
        </w:tc>
        <w:tc>
          <w:tcPr>
            <w:tcW w:w="4876" w:type="dxa"/>
            <w:hideMark/>
          </w:tcPr>
          <w:p w:rsidR="00CC11EF" w:rsidRPr="00156095" w:rsidRDefault="00B66595" w:rsidP="00CC11EF">
            <w:pPr>
              <w:pStyle w:val="Normal6"/>
              <w:rPr>
                <w:szCs w:val="24"/>
              </w:rPr>
            </w:pPr>
            <w:r>
              <w:lastRenderedPageBreak/>
              <w:t>3.</w:t>
            </w:r>
            <w:r>
              <w:tab/>
              <w:t>Sąjungos ir trečiosios valstybės susitarime nurodomos būtinos įgyvendinimo priemonės ir procedūros, taip pat atvejai, kuriais susitarimas gali būti apribotas</w:t>
            </w:r>
            <w:r>
              <w:t xml:space="preserve">, sustabdytas arba nutrauktas, visų pirma tais atvejais, kai nustatoma, kad trečioji valstybė yra trečioji valstybė, </w:t>
            </w:r>
            <w:r>
              <w:lastRenderedPageBreak/>
              <w:t>turinti didelių strateginių jos nacionalinės kovos su pinigų plovimu ir terorizmo finansavimu tvarkos trūkumų, kaip nurodyta Reglamento [įr</w:t>
            </w:r>
            <w:r>
              <w:t>ašyti nuorodą – pasiūlymas dėl Kovos su pinigų plovimu reglamento, COM/2021/420 final] 23 straipsnyje, arba trečioji valstybė, turinti nacionalinės kovos su pinigų plovimu ir terorizmo finansavimu tvarkos atitikties trūkumų, kaip nurodyta Reglamento [įrašy</w:t>
            </w:r>
            <w:r>
              <w:t>ti nuorodą – pasiūlymas dėl Kovos su pinigų plovimu reglamento, COM/2021/420 final] 24 straipsnyje</w:t>
            </w:r>
            <w:r>
              <w:rPr>
                <w:b/>
                <w:i/>
              </w:rPr>
              <w:t>, arba trečioji valstybė, kelianti grėsmę Sąjungos finansų sistemai, kaip nurodyta Reglamento [įrašyti nuorodą – pasiūlymas dėl Kovos su pinigų plovimu reglam</w:t>
            </w:r>
            <w:r>
              <w:rPr>
                <w:b/>
                <w:i/>
              </w:rPr>
              <w:t>ento, COM/2021/420 final], 25 straipsnyje</w:t>
            </w:r>
            <w:r>
              <w:t>. Toks susitarimas papildomas Europos Centrinio Banko ir trečiosios valstybės nacionalinio centrinio banko ir, kai tinkama, jos nacionalinės kompetentingos institucijos susitarimu.</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w:t>
      </w:r>
      <w:r>
        <w:rPr>
          <w:rStyle w:val="HideTWBExt"/>
          <w:b w:val="0"/>
          <w:lang w:val="en-GB"/>
        </w:rPr>
        <w:t>m&gt;</w:t>
      </w:r>
      <w:r>
        <w:t>55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21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t xml:space="preserve">Europos Centrinis Bankas bendradarbiauja su valstybių narių, kurių valiuta nėra </w:t>
            </w:r>
            <w:r>
              <w:rPr>
                <w:b/>
                <w:i/>
              </w:rPr>
              <w:t>euras</w:t>
            </w:r>
            <w:r>
              <w:t xml:space="preserve">, nacionaliniais </w:t>
            </w:r>
            <w:r>
              <w:t>centriniais bankais, kad būtų galima atlikti sąveikius mokėjimus tarp skaitmeninio euro ir kitų valiutų.</w:t>
            </w:r>
          </w:p>
        </w:tc>
        <w:tc>
          <w:tcPr>
            <w:tcW w:w="4876" w:type="dxa"/>
            <w:hideMark/>
          </w:tcPr>
          <w:p w:rsidR="00CC11EF" w:rsidRPr="00156095" w:rsidRDefault="00B66595" w:rsidP="00CC11EF">
            <w:pPr>
              <w:pStyle w:val="Normal6"/>
              <w:rPr>
                <w:szCs w:val="24"/>
              </w:rPr>
            </w:pPr>
            <w:r>
              <w:t>2.</w:t>
            </w:r>
            <w:r>
              <w:tab/>
              <w:t xml:space="preserve">Europos Centrinis Bankas </w:t>
            </w:r>
            <w:r>
              <w:rPr>
                <w:b/>
                <w:i/>
              </w:rPr>
              <w:t xml:space="preserve">aktyviai </w:t>
            </w:r>
            <w:r>
              <w:t xml:space="preserve">bendradarbiauja su valstybių narių, kurių valiuta nėra </w:t>
            </w:r>
            <w:r>
              <w:rPr>
                <w:b/>
                <w:i/>
              </w:rPr>
              <w:t>euro</w:t>
            </w:r>
            <w:r>
              <w:t>, nacionaliniais centriniais bankais, kad būtų galima a</w:t>
            </w:r>
            <w:r>
              <w:t xml:space="preserve">tlikti sąveikius mokėjimus tarp skaitmeninio euro ir kitų valiutų. </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56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22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r>
            <w:r>
              <w:t xml:space="preserve">Skaitmeninio euro naudotojų </w:t>
            </w:r>
            <w:r>
              <w:lastRenderedPageBreak/>
              <w:t>santykiuose su savo mokėjimo paslaugų teikėjais teikiant mokėjimo skaitmeniniais eurais paslaugas nereikalaujama turėti ar atidaryti mokėjimo neskaitmeniniais eurais sąskaitų arba priimti kitų neskaitmeninio euro produktų.</w:t>
            </w:r>
          </w:p>
        </w:tc>
        <w:tc>
          <w:tcPr>
            <w:tcW w:w="4876" w:type="dxa"/>
            <w:hideMark/>
          </w:tcPr>
          <w:p w:rsidR="00CC11EF" w:rsidRPr="00156095" w:rsidRDefault="00B66595" w:rsidP="00CC11EF">
            <w:pPr>
              <w:pStyle w:val="Normal6"/>
              <w:rPr>
                <w:szCs w:val="24"/>
              </w:rPr>
            </w:pPr>
            <w:r>
              <w:lastRenderedPageBreak/>
              <w:t>2.</w:t>
            </w:r>
            <w:r>
              <w:tab/>
              <w:t>Sk</w:t>
            </w:r>
            <w:r>
              <w:t xml:space="preserve">aitmeninio euro naudotojų </w:t>
            </w:r>
            <w:r>
              <w:lastRenderedPageBreak/>
              <w:t>santykiuose su savo mokėjimo paslaugų teikėjais teikiant mokėjimo skaitmeniniais eurais paslaugas</w:t>
            </w:r>
            <w:r>
              <w:rPr>
                <w:b/>
                <w:i/>
              </w:rPr>
              <w:t>, minimas šio reglamento 14 straipsnio 3 dalyje,</w:t>
            </w:r>
            <w:r>
              <w:t xml:space="preserve"> nereikalaujama turėti ar atidaryti mokėjimo neskaitmeniniais eurais sąskaitų arba pr</w:t>
            </w:r>
            <w:r>
              <w:t>iimti kitų neskaitmeninio euro produktų.</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57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23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w:t>
            </w:r>
            <w:r>
              <w:tab/>
            </w:r>
            <w:r>
              <w:t xml:space="preserve">Prieš inicijuojant mokėjimo skaitmeniniais eurais operaciją bekontakčio mokėjimo metu, </w:t>
            </w:r>
            <w:r>
              <w:rPr>
                <w:b/>
                <w:i/>
              </w:rPr>
              <w:t>gavėjui ir mokėtojui pranešama</w:t>
            </w:r>
            <w:r>
              <w:t>, ar mokėjimo skaitmeniniais eurais operacija bus atliekama ne internetu ar internetu.</w:t>
            </w:r>
          </w:p>
        </w:tc>
        <w:tc>
          <w:tcPr>
            <w:tcW w:w="4876" w:type="dxa"/>
            <w:hideMark/>
          </w:tcPr>
          <w:p w:rsidR="00CC11EF" w:rsidRPr="00156095" w:rsidRDefault="00B66595" w:rsidP="00CC11EF">
            <w:pPr>
              <w:pStyle w:val="Normal6"/>
              <w:rPr>
                <w:szCs w:val="24"/>
              </w:rPr>
            </w:pPr>
            <w:r>
              <w:t>3.</w:t>
            </w:r>
            <w:r>
              <w:tab/>
              <w:t>Prieš inicijuojant mokėjimo skaitmeniniais eurais</w:t>
            </w:r>
            <w:r>
              <w:t xml:space="preserve"> operaciją bekontakčio mokėjimo metu, </w:t>
            </w:r>
            <w:r>
              <w:rPr>
                <w:b/>
                <w:i/>
              </w:rPr>
              <w:t>gavėjas ir mokėtojas susitaria</w:t>
            </w:r>
            <w:r>
              <w:t>, ar mokėjimo skaitmeniniais eurais operacija bus atliekama ne internetu ar internetu.</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58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w:t>
      </w:r>
      <w:r>
        <w:rPr>
          <w:rStyle w:val="HideTWBExt"/>
          <w:b w:val="0"/>
        </w:rPr>
        <w:t>le&gt;</w:t>
      </w:r>
      <w:r>
        <w:t>25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w:t>
            </w:r>
            <w:r>
              <w:tab/>
            </w:r>
            <w:r>
              <w:rPr>
                <w:b/>
                <w:i/>
              </w:rPr>
              <w:t>Vartotojo sąsajos paslaugos turi būti sąveikios su europinėmis</w:t>
            </w:r>
            <w:r>
              <w:t xml:space="preserve"> skaitmeninės tapatybės </w:t>
            </w:r>
            <w:r>
              <w:rPr>
                <w:b/>
                <w:i/>
              </w:rPr>
              <w:t>dėklėmis arba į jas integruotos</w:t>
            </w:r>
            <w:r>
              <w:t>.</w:t>
            </w:r>
          </w:p>
        </w:tc>
        <w:tc>
          <w:tcPr>
            <w:tcW w:w="4876" w:type="dxa"/>
            <w:hideMark/>
          </w:tcPr>
          <w:p w:rsidR="00CC11EF" w:rsidRPr="00156095" w:rsidRDefault="00B66595" w:rsidP="00CC11EF">
            <w:pPr>
              <w:pStyle w:val="Normal6"/>
              <w:rPr>
                <w:szCs w:val="24"/>
              </w:rPr>
            </w:pPr>
            <w:r>
              <w:t>1.</w:t>
            </w:r>
            <w:r>
              <w:tab/>
            </w:r>
            <w:r>
              <w:rPr>
                <w:b/>
                <w:i/>
              </w:rPr>
              <w:t>Kai pagal nacionalinę arba Sąjungos teisę reikalaujama,</w:t>
            </w:r>
            <w:r>
              <w:rPr>
                <w:b/>
                <w:i/>
              </w:rPr>
              <w:t xml:space="preserve"> kad mokėjimo paslaugų teikėjai naudotų griežtą kliento autentiškumo patvirtinimą, jie taip pat lengvai prieinamu ir nediskriminaciniu būdu sutinka naudoti europines skaitmeninės tapatybės dėkles. Tuo pačiu tikslu užtikrinamas šio reglamento 2 straipsnio 2</w:t>
            </w:r>
            <w:r>
              <w:rPr>
                <w:b/>
                <w:i/>
              </w:rPr>
              <w:t>0 dalyje apibrėžtų pradinių paslaugų ir europinių skaitmeninės tapatybės dėklių sąveikumas</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59</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lastRenderedPageBreak/>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26 straipsnio 1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 xml:space="preserve">Komisijos siūlomas </w:t>
            </w:r>
            <w:r>
              <w:t>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Europos Centrinis Bankas siekia kuo labiau užtikrinti mokėjimo skaitmeniniais eurais paslaugas reglamentuojančių standartų suderinamumą su atitinkamais standartais, kuriais reglamentuojamos privačios skaitmeninės mokėjimo priemonės. Eur</w:t>
            </w:r>
            <w:r>
              <w:t>opos Centrinis Bankas siekia, kiek įmanoma ir tinkama, sudaryti sąlygas privačioms skaitmeninėms mokėjimo priemonėms taikyti taisykles, standartus ir procesus, kuriais reglamentuojamos mokėjimo skaitmeniniais eurais paslaugos.</w:t>
            </w:r>
          </w:p>
        </w:tc>
        <w:tc>
          <w:tcPr>
            <w:tcW w:w="4876" w:type="dxa"/>
            <w:hideMark/>
          </w:tcPr>
          <w:p w:rsidR="00CC11EF" w:rsidRPr="00156095" w:rsidRDefault="00B66595" w:rsidP="00CC11EF">
            <w:pPr>
              <w:pStyle w:val="Normal6"/>
              <w:rPr>
                <w:szCs w:val="24"/>
              </w:rPr>
            </w:pPr>
            <w:r>
              <w:t>Europos Centrinis Bankas siek</w:t>
            </w:r>
            <w:r>
              <w:t>ia kuo labiau užtikrinti mokėjimo skaitmeniniais eurais paslaugas reglamentuojančių standartų suderinamumą su atitinkamais standartais, kuriais reglamentuojamos privačios skaitmeninės mokėjimo priemonės. Europos Centrinis Bankas siekia</w:t>
            </w:r>
            <w:r>
              <w:rPr>
                <w:b/>
                <w:i/>
              </w:rPr>
              <w:t xml:space="preserve"> ir skatina</w:t>
            </w:r>
            <w:r>
              <w:t>, kiek įma</w:t>
            </w:r>
            <w:r>
              <w:t>noma ir tinkama, sudaryti sąlygas privačioms skaitmeninėms mokėjimo priemonėms taikyti taisykles, standartus ir procesus, kuriais reglamentuojamos mokėjimo skaitmeniniais eurais paslaugos</w:t>
            </w:r>
            <w:r>
              <w:rPr>
                <w:b/>
                <w:i/>
              </w:rPr>
              <w:t xml:space="preserve">, įskaitant visapusišką pritaikytosios ir standartizuotosios duomenų </w:t>
            </w:r>
            <w:r>
              <w:rPr>
                <w:b/>
                <w:i/>
              </w:rPr>
              <w:t>apsaugos principų, apibrėžtų Reglamente (ES) 2016/679, įgyvendinimą, ir juos skatinti</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60</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27 straipsnio 3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 xml:space="preserve">Komisijos siūlomas </w:t>
            </w:r>
            <w:r>
              <w:t>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3a.</w:t>
            </w:r>
            <w:r>
              <w:rPr>
                <w:b/>
                <w:i/>
              </w:rPr>
              <w:tab/>
              <w:t>Galimybė naudotis ginčų sprendimo mechanizmu skaitmeninio euro naudotojams suteikiama nemokamai kaip pagrindinių skaitmeninio euro paslaugų dalis.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61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30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w:t>
            </w:r>
            <w:r>
              <w:tab/>
              <w:t xml:space="preserve">Galutinis atsiskaitymas už neinternetines mokėjimo </w:t>
            </w:r>
            <w:r>
              <w:rPr>
                <w:b/>
                <w:i/>
              </w:rPr>
              <w:t xml:space="preserve">skaitmeniniais </w:t>
            </w:r>
            <w:r>
              <w:t xml:space="preserve">eurais operacijas </w:t>
            </w:r>
            <w:r>
              <w:rPr>
                <w:b/>
                <w:i/>
              </w:rPr>
              <w:t xml:space="preserve">atliekamas atnaujinant įrašus apie atitinkamas turimas </w:t>
            </w:r>
            <w:r>
              <w:rPr>
                <w:b/>
                <w:i/>
              </w:rPr>
              <w:lastRenderedPageBreak/>
              <w:t xml:space="preserve">skaitmeninio euro </w:t>
            </w:r>
            <w:r>
              <w:rPr>
                <w:b/>
                <w:i/>
              </w:rPr>
              <w:t>sumas</w:t>
            </w:r>
            <w:r>
              <w:t xml:space="preserve"> mokėtojo ir gavėjo </w:t>
            </w:r>
            <w:r>
              <w:rPr>
                <w:b/>
                <w:i/>
              </w:rPr>
              <w:t>vietiniuose kaupikliuose</w:t>
            </w:r>
            <w:r>
              <w:t>.</w:t>
            </w:r>
          </w:p>
        </w:tc>
        <w:tc>
          <w:tcPr>
            <w:tcW w:w="4876" w:type="dxa"/>
            <w:hideMark/>
          </w:tcPr>
          <w:p w:rsidR="00CC11EF" w:rsidRPr="00156095" w:rsidRDefault="00B66595" w:rsidP="00CC11EF">
            <w:pPr>
              <w:pStyle w:val="Normal6"/>
              <w:rPr>
                <w:szCs w:val="24"/>
              </w:rPr>
            </w:pPr>
            <w:r>
              <w:lastRenderedPageBreak/>
              <w:t>3.</w:t>
            </w:r>
            <w:r>
              <w:tab/>
              <w:t xml:space="preserve">Galutinis atsiskaitymas už neinternetines mokėjimo eurais operacijas </w:t>
            </w:r>
            <w:r>
              <w:rPr>
                <w:b/>
                <w:i/>
              </w:rPr>
              <w:t>įvyksta tuo metu, kai jų vietiniuose kaupikliuose atnaujinami įrašai apie</w:t>
            </w:r>
            <w:r>
              <w:t xml:space="preserve"> </w:t>
            </w:r>
            <w:r>
              <w:lastRenderedPageBreak/>
              <w:t xml:space="preserve">mokėtojo ir gavėjo </w:t>
            </w:r>
            <w:r>
              <w:rPr>
                <w:b/>
                <w:i/>
              </w:rPr>
              <w:t>skaitmeninius eurus</w:t>
            </w:r>
            <w:r>
              <w:t>.</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w:t>
      </w:r>
      <w:r>
        <w:t>keitimas</w:t>
      </w:r>
      <w:r>
        <w:tab/>
      </w:r>
      <w:r>
        <w:tab/>
      </w:r>
      <w:r>
        <w:rPr>
          <w:rStyle w:val="HideTWBExt"/>
          <w:b w:val="0"/>
          <w:lang w:val="en-GB"/>
        </w:rPr>
        <w:t>&lt;NumAm&gt;</w:t>
      </w:r>
      <w:r>
        <w:t>62</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30 straipsnio 3a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3a.</w:t>
            </w:r>
            <w:r>
              <w:rPr>
                <w:b/>
                <w:i/>
              </w:rPr>
              <w:tab/>
              <w:t xml:space="preserve">Atsiskaitymo infrastruktūra kuriama laikantis pritaikytosios ir standartizuotosios </w:t>
            </w:r>
            <w:r>
              <w:rPr>
                <w:b/>
                <w:i/>
              </w:rPr>
              <w:t>duomenų apsaugos principų, kaip apibrėžta Reglamente (ES) 2016/679, ir sukurta taip, kad nei Europos Centrinis Bankas, nei nacionaliniai centriniai bankai negalėtų duomenų priskirti nustatytam arba identifikuojamam skaitmeninio euro naudotojui.</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w:t>
      </w:r>
      <w:r>
        <w:rPr>
          <w:rStyle w:val="HideTWBExt"/>
          <w:b w:val="0"/>
          <w:lang w:val="en-GB"/>
        </w:rPr>
        <w:t>Amend&gt;</w:t>
      </w:r>
      <w:r>
        <w:t>Pakeitimas</w:t>
      </w:r>
      <w:r>
        <w:tab/>
      </w:r>
      <w:r>
        <w:tab/>
      </w:r>
      <w:r>
        <w:rPr>
          <w:rStyle w:val="HideTWBExt"/>
          <w:b w:val="0"/>
          <w:lang w:val="en-GB"/>
        </w:rPr>
        <w:t>&lt;NumAm&gt;</w:t>
      </w:r>
      <w:r>
        <w:t>63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31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w:t>
            </w:r>
            <w:r>
              <w:tab/>
              <w:t xml:space="preserve">Mokėjimo paslaugų teikėjai sudaro sąlygas skaitmeninio euro naudotojams jų prašymu </w:t>
            </w:r>
            <w:r>
              <w:t>perkelti savo mokėjimo skaitmeniniais eurais sąskaitas į kitų mokėjimo paslaugų teikėjų įstaigas, išlaikant tuos pačius sąskaitos identifikatorius.</w:t>
            </w:r>
          </w:p>
        </w:tc>
        <w:tc>
          <w:tcPr>
            <w:tcW w:w="4876" w:type="dxa"/>
            <w:hideMark/>
          </w:tcPr>
          <w:p w:rsidR="00CC11EF" w:rsidRPr="00156095" w:rsidRDefault="00B66595" w:rsidP="00CC11EF">
            <w:pPr>
              <w:pStyle w:val="Normal6"/>
              <w:rPr>
                <w:szCs w:val="24"/>
              </w:rPr>
            </w:pPr>
            <w:r>
              <w:t>1.</w:t>
            </w:r>
            <w:r>
              <w:tab/>
              <w:t xml:space="preserve">Mokėjimo paslaugų teikėjai sudaro sąlygas skaitmeninio euro naudotojams jų prašymu </w:t>
            </w:r>
            <w:r>
              <w:rPr>
                <w:b/>
                <w:i/>
              </w:rPr>
              <w:t xml:space="preserve">nemokamai </w:t>
            </w:r>
            <w:r>
              <w:t>perkelti sav</w:t>
            </w:r>
            <w:r>
              <w:t>o mokėjimo skaitmeniniais eurais sąskaitas į kitų mokėjimo paslaugų teikėjų įstaigas, išlaikant tuos pačius sąskaitos identifikatorius.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64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32 straipsnio 1 </w:t>
      </w:r>
      <w:r>
        <w:t>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w:t>
            </w:r>
            <w:r>
              <w:tab/>
              <w:t xml:space="preserve">Europos Centrinis Bankas gali palengvinti sukčiavimo nustatymo ir </w:t>
            </w:r>
            <w:r>
              <w:lastRenderedPageBreak/>
              <w:t xml:space="preserve">prevencijos užduotis, kurias mokėjimo paslaugų teikėjai vykdo pagal Direktyvą (ES) 2015/2366, nustatydamas bendrąjį sukčiavimo </w:t>
            </w:r>
            <w:r>
              <w:t>nustatymo ir prevencijos mechanizmą, skirtą internetinėms operacijoms skaitmeniniais eurais, kad būtų užtikrintas sklandus ir veiksmingas skaitmeninio euro veikimas</w:t>
            </w:r>
            <w:r>
              <w:rPr>
                <w:b/>
                <w:i/>
              </w:rPr>
              <w:t>.</w:t>
            </w:r>
            <w:r>
              <w:t xml:space="preserve"> Tą bendrąjį sukčiavimo nustatymo ir prevencijos mechanizmą gali tiesiogiai valdyti Europos</w:t>
            </w:r>
            <w:r>
              <w:t xml:space="preserve"> Centrinis Bankas arba Europos Centrinio Banko paskirti paramos paslaugų teikėjai.</w:t>
            </w:r>
          </w:p>
        </w:tc>
        <w:tc>
          <w:tcPr>
            <w:tcW w:w="4876" w:type="dxa"/>
            <w:hideMark/>
          </w:tcPr>
          <w:p w:rsidR="00CC11EF" w:rsidRPr="00156095" w:rsidRDefault="00B66595" w:rsidP="00CC11EF">
            <w:pPr>
              <w:pStyle w:val="Normal6"/>
              <w:rPr>
                <w:szCs w:val="24"/>
              </w:rPr>
            </w:pPr>
            <w:r>
              <w:lastRenderedPageBreak/>
              <w:t>1.</w:t>
            </w:r>
            <w:r>
              <w:tab/>
              <w:t xml:space="preserve">Europos Centrinis Bankas gali palengvinti sukčiavimo nustatymo ir </w:t>
            </w:r>
            <w:r>
              <w:lastRenderedPageBreak/>
              <w:t>prevencijos užduotis, kurias mokėjimo paslaugų teikėjai vykdo pagal Direktyvą (ES) 2015/2366, nustatydam</w:t>
            </w:r>
            <w:r>
              <w:t>as bendrąjį sukčiavimo nustatymo ir prevencijos mechanizmą, skirtą internetinėms operacijoms skaitmeniniais eurais, kad būtų užtikrintas sklandus ir veiksmingas skaitmeninio euro veikimas</w:t>
            </w:r>
            <w:r>
              <w:rPr>
                <w:b/>
                <w:i/>
              </w:rPr>
              <w:t xml:space="preserve"> ir kartu numatyti būtinas apsaugos priemones, kad duomenų tvarkymas </w:t>
            </w:r>
            <w:r>
              <w:rPr>
                <w:b/>
                <w:i/>
              </w:rPr>
              <w:t>atitiktų būtinumo ir proporcingumo principus, taip pat tinkamo saugojimo apribojimo atžvilgiu</w:t>
            </w:r>
            <w:r>
              <w:t>. Tą bendrąjį sukčiavimo nustatymo ir prevencijos mechanizmą gali tiesiogiai valdyti Europos Centrinis Bankas arba Europos Centrinio Banko paskirti paramos paslaug</w:t>
            </w:r>
            <w:r>
              <w:t>ų teikėjai.</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65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32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t xml:space="preserve">Prieš išsamiai apibrėždamas sukčiavimo nustatymo ir prevencijos </w:t>
            </w:r>
            <w:r>
              <w:t>mechanizmo veikimo elementus, Europos Centrinis Bankas konsultuojasi su Europos duomenų apsaugos priežiūros pareigūnu.</w:t>
            </w:r>
          </w:p>
        </w:tc>
        <w:tc>
          <w:tcPr>
            <w:tcW w:w="4876" w:type="dxa"/>
            <w:hideMark/>
          </w:tcPr>
          <w:p w:rsidR="00CC11EF" w:rsidRPr="00156095" w:rsidRDefault="00B66595" w:rsidP="00CC11EF">
            <w:pPr>
              <w:pStyle w:val="Normal6"/>
              <w:rPr>
                <w:szCs w:val="24"/>
              </w:rPr>
            </w:pPr>
            <w:r>
              <w:t>2.</w:t>
            </w:r>
            <w:r>
              <w:tab/>
              <w:t>Prieš išsamiai apibrėždamas sukčiavimo nustatymo ir prevencijos mechanizmo veikimo elementus, Europos Centrinis Bankas konsultuojasi s</w:t>
            </w:r>
            <w:r>
              <w:t>u Europos duomenų apsaugos priežiūros pareigūnu</w:t>
            </w:r>
            <w:r>
              <w:rPr>
                <w:b/>
                <w:i/>
              </w:rPr>
              <w:t xml:space="preserve"> ir Kovos su pinigų plovimu institucija</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66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32 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w:t>
            </w:r>
            <w:r>
              <w:tab/>
              <w:t xml:space="preserve">Taikant šį straipsnį, mokėjimo paslaugų teikėjai sukčiavimo nustatymo ir prevencijos mechanizmui teikia </w:t>
            </w:r>
            <w:r>
              <w:rPr>
                <w:b/>
                <w:i/>
              </w:rPr>
              <w:t>5</w:t>
            </w:r>
            <w:r>
              <w:t xml:space="preserve"> priede nurodytą informaciją. Mokėjimo paslaugų teikėjai įgyvendina tinkamas technines ir organizacines priemones, įskaitant pažangiausi</w:t>
            </w:r>
            <w:r>
              <w:t xml:space="preserve">as saugumo ir privatumo </w:t>
            </w:r>
            <w:r>
              <w:lastRenderedPageBreak/>
              <w:t>apsaugos priemones, kad užtikrintų, jog teikaint paramos paslaugą nebūtų galima tiesiogiai nustatyti skaitmeninio euro naudotojų tapatybės remiantis sukčiavimo nustatymo ir prevencijos mechanizmui pateikta informacija.</w:t>
            </w:r>
          </w:p>
        </w:tc>
        <w:tc>
          <w:tcPr>
            <w:tcW w:w="4876" w:type="dxa"/>
            <w:hideMark/>
          </w:tcPr>
          <w:p w:rsidR="00CC11EF" w:rsidRPr="00156095" w:rsidRDefault="00B66595" w:rsidP="00CC11EF">
            <w:pPr>
              <w:pStyle w:val="Normal6"/>
              <w:rPr>
                <w:szCs w:val="24"/>
              </w:rPr>
            </w:pPr>
            <w:r>
              <w:lastRenderedPageBreak/>
              <w:t>4.</w:t>
            </w:r>
            <w:r>
              <w:tab/>
              <w:t>Taikant šį</w:t>
            </w:r>
            <w:r>
              <w:t xml:space="preserve"> straipsnį, mokėjimo paslaugų teikėjai sukčiavimo nustatymo ir prevencijos mechanizmui teikia </w:t>
            </w:r>
            <w:r>
              <w:rPr>
                <w:b/>
                <w:i/>
              </w:rPr>
              <w:t>V</w:t>
            </w:r>
            <w:r>
              <w:t xml:space="preserve"> priede nurodytą informaciją. Mokėjimo paslaugų teikėjai įgyvendina tinkamas technines ir organizacines priemones, įskaitant pažangiausias saugumo ir privatumo </w:t>
            </w:r>
            <w:r>
              <w:lastRenderedPageBreak/>
              <w:t>a</w:t>
            </w:r>
            <w:r>
              <w:t xml:space="preserve">psaugos priemones, kad užtikrintų, jog </w:t>
            </w:r>
            <w:r>
              <w:rPr>
                <w:b/>
                <w:i/>
              </w:rPr>
              <w:t>Europos Centrinis Bankas arba</w:t>
            </w:r>
            <w:r>
              <w:t xml:space="preserve"> paramos paslaugą teikianti įstaiga negalėtų tiesiogiai nustatyti skaitmeninio euro naudotojų tapatybės remiantis sukčiavimo nustatymo ir prevencijos mechanizmui pateikta informacija. </w:t>
            </w:r>
            <w:r>
              <w:rPr>
                <w:b/>
                <w:i/>
              </w:rPr>
              <w:t>Įgyv</w:t>
            </w:r>
            <w:r>
              <w:rPr>
                <w:b/>
                <w:i/>
              </w:rPr>
              <w:t>endinant šias technines ir organizacines priemones, mokėjimo paslaugų teikėjai ir Europos Centrinis Bankas atsižvelgia į pritaikytosios ir standartizuotosios duomenų apsaugos principus, kaip apibrėžta Reglamente (ES) 2016/679, ir užtikrina, kad asmens duom</w:t>
            </w:r>
            <w:r>
              <w:rPr>
                <w:b/>
                <w:i/>
              </w:rPr>
              <w:t>enys būtų tvarkomi taip, kad, nesinaudojant papildoma informacija, asmens duomenų nebebūtų galima priskirti atskiram skaitmeninio euro naudotojui.</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67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33 </w:t>
      </w:r>
      <w:r>
        <w:t>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w:t>
            </w:r>
            <w:r>
              <w:tab/>
              <w:t>Nedarant poveikio 2022 m. rugsėjo 14 d. Europos Parlamento ir Tarybos reglamento (ES) 2022/1925 dėl atvirų konkurencijai ir sąžiningų skaitmeninio sektoriaus rinkų, kuriuo iš dalies k</w:t>
            </w:r>
            <w:r>
              <w:t>eičiamos direktyvos (ES) 2019/1937 ir (ES) 2020/1828, 6 straipsnio 7 daliai, mobiliųjų įrenginių pirminės įrangos gamintojai ir elektroninių ryšių paslaugų teikėjai, kaip apibrėžta pagal Direktyvos (ES) 2018/1972</w:t>
            </w:r>
            <w:r>
              <w:rPr>
                <w:vertAlign w:val="superscript"/>
              </w:rPr>
              <w:t>47</w:t>
            </w:r>
            <w:r>
              <w:t xml:space="preserve"> 2 straipsnio 1 dalį, sąžiningomis, pagrįs</w:t>
            </w:r>
            <w:r>
              <w:t xml:space="preserve">tomis ir nediskriminacinėmis sąlygomis leidžia vartotojo sąsajos paslaugų teikėjams ir europinių skaitmeninės tapatybės dėklių teikėjams užtikrinti veiksmingą sąveikumą su aparatinės įrangos ir programinės įrangos savybėmis, būtinomis duomenims saugoti ir </w:t>
            </w:r>
            <w:r>
              <w:t xml:space="preserve">perduoti, siekiant tvarkyti internetines ar neinternetines operacijas skaitmeniniais eurais, ir prieigą prie jų </w:t>
            </w:r>
            <w:r>
              <w:lastRenderedPageBreak/>
              <w:t>sąveikumo tikslais.</w:t>
            </w:r>
          </w:p>
        </w:tc>
        <w:tc>
          <w:tcPr>
            <w:tcW w:w="4876" w:type="dxa"/>
            <w:hideMark/>
          </w:tcPr>
          <w:p w:rsidR="00CC11EF" w:rsidRPr="00156095" w:rsidRDefault="00B66595" w:rsidP="00CC11EF">
            <w:pPr>
              <w:pStyle w:val="Normal6"/>
              <w:rPr>
                <w:szCs w:val="24"/>
              </w:rPr>
            </w:pPr>
            <w:r>
              <w:lastRenderedPageBreak/>
              <w:t>1.</w:t>
            </w:r>
            <w:r>
              <w:tab/>
              <w:t xml:space="preserve">Nedarant poveikio 2022 m. rugsėjo 14 d. Europos Parlamento ir Tarybos reglamento (ES) 2022/1925 dėl atvirų konkurencijai </w:t>
            </w:r>
            <w:r>
              <w:t>ir sąžiningų skaitmeninio sektoriaus rinkų, kuriuo iš dalies keičiamos direktyvos (ES) 2019/1937 ir (ES) 2020/1828, 6 straipsnio 7 daliai, mobiliųjų įrenginių pirminės įrangos gamintojai ir elektroninių ryšių paslaugų teikėjai, kaip apibrėžta pagal Direkty</w:t>
            </w:r>
            <w:r>
              <w:t>vos (ES) 2018/1972</w:t>
            </w:r>
            <w:r>
              <w:rPr>
                <w:vertAlign w:val="superscript"/>
              </w:rPr>
              <w:t>47</w:t>
            </w:r>
            <w:r>
              <w:t xml:space="preserve"> 2 straipsnio 1 dalį, sąžiningomis, pagrįstomis ir nediskriminacinėmis sąlygomis leidžia vartotojo sąsajos paslaugų teikėjams ir europinių skaitmeninės tapatybės dėklių teikėjams </w:t>
            </w:r>
            <w:r>
              <w:rPr>
                <w:b/>
                <w:i/>
              </w:rPr>
              <w:t>Reglamento (ES) [įrašyti nuorodą – pasiūlymas dėl Europos</w:t>
            </w:r>
            <w:r>
              <w:rPr>
                <w:b/>
                <w:i/>
              </w:rPr>
              <w:t xml:space="preserve"> Parlamento ir Tarybos reglamento, kuriuo dėl Europos skaitmeninės tapatybės sistemos sukūrimo iš dalies keičiamas Reglamentas (ES) Nr. 910/2014 </w:t>
            </w:r>
            <w:r>
              <w:rPr>
                <w:b/>
                <w:i/>
              </w:rPr>
              <w:lastRenderedPageBreak/>
              <w:t xml:space="preserve">– COM(2021) 281 final] taikymo apimtyje </w:t>
            </w:r>
            <w:r>
              <w:t>užtikrinti veiksmingą sąveikumą su aparatinės įrangos ir programinės įr</w:t>
            </w:r>
            <w:r>
              <w:t xml:space="preserve">angos savybėmis, būtinomis duomenims saugoti ir perduoti, siekiant tvarkyti internetines ar neinternetines operacijas skaitmeniniais eurais, ir prieigą prie jų sąveikumo tikslais. </w:t>
            </w:r>
          </w:p>
        </w:tc>
      </w:tr>
      <w:tr w:rsidR="009525CF" w:rsidTr="00CC11EF">
        <w:trPr>
          <w:jc w:val="center"/>
        </w:trPr>
        <w:tc>
          <w:tcPr>
            <w:tcW w:w="4876" w:type="dxa"/>
            <w:hideMark/>
          </w:tcPr>
          <w:p w:rsidR="00CC11EF" w:rsidRPr="00156095" w:rsidRDefault="00B66595" w:rsidP="00CC11EF">
            <w:pPr>
              <w:pStyle w:val="Normal6"/>
            </w:pPr>
            <w:r>
              <w:lastRenderedPageBreak/>
              <w:t>__________________</w:t>
            </w:r>
          </w:p>
        </w:tc>
        <w:tc>
          <w:tcPr>
            <w:tcW w:w="4876" w:type="dxa"/>
            <w:hideMark/>
          </w:tcPr>
          <w:p w:rsidR="00CC11EF" w:rsidRPr="00156095" w:rsidRDefault="00B66595" w:rsidP="00CC11EF">
            <w:pPr>
              <w:pStyle w:val="Normal6"/>
              <w:rPr>
                <w:szCs w:val="24"/>
              </w:rPr>
            </w:pPr>
            <w:r>
              <w:t>__________________</w:t>
            </w:r>
          </w:p>
        </w:tc>
      </w:tr>
      <w:tr w:rsidR="009525CF" w:rsidTr="00CC11EF">
        <w:trPr>
          <w:jc w:val="center"/>
        </w:trPr>
        <w:tc>
          <w:tcPr>
            <w:tcW w:w="4876" w:type="dxa"/>
            <w:hideMark/>
          </w:tcPr>
          <w:p w:rsidR="00CC11EF" w:rsidRPr="00156095" w:rsidRDefault="00B66595" w:rsidP="00CC11EF">
            <w:pPr>
              <w:pStyle w:val="Normal6"/>
            </w:pPr>
            <w:r>
              <w:rPr>
                <w:vertAlign w:val="superscript"/>
              </w:rPr>
              <w:t>47</w:t>
            </w:r>
            <w:r>
              <w:t xml:space="preserve"> 2018 m. gruodžio 11 d. Europos Parlamento ir Tarybos direktyva (ES) 2018/1972 kuria nustatomas Europos elektroninių ryšių kodeksas (OL L 321, 2018 12 17, p. 36).</w:t>
            </w:r>
          </w:p>
        </w:tc>
        <w:tc>
          <w:tcPr>
            <w:tcW w:w="4876" w:type="dxa"/>
            <w:hideMark/>
          </w:tcPr>
          <w:p w:rsidR="00CC11EF" w:rsidRPr="00156095" w:rsidRDefault="00B66595" w:rsidP="00CC11EF">
            <w:pPr>
              <w:pStyle w:val="Normal6"/>
              <w:rPr>
                <w:szCs w:val="24"/>
              </w:rPr>
            </w:pPr>
            <w:r>
              <w:rPr>
                <w:vertAlign w:val="superscript"/>
              </w:rPr>
              <w:t>47</w:t>
            </w:r>
            <w:r>
              <w:t xml:space="preserve"> 2018 m. gruodžio 11 d. Europos Parlamento ir Tarybos direktyva (ES) 2018/1972 kuria nustat</w:t>
            </w:r>
            <w:r>
              <w:t>omas Europos elektroninių ryšių kodeksas (OL L 321, 2018 12 17, p. 36).</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68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34 straipsnio 1 dalies 1 pastraipos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 xml:space="preserve">Komisijos </w:t>
            </w:r>
            <w:r>
              <w:t>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 xml:space="preserve">Mokėjimo paslaugų teikėjai </w:t>
            </w:r>
            <w:r>
              <w:rPr>
                <w:b/>
                <w:i/>
              </w:rPr>
              <w:t>atlieka viešojo intereso užduotį, kai</w:t>
            </w:r>
            <w:r>
              <w:t xml:space="preserve"> tvarko </w:t>
            </w:r>
            <w:r>
              <w:rPr>
                <w:b/>
                <w:i/>
              </w:rPr>
              <w:t>asmens duomenis</w:t>
            </w:r>
            <w:r>
              <w:t xml:space="preserve"> šiais tikslais:</w:t>
            </w:r>
          </w:p>
        </w:tc>
        <w:tc>
          <w:tcPr>
            <w:tcW w:w="4876" w:type="dxa"/>
            <w:hideMark/>
          </w:tcPr>
          <w:p w:rsidR="00CC11EF" w:rsidRPr="00156095" w:rsidRDefault="00B66595" w:rsidP="00CC11EF">
            <w:pPr>
              <w:pStyle w:val="Normal6"/>
              <w:rPr>
                <w:szCs w:val="24"/>
              </w:rPr>
            </w:pPr>
            <w:r>
              <w:t xml:space="preserve">Mokėjimo paslaugų teikėjai </w:t>
            </w:r>
            <w:r>
              <w:rPr>
                <w:b/>
                <w:i/>
              </w:rPr>
              <w:t>asmens duomenis</w:t>
            </w:r>
            <w:r>
              <w:t xml:space="preserve"> tvarko </w:t>
            </w:r>
            <w:r>
              <w:rPr>
                <w:b/>
                <w:i/>
              </w:rPr>
              <w:t>tik</w:t>
            </w:r>
            <w:r>
              <w:t xml:space="preserve"> šiais tikslais: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69</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w:t>
      </w:r>
      <w:r>
        <w:rPr>
          <w:rStyle w:val="HideTWBExt"/>
          <w:b w:val="0"/>
        </w:rPr>
        <w:t>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34 straipsnio 1 dalies 1 pastraipos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a)</w:t>
            </w:r>
            <w:r>
              <w:tab/>
              <w:t xml:space="preserve">apribojimų vykdymo užtikrinimo, </w:t>
            </w:r>
            <w:r>
              <w:rPr>
                <w:b/>
                <w:i/>
              </w:rPr>
              <w:t>įskaitant patikrinimą</w:t>
            </w:r>
            <w:r>
              <w:t xml:space="preserve">, ar potencialūs arba esami skaitmeninio euro </w:t>
            </w:r>
            <w:r>
              <w:t>naudotojai turi sąskaitas skaitmeniniais eurais kito MPT įstaigoje, kaip nurodyta 16 straipsnyje;</w:t>
            </w:r>
          </w:p>
        </w:tc>
        <w:tc>
          <w:tcPr>
            <w:tcW w:w="4876" w:type="dxa"/>
            <w:hideMark/>
          </w:tcPr>
          <w:p w:rsidR="00CC11EF" w:rsidRPr="00156095" w:rsidRDefault="00B66595" w:rsidP="00CC11EF">
            <w:pPr>
              <w:pStyle w:val="Normal6"/>
              <w:rPr>
                <w:szCs w:val="24"/>
              </w:rPr>
            </w:pPr>
            <w:r>
              <w:t>a)</w:t>
            </w:r>
            <w:r>
              <w:tab/>
              <w:t xml:space="preserve">apribojimų vykdymo užtikrinimo, </w:t>
            </w:r>
            <w:r>
              <w:rPr>
                <w:b/>
                <w:i/>
              </w:rPr>
              <w:t>jei jos būtų nustatytos pagal šio reglamento 15 straipsnį, kartu tikrinant</w:t>
            </w:r>
            <w:r>
              <w:t>, ar potencialūs arba esami skaitmeninio euro nau</w:t>
            </w:r>
            <w:r>
              <w:t>dotojai turi sąskaitas skaitmeniniais eurais kito MPT įstaigoje, kaip nurodyta 16 straipsnyje;</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70</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34 straipsnio 1 dalies 1 pastraipos c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c)</w:t>
            </w:r>
            <w:r>
              <w:tab/>
              <w:t xml:space="preserve">neinternetinio skaitmeninio euro teikimo, </w:t>
            </w:r>
            <w:r>
              <w:rPr>
                <w:b/>
                <w:i/>
              </w:rPr>
              <w:t>įskaitant</w:t>
            </w:r>
            <w:r>
              <w:t xml:space="preserve"> vietinių kaupiklių </w:t>
            </w:r>
            <w:r>
              <w:rPr>
                <w:b/>
                <w:i/>
              </w:rPr>
              <w:t>registravimą</w:t>
            </w:r>
            <w:r>
              <w:t xml:space="preserve"> ir </w:t>
            </w:r>
            <w:r>
              <w:rPr>
                <w:b/>
                <w:i/>
              </w:rPr>
              <w:t>išregistravimą</w:t>
            </w:r>
            <w:r>
              <w:t>, kaip nurodyta I priedo b punkte;</w:t>
            </w:r>
          </w:p>
        </w:tc>
        <w:tc>
          <w:tcPr>
            <w:tcW w:w="4876" w:type="dxa"/>
            <w:hideMark/>
          </w:tcPr>
          <w:p w:rsidR="00CC11EF" w:rsidRPr="00156095" w:rsidRDefault="00B66595" w:rsidP="00CC11EF">
            <w:pPr>
              <w:pStyle w:val="Normal6"/>
              <w:rPr>
                <w:szCs w:val="24"/>
              </w:rPr>
            </w:pPr>
            <w:r>
              <w:t>c)</w:t>
            </w:r>
            <w:r>
              <w:tab/>
              <w:t xml:space="preserve">neinternetinio skaitmeninio euro teikimo, </w:t>
            </w:r>
            <w:r>
              <w:rPr>
                <w:b/>
                <w:i/>
              </w:rPr>
              <w:t>kartu su</w:t>
            </w:r>
            <w:r>
              <w:t xml:space="preserve"> vietinių kaupiklių </w:t>
            </w:r>
            <w:r>
              <w:rPr>
                <w:b/>
                <w:i/>
              </w:rPr>
              <w:t>regi</w:t>
            </w:r>
            <w:r>
              <w:rPr>
                <w:b/>
                <w:i/>
              </w:rPr>
              <w:t>stravimu</w:t>
            </w:r>
            <w:r>
              <w:t xml:space="preserve"> ir </w:t>
            </w:r>
            <w:r>
              <w:rPr>
                <w:b/>
                <w:i/>
              </w:rPr>
              <w:t>išregistravimu</w:t>
            </w:r>
            <w:r>
              <w:t>, kaip nurodyta I priedo b punkte;</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71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34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t xml:space="preserve">Šio straipsnio </w:t>
            </w:r>
            <w:r>
              <w:t>1 dalies a–c punktuose nurodytais tikslais III priede nustatomos asmens duomenų rūšys.</w:t>
            </w:r>
          </w:p>
        </w:tc>
        <w:tc>
          <w:tcPr>
            <w:tcW w:w="4876" w:type="dxa"/>
            <w:hideMark/>
          </w:tcPr>
          <w:p w:rsidR="00CC11EF" w:rsidRPr="00156095" w:rsidRDefault="00B66595" w:rsidP="00CC11EF">
            <w:pPr>
              <w:pStyle w:val="Normal6"/>
              <w:rPr>
                <w:szCs w:val="24"/>
              </w:rPr>
            </w:pPr>
            <w:r>
              <w:t>2.</w:t>
            </w:r>
            <w:r>
              <w:tab/>
              <w:t>Šio straipsnio 1 dalies a–c punktuose nurodytais tikslais III priede nustatomos asmens duomenų</w:t>
            </w:r>
            <w:r>
              <w:rPr>
                <w:b/>
                <w:i/>
              </w:rPr>
              <w:t>, kurie gali būti tvarkomi,</w:t>
            </w:r>
            <w:r>
              <w:t xml:space="preserve"> rūšys. </w:t>
            </w:r>
            <w:r>
              <w:rPr>
                <w:b/>
                <w:i/>
              </w:rPr>
              <w:t xml:space="preserve">1 dalies d ir e punktuose nurodytais </w:t>
            </w:r>
            <w:r>
              <w:rPr>
                <w:b/>
                <w:i/>
              </w:rPr>
              <w:t>tikslais Komisijai suteikiami įgaliojimai deleguotaisiais aktais pagal 3 dalį apibrėžti asmens duomenų, kurie gali būti tvarkomi, rūšis.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72</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34 straipsnio </w:t>
      </w:r>
      <w:r>
        <w:t>3 dalies 1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 xml:space="preserve">Komisijai pagal 38 straipsnį suteikiami įgaliojimai priimti deleguotuosius aktus, kuriais </w:t>
            </w:r>
            <w:r>
              <w:rPr>
                <w:b/>
                <w:i/>
              </w:rPr>
              <w:t>atnaujinamas</w:t>
            </w:r>
            <w:r>
              <w:t xml:space="preserve"> III priede </w:t>
            </w:r>
            <w:r>
              <w:rPr>
                <w:b/>
                <w:i/>
              </w:rPr>
              <w:t>pateiktas</w:t>
            </w:r>
            <w:r>
              <w:t xml:space="preserve"> asmens duomenų</w:t>
            </w:r>
            <w:r>
              <w:rPr>
                <w:b/>
                <w:i/>
              </w:rPr>
              <w:t xml:space="preserve"> rūšių sąrašas</w:t>
            </w:r>
            <w:r>
              <w:t>.</w:t>
            </w:r>
          </w:p>
        </w:tc>
        <w:tc>
          <w:tcPr>
            <w:tcW w:w="4876" w:type="dxa"/>
            <w:hideMark/>
          </w:tcPr>
          <w:p w:rsidR="00CC11EF" w:rsidRPr="00156095" w:rsidRDefault="00B66595" w:rsidP="00CC11EF">
            <w:pPr>
              <w:pStyle w:val="Normal6"/>
              <w:rPr>
                <w:szCs w:val="24"/>
              </w:rPr>
            </w:pPr>
            <w:r>
              <w:t xml:space="preserve">Komisijai pagal 38 straipsnį suteikiami įgaliojimai priimti deleguotuosius aktus, kuriais </w:t>
            </w:r>
            <w:r>
              <w:rPr>
                <w:b/>
                <w:i/>
              </w:rPr>
              <w:t>atnaujinami ir paaiškinami</w:t>
            </w:r>
            <w:r>
              <w:t xml:space="preserve"> III priede </w:t>
            </w:r>
            <w:r>
              <w:rPr>
                <w:b/>
                <w:i/>
              </w:rPr>
              <w:t>išvardytų rūšių asmens duomenys, kartu išlaikant išsamų ir baigtinį</w:t>
            </w:r>
            <w:r>
              <w:t xml:space="preserve"> asmens duomenų</w:t>
            </w:r>
            <w:r>
              <w:rPr>
                <w:b/>
                <w:i/>
              </w:rPr>
              <w:t>, kurie turi būti tvarkomi nurodytu tikslu, są</w:t>
            </w:r>
            <w:r>
              <w:rPr>
                <w:b/>
                <w:i/>
              </w:rPr>
              <w:t>rašą</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73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34 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w:t>
            </w:r>
            <w:r>
              <w:tab/>
              <w:t xml:space="preserve">Mokėjimo paslaugų teikėjai įgyvendina tinkamas technines ir </w:t>
            </w:r>
            <w:r>
              <w:t>organizacines priemones, įskaitant pažangiausias saugumo ir privatumo apsaugos priemones, kad užtikrintų, jog pagal Europos Centriniam Bankui ir nacionaliniams centriniams bankams arba paramos paslaugų teikėjams perduodamus duomenis nebūtų galima tiesiogia</w:t>
            </w:r>
            <w:r>
              <w:t>i nustatyti konkrečių skaitmeninio euro naudotojų tapatybės.</w:t>
            </w:r>
          </w:p>
        </w:tc>
        <w:tc>
          <w:tcPr>
            <w:tcW w:w="4876" w:type="dxa"/>
            <w:hideMark/>
          </w:tcPr>
          <w:p w:rsidR="00CC11EF" w:rsidRPr="00156095" w:rsidRDefault="00B66595" w:rsidP="00CC11EF">
            <w:pPr>
              <w:pStyle w:val="Normal6"/>
              <w:rPr>
                <w:szCs w:val="24"/>
              </w:rPr>
            </w:pPr>
            <w:r>
              <w:t>4.</w:t>
            </w:r>
            <w:r>
              <w:tab/>
              <w:t>Mokėjimo paslaugų teikėjai įgyvendina tinkamas technines ir organizacines priemones, įskaitant pažangiausias saugumo ir privatumo apsaugos priemones, kad užtikrintų, jog pagal Europos Centrini</w:t>
            </w:r>
            <w:r>
              <w:t xml:space="preserve">am Bankui ir nacionaliniams centriniams bankams arba paramos paslaugų teikėjams perduodamus duomenis nebūtų galima tiesiogiai nustatyti konkrečių skaitmeninio euro naudotojų tapatybės. </w:t>
            </w:r>
            <w:r>
              <w:rPr>
                <w:b/>
                <w:i/>
              </w:rPr>
              <w:t>Visų pirma tokiomis priemonėmis užtikrinama, kad asmens duomenys būtų p</w:t>
            </w:r>
            <w:r>
              <w:rPr>
                <w:b/>
                <w:i/>
              </w:rPr>
              <w:t>seudoniminami taip, kad Europos Centrinis Bankas arba nacionaliniai centriniai bankai, nesinaudodami papildoma informacija, nebegalėtų šių duomenų priskirti atskiram skaitmeninio euro naudotojui. Įgyvendindami šias technines ir organizacines priemones, mok</w:t>
            </w:r>
            <w:r>
              <w:rPr>
                <w:b/>
                <w:i/>
              </w:rPr>
              <w:t>ėjimo paslaugų teikėjai taiko pritaikytosios ir standartizuotosios duomenų apsaugos principus, kaip apibrėžta Reglamente (ES) 2016/679.</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74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34 straipsnio 4 </w:t>
      </w:r>
      <w:r>
        <w:t>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4a.</w:t>
            </w:r>
            <w:r>
              <w:rPr>
                <w:b/>
                <w:i/>
              </w:rPr>
              <w:tab/>
              <w:t>Šis straipsnis nedaro poveikio papildomoms paslaugoms, kurias kartu su pagrindinėmis mokėjimo skaitmeniniais eurais paslaugas kuria ir teikia mokėjimo paslaugų teikėjai ir kurioms taik</w:t>
            </w:r>
            <w:r>
              <w:rPr>
                <w:b/>
                <w:i/>
              </w:rPr>
              <w:t>oma Direktyva (ES) 2015/2366 ir kurių asmens duomenys tvarkomi pagal Reglamento (ES) 2016/679 6 straipsnio 1 dalies a arba b punktą.</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lastRenderedPageBreak/>
        <w:t>&lt;Amend&gt;</w:t>
      </w:r>
      <w:r>
        <w:t>Pakeitimas</w:t>
      </w:r>
      <w:r>
        <w:tab/>
      </w:r>
      <w:r>
        <w:tab/>
      </w:r>
      <w:r>
        <w:rPr>
          <w:rStyle w:val="HideTWBExt"/>
          <w:b w:val="0"/>
          <w:lang w:val="en-GB"/>
        </w:rPr>
        <w:t>&lt;NumAm&gt;</w:t>
      </w:r>
      <w:r>
        <w:t>75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35 straipsnio 1 </w:t>
      </w:r>
      <w:r>
        <w:t>dalies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w:t>
            </w:r>
            <w:r>
              <w:tab/>
              <w:t>Europos Centrinis Bankas ir nacionaliniai centriniai bankai atlieka viešojo intereso užduotį arba vykdo viešosios valdžios funkcijas, kai tvarko asmens duomenis šiais tikslais:</w:t>
            </w:r>
          </w:p>
        </w:tc>
        <w:tc>
          <w:tcPr>
            <w:tcW w:w="4876" w:type="dxa"/>
            <w:hideMark/>
          </w:tcPr>
          <w:p w:rsidR="00CC11EF" w:rsidRPr="00156095" w:rsidRDefault="00B66595" w:rsidP="00CC11EF">
            <w:pPr>
              <w:pStyle w:val="Normal6"/>
              <w:rPr>
                <w:szCs w:val="24"/>
              </w:rPr>
            </w:pPr>
            <w:r>
              <w:t>1.</w:t>
            </w:r>
            <w:r>
              <w:tab/>
            </w:r>
            <w:r>
              <w:t xml:space="preserve">Europos Centrinis Bankas ir nacionaliniai centriniai bankai atlieka viešojo intereso užduotį arba vykdo viešosios valdžios funkcijas, </w:t>
            </w:r>
            <w:r>
              <w:rPr>
                <w:b/>
                <w:i/>
              </w:rPr>
              <w:t xml:space="preserve">laikantis Reglamento 2016/679 6 straipsnio 1 dalies e punkto arba Reglamento 2018/1725 5 straipsnio 1 dalies a punkto, </w:t>
            </w:r>
            <w:r>
              <w:t>kai</w:t>
            </w:r>
            <w:r>
              <w:t xml:space="preserve"> tvarko asmens duomenis šiais tikslais: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76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35 straipsnio 1 dalies c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c)</w:t>
            </w:r>
            <w:r>
              <w:tab/>
            </w:r>
            <w:r>
              <w:rPr>
                <w:b/>
                <w:i/>
              </w:rPr>
              <w:t xml:space="preserve">atsiskaitymo </w:t>
            </w:r>
            <w:r>
              <w:rPr>
                <w:b/>
                <w:i/>
              </w:rPr>
              <w:t>skaitmeniniais</w:t>
            </w:r>
            <w:r>
              <w:t xml:space="preserve"> eurais infrastruktūros ir vietinių </w:t>
            </w:r>
            <w:r>
              <w:rPr>
                <w:b/>
                <w:i/>
              </w:rPr>
              <w:t>kaupiklių saugumo ir vientisumo užtikrinimo</w:t>
            </w:r>
            <w:r>
              <w:t>;</w:t>
            </w:r>
          </w:p>
        </w:tc>
        <w:tc>
          <w:tcPr>
            <w:tcW w:w="4876" w:type="dxa"/>
            <w:hideMark/>
          </w:tcPr>
          <w:p w:rsidR="00CC11EF" w:rsidRPr="00156095" w:rsidRDefault="00B66595" w:rsidP="00CC11EF">
            <w:pPr>
              <w:pStyle w:val="Normal6"/>
              <w:rPr>
                <w:szCs w:val="24"/>
              </w:rPr>
            </w:pPr>
            <w:r>
              <w:t>c)</w:t>
            </w:r>
            <w:r>
              <w:tab/>
            </w:r>
            <w:r>
              <w:rPr>
                <w:b/>
                <w:i/>
              </w:rPr>
              <w:t>skaitmeninės atsiskaitymo</w:t>
            </w:r>
            <w:r>
              <w:t xml:space="preserve"> eurais infrastruktūros</w:t>
            </w:r>
            <w:r>
              <w:rPr>
                <w:b/>
                <w:i/>
              </w:rPr>
              <w:t xml:space="preserve"> saugumo ir vientisumo užtikrinimas</w:t>
            </w:r>
            <w:r>
              <w:t xml:space="preserve"> ir vietinių </w:t>
            </w:r>
            <w:r>
              <w:rPr>
                <w:b/>
                <w:i/>
              </w:rPr>
              <w:t>saugyklų padirbtų duomenų analizės atlikimas</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w:t>
      </w:r>
      <w:r>
        <w:rPr>
          <w:rStyle w:val="HideTWBExt"/>
          <w:b w:val="0"/>
          <w:lang w:val="en-GB"/>
        </w:rPr>
        <w:t>&gt;</w:t>
      </w:r>
      <w:r>
        <w:t>Pakeitimas</w:t>
      </w:r>
      <w:r>
        <w:tab/>
      </w:r>
      <w:r>
        <w:tab/>
      </w:r>
      <w:r>
        <w:rPr>
          <w:rStyle w:val="HideTWBExt"/>
          <w:b w:val="0"/>
          <w:lang w:val="en-GB"/>
        </w:rPr>
        <w:t>&lt;NumAm&gt;</w:t>
      </w:r>
      <w:r>
        <w:t>77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35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t>1 dalyje nurodytais tikslais IV priede nustatytos asmens duomenų rūšys.</w:t>
            </w:r>
          </w:p>
        </w:tc>
        <w:tc>
          <w:tcPr>
            <w:tcW w:w="4876" w:type="dxa"/>
            <w:hideMark/>
          </w:tcPr>
          <w:p w:rsidR="00CC11EF" w:rsidRPr="00156095" w:rsidRDefault="00B66595" w:rsidP="00CC11EF">
            <w:pPr>
              <w:pStyle w:val="Normal6"/>
              <w:rPr>
                <w:szCs w:val="24"/>
              </w:rPr>
            </w:pPr>
            <w:r>
              <w:t>2.</w:t>
            </w:r>
            <w:r>
              <w:tab/>
              <w:t xml:space="preserve">1 dalyje </w:t>
            </w:r>
            <w:r>
              <w:t>nurodytais tikslais IV priede nustatytos asmens duomenų</w:t>
            </w:r>
            <w:r>
              <w:rPr>
                <w:b/>
                <w:i/>
              </w:rPr>
              <w:t xml:space="preserve">, kurie gali būti apdorojami, </w:t>
            </w:r>
            <w:r>
              <w:t xml:space="preserve"> rūšys.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78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35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 xml:space="preserve">Komisijos siūlomas </w:t>
            </w:r>
            <w:r>
              <w:t>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w:t>
            </w:r>
            <w:r>
              <w:tab/>
              <w:t xml:space="preserve">Komisijai pagal 38 straipsnį suteikiami įgaliojimai priimti deleguotuosius aktus, kuriais </w:t>
            </w:r>
            <w:r>
              <w:rPr>
                <w:b/>
                <w:i/>
              </w:rPr>
              <w:t>atnaujinamas</w:t>
            </w:r>
            <w:r>
              <w:t xml:space="preserve"> IV priede </w:t>
            </w:r>
            <w:r>
              <w:rPr>
                <w:b/>
                <w:i/>
              </w:rPr>
              <w:t>pateiktas</w:t>
            </w:r>
            <w:r>
              <w:t xml:space="preserve"> asmens duomenų</w:t>
            </w:r>
            <w:r>
              <w:rPr>
                <w:b/>
                <w:i/>
              </w:rPr>
              <w:t xml:space="preserve"> rūšių sąrašas</w:t>
            </w:r>
            <w:r>
              <w:t>.</w:t>
            </w:r>
          </w:p>
        </w:tc>
        <w:tc>
          <w:tcPr>
            <w:tcW w:w="4876" w:type="dxa"/>
            <w:hideMark/>
          </w:tcPr>
          <w:p w:rsidR="00CC11EF" w:rsidRPr="00156095" w:rsidRDefault="00B66595" w:rsidP="00CC11EF">
            <w:pPr>
              <w:pStyle w:val="Normal6"/>
              <w:rPr>
                <w:szCs w:val="24"/>
              </w:rPr>
            </w:pPr>
            <w:r>
              <w:t>3.</w:t>
            </w:r>
            <w:r>
              <w:tab/>
              <w:t>Komisijai pagal 38 straipsnį suteikiami įgaliojimai priimti deleguotuosius ak</w:t>
            </w:r>
            <w:r>
              <w:t xml:space="preserve">tus, kuriais </w:t>
            </w:r>
            <w:r>
              <w:rPr>
                <w:b/>
                <w:i/>
              </w:rPr>
              <w:t>atnaujinami ir paaiškinami</w:t>
            </w:r>
            <w:r>
              <w:t xml:space="preserve"> IV priede </w:t>
            </w:r>
            <w:r>
              <w:rPr>
                <w:b/>
                <w:i/>
              </w:rPr>
              <w:t>išvardytų rūšių asmens duomenys, kartu išlaikant išsamų ir baigtinį</w:t>
            </w:r>
            <w:r>
              <w:t xml:space="preserve"> asmens duomenų</w:t>
            </w:r>
            <w:r>
              <w:rPr>
                <w:b/>
                <w:i/>
              </w:rPr>
              <w:t>, kurie turi būti tvarkomi nurodytu tikslu, sąrašą</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79</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w:t>
      </w:r>
      <w:r>
        <w:t xml:space="preserve"> reglamento</w:t>
      </w:r>
      <w:r>
        <w:rPr>
          <w:rStyle w:val="HideTWBExt"/>
          <w:b w:val="0"/>
        </w:rPr>
        <w:t>&lt;/DocAmend&gt;</w:t>
      </w:r>
    </w:p>
    <w:p w:rsidR="00CC11EF" w:rsidRPr="00156095" w:rsidRDefault="00B66595" w:rsidP="00CC11EF">
      <w:pPr>
        <w:pStyle w:val="NormalBold"/>
      </w:pPr>
      <w:r>
        <w:rPr>
          <w:rStyle w:val="HideTWBExt"/>
          <w:b w:val="0"/>
        </w:rPr>
        <w:t>&lt;Article&gt;</w:t>
      </w:r>
      <w:r>
        <w:t>35 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w:t>
            </w:r>
            <w:r>
              <w:tab/>
              <w:t xml:space="preserve">Asmens duomenys, tvarkomi 1 dalyje nurodytoms užduotims atlikti, papildomi tinkamomis techninėmis ir organizacinėmis priemonėmis, įskaitant </w:t>
            </w:r>
            <w:r>
              <w:t>pažangiausias saugumo ir privatumo apsaugos priemones. Tai apima aiškų asmens duomenų atskyrimą, siekiant užtikrinti, kad Europos Centrinis Bankas ir nacionaliniai centriniai bankai negalėtų tiesiogiai nustatyti konkrečių skaitmeninio euro naudotojų tapaty</w:t>
            </w:r>
            <w:r>
              <w:t>bės.</w:t>
            </w:r>
          </w:p>
        </w:tc>
        <w:tc>
          <w:tcPr>
            <w:tcW w:w="4876" w:type="dxa"/>
            <w:hideMark/>
          </w:tcPr>
          <w:p w:rsidR="00CC11EF" w:rsidRPr="00156095" w:rsidRDefault="00B66595" w:rsidP="00CC11EF">
            <w:pPr>
              <w:pStyle w:val="Normal6"/>
              <w:rPr>
                <w:szCs w:val="24"/>
              </w:rPr>
            </w:pPr>
            <w:r>
              <w:t>4.</w:t>
            </w:r>
            <w:r>
              <w:tab/>
              <w:t>Asmens duomenys, tvarkomi 1 dalyje nurodytoms užduotims atlikti, papildomi tinkamomis techninėmis ir organizacinėmis priemonėmis, įskaitant pažangiausias saugumo ir privatumo apsaugos priemones. Tai apima aiškų asmens duomenų atskyrimą, siekiant už</w:t>
            </w:r>
            <w:r>
              <w:t xml:space="preserve">tikrinti, kad Europos Centrinis Bankas ir nacionaliniai centriniai bankai negalėtų tiesiogiai nustatyti konkrečių skaitmeninio euro naudotojų tapatybės. </w:t>
            </w:r>
            <w:r>
              <w:rPr>
                <w:b/>
                <w:i/>
              </w:rPr>
              <w:t xml:space="preserve">Visų pirma tokiomis priemonėmis užtikrinama, kad asmens duomenys būtų pseudoniminami taip, kad Europos </w:t>
            </w:r>
            <w:r>
              <w:rPr>
                <w:b/>
                <w:i/>
              </w:rPr>
              <w:t>Centrinis Bankas arba nacionaliniai centriniai bankai, nesinaudodami papildoma informacija, nebegalėtų šių duomenų priskirti atskiram skaitmeninio euro naudotojui. Įgyvendindami šias technines ir organizacines priemones, ECB ir nacionaliniai centriniai ban</w:t>
            </w:r>
            <w:r>
              <w:rPr>
                <w:b/>
                <w:i/>
              </w:rPr>
              <w:t>kai taiko pritaikytosios ir standartizuotosios duomenų apsaugos principus, kaip apibrėžta Reglamente (ES) 2016/679.</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80</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lastRenderedPageBreak/>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35 straipsnio 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5.</w:t>
            </w:r>
            <w:r>
              <w:tab/>
              <w:t>Šio straipsnio 1 ir 8 dalyse nurodytais tikslais asmens duomenų valdytoju laikomas Europos Centrinis Bankas. Kai Europos Centrinis Bankas 1 ir 8 dalyse nurodytą užduotį vykdo kartu su nacionaliniais centriniais ban</w:t>
            </w:r>
            <w:r>
              <w:t>kais, jie yra bendri asmens duomenų valdytojai tos užduoties atžvilgiu.</w:t>
            </w:r>
          </w:p>
        </w:tc>
        <w:tc>
          <w:tcPr>
            <w:tcW w:w="4876" w:type="dxa"/>
            <w:hideMark/>
          </w:tcPr>
          <w:p w:rsidR="00CC11EF" w:rsidRPr="00156095" w:rsidRDefault="00B66595" w:rsidP="00CC11EF">
            <w:pPr>
              <w:pStyle w:val="Normal6"/>
              <w:rPr>
                <w:szCs w:val="24"/>
              </w:rPr>
            </w:pPr>
            <w:r>
              <w:t>5.</w:t>
            </w:r>
            <w:r>
              <w:tab/>
              <w:t>Pagal šio straipsnio 1 ir 8 dalyse nurodytus tikslus asmens duomenų valdytoju laikomas Europos Centrinis Bankas. Kai Europos Centrinis Bankas 1 ir 8 dalyse nurodytą užduotį vykdo ka</w:t>
            </w:r>
            <w:r>
              <w:t>rtu su nacionaliniais centriniais bankais, jie yra bendri asmens duomenų valdytojai tos užduoties atžvilgiu.</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81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35 straipsnio 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w:t>
            </w:r>
            <w:r>
              <w:t xml:space="preserve">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7.</w:t>
            </w:r>
            <w:r>
              <w:tab/>
              <w:t xml:space="preserve">Jei Europos Centrinis Bankas nusprendžia nepavesti 27 ir 32 straipsniuose nurodytų užduočių paramos paslaugų teikėjams, jis gali tvarkyti </w:t>
            </w:r>
            <w:r>
              <w:rPr>
                <w:b/>
                <w:i/>
              </w:rPr>
              <w:t>5</w:t>
            </w:r>
            <w:r>
              <w:t xml:space="preserve"> priede nurodytų rūšių asmens duomenis, laikydamasis šio straipsnio 4 dalyje nurodyt</w:t>
            </w:r>
            <w:r>
              <w:t>ų reikalavimų.</w:t>
            </w:r>
          </w:p>
        </w:tc>
        <w:tc>
          <w:tcPr>
            <w:tcW w:w="4876" w:type="dxa"/>
            <w:hideMark/>
          </w:tcPr>
          <w:p w:rsidR="00CC11EF" w:rsidRPr="00156095" w:rsidRDefault="00B66595" w:rsidP="00CC11EF">
            <w:pPr>
              <w:pStyle w:val="Normal6"/>
              <w:rPr>
                <w:szCs w:val="24"/>
              </w:rPr>
            </w:pPr>
            <w:r>
              <w:t>7.</w:t>
            </w:r>
            <w:r>
              <w:tab/>
              <w:t xml:space="preserve">Jei Europos Centrinis Bankas nusprendžia nepavesti 27 ir 32 straipsniuose nurodytų užduočių paramos paslaugų teikėjams, jis gali tvarkyti </w:t>
            </w:r>
            <w:r>
              <w:rPr>
                <w:b/>
                <w:i/>
              </w:rPr>
              <w:t>V</w:t>
            </w:r>
            <w:r>
              <w:t xml:space="preserve"> priede nurodytų rūšių asmens duomenis, laikydamasis šio straipsnio 4 dalyje nurodytų reikalavimų.</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82</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35 straipsnio 8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8.</w:t>
            </w:r>
            <w:r>
              <w:tab/>
              <w:t xml:space="preserve">Siekdamas padėti mokėjimo paslaugų teikėjams užtikrinti, kad būtų laikomasi </w:t>
            </w:r>
            <w:r>
              <w:t>16 straipsnio 1 dalyje nurodytų turimos sumos ribų, ir užtikrinti skubų perkėlimą naudotojo prašymu pagal 31 straipsnio 2 dalį, ECB gali vienas arba kartu su nacionaliniais centriniais bankais sukurti skaitmeninio euro naudotojo identifikatorių ir susijusi</w:t>
            </w:r>
            <w:r>
              <w:t xml:space="preserve">ų turimos skaitmeninių eurų sumos ribų bendrą </w:t>
            </w:r>
            <w:r>
              <w:lastRenderedPageBreak/>
              <w:t>prieigos punktą, kaip nurodyta 4 priedo 4 punkte. Europos Centrinis Bankas įgyvendina tinkamas technines ir organizacines priemones, įskaitant pažangiausias saugumo ir privatumo apsaugos priemones, siekdamas už</w:t>
            </w:r>
            <w:r>
              <w:t>tikrinti, kad subjektai, kurie nėra mokėjimo paslaugų teikėjai, kurių klientas ar potencialus klientas yra skaitmeninio euro naudotojas, negalėtų susieti konkrečių skaitmeninio euro naudotojų tapatybės su informacija bendrame prieigos punkte.</w:t>
            </w:r>
          </w:p>
        </w:tc>
        <w:tc>
          <w:tcPr>
            <w:tcW w:w="4876" w:type="dxa"/>
            <w:hideMark/>
          </w:tcPr>
          <w:p w:rsidR="00CC11EF" w:rsidRPr="00156095" w:rsidRDefault="00B66595" w:rsidP="00CC11EF">
            <w:pPr>
              <w:pStyle w:val="Normal6"/>
              <w:rPr>
                <w:szCs w:val="24"/>
              </w:rPr>
            </w:pPr>
            <w:r>
              <w:lastRenderedPageBreak/>
              <w:t>8.</w:t>
            </w:r>
            <w:r>
              <w:tab/>
              <w:t xml:space="preserve">Siekdamas </w:t>
            </w:r>
            <w:r>
              <w:t>padėti mokėjimo paslaugų teikėjams užtikrinti, kad būtų laikomasi 16 straipsnio 1 dalyje nurodytų turimos sumos ribų, ir užtikrinti skubų perkėlimą naudotojo prašymu pagal 31 straipsnio 2 dalį, ECB gali vienas arba kartu su nacionaliniais centriniais banka</w:t>
            </w:r>
            <w:r>
              <w:t xml:space="preserve">is sukurti skaitmeninio euro naudotojo identifikatorių ir susijusių turimos skaitmeninių eurų sumos ribų bendrą </w:t>
            </w:r>
            <w:r>
              <w:lastRenderedPageBreak/>
              <w:t>prieigos punktą, kaip nurodyta 4 priedo 4 punkte. Europos Centrinis Bankas įgyvendina tinkamas technines ir organizacines priemones, įskaitant p</w:t>
            </w:r>
            <w:r>
              <w:t>ažangiausias saugumo ir privatumo apsaugos priemones, siekdamas užtikrinti, kad subjektai, kurie nėra mokėjimo paslaugų teikėjai, kurių klientas ar potencialus klientas yra skaitmeninio euro naudotojas, negalėtų susieti konkrečių skaitmeninio euro naudotoj</w:t>
            </w:r>
            <w:r>
              <w:t xml:space="preserve">ų tapatybės su informacija bendrame prieigos punkte. </w:t>
            </w:r>
            <w:r>
              <w:rPr>
                <w:b/>
                <w:i/>
              </w:rPr>
              <w:t>Įgyvendindamas šias technines ir organizacines priemones, Europos Centrinis Bankas taiko pritaikytosios ir standartizuotosios duomenų apsaugos principus, kaip apibrėžta Reglamente (ES) 2016/679.</w:t>
            </w:r>
          </w:p>
        </w:tc>
      </w:tr>
    </w:tbl>
    <w:p w:rsidR="00CC11EF" w:rsidRPr="00156095" w:rsidRDefault="00B66595" w:rsidP="00CC11EF">
      <w:r>
        <w:rPr>
          <w:rStyle w:val="HideTWBExt"/>
        </w:rPr>
        <w:lastRenderedPageBreak/>
        <w:t>&lt;/Amend</w:t>
      </w:r>
      <w:r>
        <w:rPr>
          <w:rStyle w:val="HideTWBExt"/>
        </w:rPr>
        <w:t>&gt;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83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36 straipsnio 1 dalies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w:t>
            </w:r>
            <w:r>
              <w:tab/>
              <w:t xml:space="preserve">Kai Europos Centrinis Bankas nusprendžia 27 ir 32 straipsniuose </w:t>
            </w:r>
            <w:r>
              <w:t>nurodytas užduotis pavesti paramos paslaugų teikėjams, paramos paslaugų teikėjai teikia su mokėjimu susijusias paslaugas visiems MPT. Tokiu atveju mokėjimo paslaugų teikėjai atlieka viešojo intereso užduotį</w:t>
            </w:r>
            <w:r>
              <w:rPr>
                <w:b/>
                <w:i/>
              </w:rPr>
              <w:t>, kai tvarko asmens duomenis šiais tikslais</w:t>
            </w:r>
            <w:r>
              <w:t>:</w:t>
            </w:r>
          </w:p>
        </w:tc>
        <w:tc>
          <w:tcPr>
            <w:tcW w:w="4876" w:type="dxa"/>
            <w:hideMark/>
          </w:tcPr>
          <w:p w:rsidR="00CC11EF" w:rsidRPr="00156095" w:rsidRDefault="00B66595" w:rsidP="00CC11EF">
            <w:pPr>
              <w:pStyle w:val="Normal6"/>
              <w:rPr>
                <w:szCs w:val="24"/>
              </w:rPr>
            </w:pPr>
            <w:r>
              <w:t>1.</w:t>
            </w:r>
            <w:r>
              <w:tab/>
              <w:t>Ka</w:t>
            </w:r>
            <w:r>
              <w:t xml:space="preserve">i Europos Centrinis Bankas nusprendžia 27 ir 32 straipsniuose nurodytas užduotis pavesti paramos paslaugų teikėjams, paramos paslaugų teikėjai teikia su mokėjimu susijusias paslaugas visiems MPT. Tokiu atveju mokėjimo paslaugų teikėjai </w:t>
            </w:r>
            <w:r>
              <w:rPr>
                <w:b/>
                <w:i/>
              </w:rPr>
              <w:t>asmens duomenis tvar</w:t>
            </w:r>
            <w:r>
              <w:rPr>
                <w:b/>
                <w:i/>
              </w:rPr>
              <w:t xml:space="preserve">ko tik tais atvejais, kai jie </w:t>
            </w:r>
            <w:r>
              <w:t>atlieka viešojo intereso užduotį</w:t>
            </w:r>
            <w:r>
              <w:rPr>
                <w:b/>
                <w:i/>
              </w:rPr>
              <w:t xml:space="preserve"> pagal Reglamento 2016/679 6 straipsnio 1 dalies e punktą, siekiant tik šių tikslų</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84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36 </w:t>
      </w:r>
      <w:r>
        <w:t>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t xml:space="preserve">1 dalyje nurodytais tikslais V priede </w:t>
            </w:r>
            <w:r>
              <w:lastRenderedPageBreak/>
              <w:t>nustatytos asmens duomenų rūšys.</w:t>
            </w:r>
          </w:p>
        </w:tc>
        <w:tc>
          <w:tcPr>
            <w:tcW w:w="4876" w:type="dxa"/>
            <w:hideMark/>
          </w:tcPr>
          <w:p w:rsidR="00CC11EF" w:rsidRPr="00156095" w:rsidRDefault="00B66595" w:rsidP="00CC11EF">
            <w:pPr>
              <w:pStyle w:val="Normal6"/>
              <w:rPr>
                <w:szCs w:val="24"/>
              </w:rPr>
            </w:pPr>
            <w:r>
              <w:lastRenderedPageBreak/>
              <w:t>2.</w:t>
            </w:r>
            <w:r>
              <w:tab/>
              <w:t xml:space="preserve">1 dalyje nurodytais tikslais V priede </w:t>
            </w:r>
            <w:r>
              <w:lastRenderedPageBreak/>
              <w:t>nustatytos asmens duomenų</w:t>
            </w:r>
            <w:r>
              <w:rPr>
                <w:b/>
                <w:i/>
              </w:rPr>
              <w:t xml:space="preserve">, kurie gali būti apdorojami, </w:t>
            </w:r>
            <w:r>
              <w:t xml:space="preserve"> rūšys. </w:t>
            </w:r>
            <w:r>
              <w:rPr>
                <w:b/>
                <w:i/>
              </w:rPr>
              <w:t>1 dalies</w:t>
            </w:r>
            <w:r>
              <w:rPr>
                <w:b/>
                <w:i/>
              </w:rPr>
              <w:t xml:space="preserve"> b punkte nurodytais tikslais Komisijai suteikiami įgaliojimai deleguotaisiais aktais pagal 3 dalį apibrėžti asmens duomenų, kurie gali būti tvarkomi pagalbos paslaugų teikėjų, rūšis.</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85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w:t>
      </w:r>
      <w:r>
        <w:t xml:space="preserve"> reglamento</w:t>
      </w:r>
      <w:r>
        <w:rPr>
          <w:rStyle w:val="HideTWBExt"/>
          <w:b w:val="0"/>
        </w:rPr>
        <w:t>&lt;/DocAmend&gt;</w:t>
      </w:r>
    </w:p>
    <w:p w:rsidR="00CC11EF" w:rsidRPr="00156095" w:rsidRDefault="00B66595" w:rsidP="00CC11EF">
      <w:pPr>
        <w:pStyle w:val="NormalBold"/>
      </w:pPr>
      <w:r>
        <w:rPr>
          <w:rStyle w:val="HideTWBExt"/>
          <w:b w:val="0"/>
        </w:rPr>
        <w:t>&lt;Article&gt;</w:t>
      </w:r>
      <w:r>
        <w:t>36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w:t>
            </w:r>
            <w:r>
              <w:tab/>
              <w:t>Komisijai pagal 38 straipsnį suteikiami įgaliojimai priimti deleguotuosius aktus, kuriais atnaujinamas V priede pateiktas asmens duomenų rūšių sąraš</w:t>
            </w:r>
            <w:r>
              <w:t>as.</w:t>
            </w:r>
          </w:p>
        </w:tc>
        <w:tc>
          <w:tcPr>
            <w:tcW w:w="4876" w:type="dxa"/>
            <w:hideMark/>
          </w:tcPr>
          <w:p w:rsidR="00CC11EF" w:rsidRPr="00156095" w:rsidRDefault="00B66595" w:rsidP="00CC11EF">
            <w:pPr>
              <w:pStyle w:val="Normal6"/>
              <w:rPr>
                <w:szCs w:val="24"/>
              </w:rPr>
            </w:pPr>
            <w:r>
              <w:t>3.</w:t>
            </w:r>
            <w:r>
              <w:tab/>
              <w:t xml:space="preserve">Komisijai pagal 38 straipsnį suteikiami įgaliojimai priimti deleguotuosius aktus, kuriais </w:t>
            </w:r>
            <w:r>
              <w:rPr>
                <w:b/>
                <w:i/>
              </w:rPr>
              <w:t>atnaujinami ir paaiškinami</w:t>
            </w:r>
            <w:r>
              <w:t xml:space="preserve"> V priede </w:t>
            </w:r>
            <w:r>
              <w:rPr>
                <w:b/>
                <w:i/>
              </w:rPr>
              <w:t>išvardytų rūšių asmens duomenys, kartu išlaikant išsamų ir baigtinį</w:t>
            </w:r>
            <w:r>
              <w:t xml:space="preserve"> asmens duomenų</w:t>
            </w:r>
            <w:r>
              <w:rPr>
                <w:b/>
                <w:i/>
              </w:rPr>
              <w:t xml:space="preserve">, kurie turi būti tvarkomi nurodytu </w:t>
            </w:r>
            <w:r>
              <w:rPr>
                <w:b/>
                <w:i/>
              </w:rPr>
              <w:t>tikslu, sąrašą</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86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36 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w:t>
            </w:r>
            <w:r>
              <w:tab/>
              <w:t xml:space="preserve">Asmens duomenys 1 dalyje nurodytais tikslais tvarkomi tik </w:t>
            </w:r>
            <w:r>
              <w:t>tada, kai yra įgyvendintos tinkamos techninės ir organizacinės priemonės, įskaitant pažangiausias saugumo ir privatumo apsaugos priemones, siekiant užtikrinti, kad paramos paslaugų teikėjai negalėtų tiesiogiai nustatyti konkrečių skaitmeninio euro naudotoj</w:t>
            </w:r>
            <w:r>
              <w:t>ų tapatybės.</w:t>
            </w:r>
          </w:p>
        </w:tc>
        <w:tc>
          <w:tcPr>
            <w:tcW w:w="4876" w:type="dxa"/>
            <w:hideMark/>
          </w:tcPr>
          <w:p w:rsidR="00CC11EF" w:rsidRPr="00156095" w:rsidRDefault="00B66595" w:rsidP="00CC11EF">
            <w:pPr>
              <w:pStyle w:val="Normal6"/>
              <w:rPr>
                <w:szCs w:val="24"/>
              </w:rPr>
            </w:pPr>
            <w:r>
              <w:t>4.</w:t>
            </w:r>
            <w:r>
              <w:tab/>
              <w:t>Asmens duomenys 1 dalyje nurodytais tikslais tvarkomi tik tada, kai yra įgyvendintos tinkamos techninės ir organizacinės priemonės, įskaitant pažangiausias saugumo ir privatumo apsaugos priemones, siekiant užtikrinti, kad paramos paslaugų t</w:t>
            </w:r>
            <w:r>
              <w:t xml:space="preserve">eikėjai negalėtų tiesiogiai nustatyti konkrečių skaitmeninio euro naudotojų tapatybės. </w:t>
            </w:r>
            <w:r>
              <w:rPr>
                <w:b/>
                <w:i/>
              </w:rPr>
              <w:t>Visų pirma tokiomis priemonėmis užtikrinama, kad asmens duomenys būtų pseudoniminami taip, kad Europos Centrinis Bankas arba nacionaliniai centriniai bankai, nesinaudoda</w:t>
            </w:r>
            <w:r>
              <w:rPr>
                <w:b/>
                <w:i/>
              </w:rPr>
              <w:t xml:space="preserve">mi papildoma informacija, nebegalėtų šių duomenų priskirti atskiram skaitmeninio euro naudotojui. </w:t>
            </w:r>
            <w:r>
              <w:rPr>
                <w:b/>
                <w:i/>
              </w:rPr>
              <w:lastRenderedPageBreak/>
              <w:t>Įgyvendindami šias technines ir organizacines priemones, mokėjimo paslaugų teikėjai taiko pritaikytosios ir standartizuotosios duomenų apsaugos principus, kai</w:t>
            </w:r>
            <w:r>
              <w:rPr>
                <w:b/>
                <w:i/>
              </w:rPr>
              <w:t>p apibrėžta Reglamente (ES) 2016/679.</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87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37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t xml:space="preserve">Mokėjimo paslaugų teikėjai arba </w:t>
            </w:r>
            <w:r>
              <w:t>Europos Centrinis bankas ir nacionaliniai centriniai bankai operacijų duomenų</w:t>
            </w:r>
            <w:r>
              <w:rPr>
                <w:b/>
                <w:i/>
              </w:rPr>
              <w:t xml:space="preserve"> nesaugo</w:t>
            </w:r>
            <w:r>
              <w:t>.</w:t>
            </w:r>
          </w:p>
        </w:tc>
        <w:tc>
          <w:tcPr>
            <w:tcW w:w="4876" w:type="dxa"/>
            <w:hideMark/>
          </w:tcPr>
          <w:p w:rsidR="00CC11EF" w:rsidRPr="00156095" w:rsidRDefault="00B66595" w:rsidP="00CC11EF">
            <w:pPr>
              <w:pStyle w:val="Normal6"/>
              <w:rPr>
                <w:szCs w:val="24"/>
              </w:rPr>
            </w:pPr>
            <w:r>
              <w:t>2.</w:t>
            </w:r>
            <w:r>
              <w:tab/>
              <w:t>Mokėjimo paslaugų teikėjai</w:t>
            </w:r>
            <w:r>
              <w:rPr>
                <w:b/>
                <w:i/>
              </w:rPr>
              <w:t>, paramos paslaugų teikėjai</w:t>
            </w:r>
            <w:r>
              <w:t xml:space="preserve"> arba Europos centrinis bankas ir nacionaliniai centriniai bankai </w:t>
            </w:r>
            <w:r>
              <w:rPr>
                <w:b/>
                <w:i/>
              </w:rPr>
              <w:t>netvarko mokėjimo paslaugų teikėjų, paramos pas</w:t>
            </w:r>
            <w:r>
              <w:rPr>
                <w:b/>
                <w:i/>
              </w:rPr>
              <w:t xml:space="preserve">laugų teikėjų arba Europos centrinio banko ir nacionalinių centrinių bankų </w:t>
            </w:r>
            <w:r>
              <w:t>operacijų duomenų</w:t>
            </w:r>
            <w:r>
              <w:rPr>
                <w:b/>
                <w:i/>
              </w:rPr>
              <w:t>, gautų vykdant mokėjimo operaciją laikantis III, IV ir V prieduose nustatytų apdorojimo apribojimų</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88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w:t>
      </w:r>
      <w:r>
        <w:t>lymas dėl reglamento</w:t>
      </w:r>
      <w:r>
        <w:rPr>
          <w:rStyle w:val="HideTWBExt"/>
          <w:b w:val="0"/>
        </w:rPr>
        <w:t>&lt;/DocAmend&gt;</w:t>
      </w:r>
    </w:p>
    <w:p w:rsidR="00CC11EF" w:rsidRPr="00156095" w:rsidRDefault="00B66595" w:rsidP="00CC11EF">
      <w:pPr>
        <w:pStyle w:val="NormalBold"/>
      </w:pPr>
      <w:r>
        <w:rPr>
          <w:rStyle w:val="HideTWBExt"/>
          <w:b w:val="0"/>
        </w:rPr>
        <w:t>&lt;Article&gt;</w:t>
      </w:r>
      <w:r>
        <w:t>37 straipsnio 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5.</w:t>
            </w:r>
            <w:r>
              <w:tab/>
              <w:t xml:space="preserve">Komisijai suteikiami įgaliojimai priimti </w:t>
            </w:r>
            <w:r>
              <w:rPr>
                <w:b/>
                <w:i/>
              </w:rPr>
              <w:t>įgyvendinimo</w:t>
            </w:r>
            <w:r>
              <w:t xml:space="preserve"> aktus, kuriais nustatomos neinternetinių mokėjimo skaitmeniniais eurais operacijų ribos ir turimos sumos ribos. Tie </w:t>
            </w:r>
            <w:r>
              <w:rPr>
                <w:b/>
                <w:i/>
              </w:rPr>
              <w:t>įgyvendinimo</w:t>
            </w:r>
            <w:r>
              <w:t xml:space="preserve"> aktai priimami laikantis </w:t>
            </w:r>
            <w:r>
              <w:rPr>
                <w:b/>
                <w:i/>
              </w:rPr>
              <w:t xml:space="preserve">39 </w:t>
            </w:r>
            <w:r>
              <w:t>straipsnyje nurodytos</w:t>
            </w:r>
            <w:r>
              <w:rPr>
                <w:b/>
                <w:i/>
              </w:rPr>
              <w:t xml:space="preserve"> nagrinėjimo</w:t>
            </w:r>
            <w:r>
              <w:t xml:space="preserve"> procedūros.</w:t>
            </w:r>
          </w:p>
        </w:tc>
        <w:tc>
          <w:tcPr>
            <w:tcW w:w="4876" w:type="dxa"/>
            <w:hideMark/>
          </w:tcPr>
          <w:p w:rsidR="00CC11EF" w:rsidRPr="00156095" w:rsidRDefault="00B66595" w:rsidP="00CC11EF">
            <w:pPr>
              <w:pStyle w:val="Normal6"/>
              <w:rPr>
                <w:szCs w:val="24"/>
              </w:rPr>
            </w:pPr>
            <w:r>
              <w:t>5.</w:t>
            </w:r>
            <w:r>
              <w:tab/>
              <w:t xml:space="preserve">Komisijai suteikiami įgaliojimai priimti </w:t>
            </w:r>
            <w:r>
              <w:rPr>
                <w:b/>
                <w:i/>
              </w:rPr>
              <w:t>deleguot</w:t>
            </w:r>
            <w:r>
              <w:rPr>
                <w:b/>
                <w:i/>
              </w:rPr>
              <w:t>uosius</w:t>
            </w:r>
            <w:r>
              <w:t xml:space="preserve"> aktus, kuriais nustatomos neinternetinių mokėjimo skaitmeniniais eurais operacijų ribos ir turimos sumos ribos. Tie </w:t>
            </w:r>
            <w:r>
              <w:rPr>
                <w:b/>
                <w:i/>
              </w:rPr>
              <w:t>deleguotieji</w:t>
            </w:r>
            <w:r>
              <w:t xml:space="preserve"> aktai priimami laikantis </w:t>
            </w:r>
            <w:r>
              <w:rPr>
                <w:b/>
                <w:i/>
              </w:rPr>
              <w:t>38 </w:t>
            </w:r>
            <w:r>
              <w:t>straipsnyje nurodytos procedūros.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89</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37 straipsnio 6 dalies 1 pastraipos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 xml:space="preserve">Nustatant operacijų ir turimos sumos ribas atsižvelgiama į poreikį užkirsti kelią pinigų plovimui ir </w:t>
            </w:r>
            <w:r>
              <w:t xml:space="preserve">terorizmo finansavimui, kartu nepagrįstai neribojant skaitmeninio euro, kaip mokėjimo priemonės, naudojimo ne internetu. Rengdama 5 dalyje nurodytus </w:t>
            </w:r>
            <w:r>
              <w:rPr>
                <w:b/>
                <w:i/>
              </w:rPr>
              <w:t>įgyvendinimo</w:t>
            </w:r>
            <w:r>
              <w:t xml:space="preserve"> aktus, Komisija visų pirma atsižvelgia į šiuos aspektus:</w:t>
            </w:r>
          </w:p>
        </w:tc>
        <w:tc>
          <w:tcPr>
            <w:tcW w:w="4876" w:type="dxa"/>
            <w:hideMark/>
          </w:tcPr>
          <w:p w:rsidR="00CC11EF" w:rsidRPr="00156095" w:rsidRDefault="00B66595" w:rsidP="00CC11EF">
            <w:pPr>
              <w:pStyle w:val="Normal6"/>
              <w:rPr>
                <w:szCs w:val="24"/>
              </w:rPr>
            </w:pPr>
            <w:r>
              <w:t xml:space="preserve">Nustatant operacijų ir turimos sumos </w:t>
            </w:r>
            <w:r>
              <w:t xml:space="preserve">ribas atsižvelgiama į poreikį užkirsti kelią pinigų plovimui ir terorizmo finansavimui, kartu nepagrįstai neribojant skaitmeninio euro, kaip mokėjimo priemonės, naudojimo ne internetu. Rengdama 5 dalyje nurodytus </w:t>
            </w:r>
            <w:r>
              <w:rPr>
                <w:b/>
                <w:i/>
              </w:rPr>
              <w:t>deleguotuosius</w:t>
            </w:r>
            <w:r>
              <w:t xml:space="preserve"> aktus, Komisija visų pirma a</w:t>
            </w:r>
            <w:r>
              <w:t>tsižvelgia į šiuos aspektus: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90</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37 straipsnio 6 dalies 1 pastraipos c a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tcPr>
          <w:p w:rsidR="00CC11EF" w:rsidRPr="00156095" w:rsidRDefault="00CC11EF" w:rsidP="00CC11EF">
            <w:pPr>
              <w:pStyle w:val="Normal6"/>
              <w:rPr>
                <w:lang w:val="en-GB"/>
              </w:rPr>
            </w:pPr>
          </w:p>
        </w:tc>
        <w:tc>
          <w:tcPr>
            <w:tcW w:w="4876" w:type="dxa"/>
            <w:hideMark/>
          </w:tcPr>
          <w:p w:rsidR="00CC11EF" w:rsidRPr="00156095" w:rsidRDefault="00B66595" w:rsidP="00CC11EF">
            <w:pPr>
              <w:pStyle w:val="Normal6"/>
              <w:rPr>
                <w:szCs w:val="24"/>
              </w:rPr>
            </w:pPr>
            <w:r>
              <w:rPr>
                <w:b/>
                <w:i/>
              </w:rPr>
              <w:t>ca)</w:t>
            </w:r>
            <w:r>
              <w:rPr>
                <w:b/>
                <w:i/>
              </w:rPr>
              <w:tab/>
              <w:t xml:space="preserve">tikslas </w:t>
            </w:r>
            <w:r>
              <w:rPr>
                <w:b/>
                <w:i/>
              </w:rPr>
              <w:t>įvesti į grynuosius pinigus panašią mokėjimo priemonę, susijusią su teisės į asmens duomenų ir privatumo apsaugą išsaugojimu.</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91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37 straipsnio 6 dalies 2 </w:t>
      </w:r>
      <w:r>
        <w:t>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Taikant a punktą, Komisija</w:t>
            </w:r>
            <w:r>
              <w:rPr>
                <w:b/>
                <w:i/>
              </w:rPr>
              <w:t xml:space="preserve"> gali prašyti</w:t>
            </w:r>
            <w:r>
              <w:t xml:space="preserve"> AMLA</w:t>
            </w:r>
            <w:r>
              <w:rPr>
                <w:b/>
                <w:i/>
              </w:rPr>
              <w:t xml:space="preserve"> priimti nuomonę</w:t>
            </w:r>
            <w:r>
              <w:t xml:space="preserve">, </w:t>
            </w:r>
            <w:r>
              <w:rPr>
                <w:b/>
                <w:i/>
              </w:rPr>
              <w:t>kurioje būtų įvertintas</w:t>
            </w:r>
            <w:r>
              <w:t xml:space="preserve"> pinigų plovimo ir terorizmo finansavimo grėsmių, susijusių su skaitmeniniu euru ne internete, </w:t>
            </w:r>
            <w:r>
              <w:rPr>
                <w:b/>
                <w:i/>
              </w:rPr>
              <w:t>lygis</w:t>
            </w:r>
            <w:r>
              <w:t xml:space="preserve"> ir </w:t>
            </w:r>
            <w:r>
              <w:rPr>
                <w:b/>
                <w:i/>
              </w:rPr>
              <w:t>pažeidžiamumas</w:t>
            </w:r>
            <w:r>
              <w:t>. Komisija gali konsultuotis su Europos duomenų apsaugos valdyba.</w:t>
            </w:r>
          </w:p>
        </w:tc>
        <w:tc>
          <w:tcPr>
            <w:tcW w:w="4876" w:type="dxa"/>
            <w:hideMark/>
          </w:tcPr>
          <w:p w:rsidR="00CC11EF" w:rsidRPr="00156095" w:rsidRDefault="00B66595" w:rsidP="00CC11EF">
            <w:pPr>
              <w:pStyle w:val="Normal6"/>
              <w:rPr>
                <w:szCs w:val="24"/>
              </w:rPr>
            </w:pPr>
            <w:r>
              <w:t>Taikant a punktą, Komisija</w:t>
            </w:r>
            <w:r>
              <w:rPr>
                <w:b/>
                <w:i/>
              </w:rPr>
              <w:t> konsultuojasi su</w:t>
            </w:r>
            <w:r>
              <w:t xml:space="preserve"> AMLA, </w:t>
            </w:r>
            <w:r>
              <w:rPr>
                <w:b/>
                <w:i/>
              </w:rPr>
              <w:t>kuri įvertina</w:t>
            </w:r>
            <w:r>
              <w:t xml:space="preserve"> pinigų plovimo ir terorizmo finansavimo grėsmių, susijusių su skaitmeniniu euru ne internete, </w:t>
            </w:r>
            <w:r>
              <w:rPr>
                <w:b/>
                <w:i/>
              </w:rPr>
              <w:t>lygį</w:t>
            </w:r>
            <w:r>
              <w:t xml:space="preserve"> ir </w:t>
            </w:r>
            <w:r>
              <w:rPr>
                <w:b/>
                <w:i/>
              </w:rPr>
              <w:t>pažeidžiam</w:t>
            </w:r>
            <w:r>
              <w:rPr>
                <w:b/>
                <w:i/>
              </w:rPr>
              <w:t>umą</w:t>
            </w:r>
            <w:r>
              <w:t>. Komisija</w:t>
            </w:r>
            <w:r>
              <w:rPr>
                <w:b/>
                <w:i/>
              </w:rPr>
              <w:t xml:space="preserve"> taip pat</w:t>
            </w:r>
            <w:r>
              <w:t xml:space="preserve"> gali konsultuotis su Europos duomenų apsaugos valdyba. </w:t>
            </w:r>
            <w:r>
              <w:rPr>
                <w:b/>
                <w:i/>
              </w:rPr>
              <w:t>Taikant d punktą, Komisija konsultuojasi su Europos duomenų apsaugos priežiūros pareigūnu pagal Reglamento (ES) 2018/1725 42 straipsnį.</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92</w:t>
      </w:r>
      <w:r>
        <w:rPr>
          <w:rStyle w:val="HideTWBExt"/>
          <w:b w:val="0"/>
          <w:lang w:val="en-GB"/>
        </w:rPr>
        <w:t>&lt;/Nu</w:t>
      </w:r>
      <w:r>
        <w:rPr>
          <w:rStyle w:val="HideTWBExt"/>
          <w:b w:val="0"/>
          <w:lang w:val="en-GB"/>
        </w:rPr>
        <w:t>mAm&gt;</w:t>
      </w:r>
    </w:p>
    <w:p w:rsidR="00CC11EF" w:rsidRPr="00156095" w:rsidRDefault="00CC11EF" w:rsidP="00CC11EF"/>
    <w:p w:rsidR="00CC11EF" w:rsidRPr="00156095" w:rsidRDefault="00B66595" w:rsidP="00CC11EF">
      <w:pPr>
        <w:pStyle w:val="NormalBold"/>
        <w:keepNext/>
      </w:pPr>
      <w:r>
        <w:rPr>
          <w:rStyle w:val="HideTWBExt"/>
          <w:b w:val="0"/>
        </w:rPr>
        <w:lastRenderedPageBreak/>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38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t xml:space="preserve">11, </w:t>
            </w:r>
            <w:r>
              <w:rPr>
                <w:b/>
                <w:i/>
              </w:rPr>
              <w:t>33</w:t>
            </w:r>
            <w:r>
              <w:t xml:space="preserve">, </w:t>
            </w:r>
            <w:r>
              <w:rPr>
                <w:b/>
                <w:i/>
              </w:rPr>
              <w:t>34</w:t>
            </w:r>
            <w:r>
              <w:t xml:space="preserve"> ir </w:t>
            </w:r>
            <w:r>
              <w:rPr>
                <w:b/>
                <w:i/>
              </w:rPr>
              <w:t>35</w:t>
            </w:r>
            <w:r>
              <w:t xml:space="preserve"> straipsniuose nurodyti įgaliojimai priimti deleguotuosius aktus Komisijai suteikiami neribotam laikotarpiui nuo [šio reglamento įsigaliojimo data].</w:t>
            </w:r>
          </w:p>
        </w:tc>
        <w:tc>
          <w:tcPr>
            <w:tcW w:w="4876" w:type="dxa"/>
            <w:hideMark/>
          </w:tcPr>
          <w:p w:rsidR="00CC11EF" w:rsidRPr="00156095" w:rsidRDefault="00B66595" w:rsidP="00CC11EF">
            <w:pPr>
              <w:pStyle w:val="Normal6"/>
              <w:rPr>
                <w:szCs w:val="24"/>
              </w:rPr>
            </w:pPr>
            <w:r>
              <w:t>2.</w:t>
            </w:r>
            <w:r>
              <w:tab/>
              <w:t xml:space="preserve">11, </w:t>
            </w:r>
            <w:r>
              <w:rPr>
                <w:b/>
                <w:i/>
              </w:rPr>
              <w:t>34</w:t>
            </w:r>
            <w:r>
              <w:t xml:space="preserve">, </w:t>
            </w:r>
            <w:r>
              <w:rPr>
                <w:b/>
                <w:i/>
              </w:rPr>
              <w:t>35</w:t>
            </w:r>
            <w:r>
              <w:t xml:space="preserve"> ir </w:t>
            </w:r>
            <w:r>
              <w:rPr>
                <w:b/>
                <w:i/>
              </w:rPr>
              <w:t>36</w:t>
            </w:r>
            <w:r>
              <w:t xml:space="preserve"> straipsniuose nurodyti įgaliojimai priimti deleguotuosius aktus Komisijai suteikiami ne</w:t>
            </w:r>
            <w:r>
              <w:t>ribotam laikotarpiui nuo [šio reglamento įsigaliojimo data].</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93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38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w:t>
            </w:r>
            <w:r>
              <w:tab/>
            </w:r>
            <w:r>
              <w:t xml:space="preserve">Europos Parlamentas arba Taryba gali bet kada atšaukti 11, 33, </w:t>
            </w:r>
            <w:r>
              <w:rPr>
                <w:b/>
                <w:i/>
              </w:rPr>
              <w:t>34</w:t>
            </w:r>
            <w:r>
              <w:t xml:space="preserve"> ir </w:t>
            </w:r>
            <w:r>
              <w:rPr>
                <w:b/>
                <w:i/>
              </w:rPr>
              <w:t>35</w:t>
            </w:r>
            <w:r>
              <w:t xml:space="preserve"> straipsniuose nurodytus įgaliojimus priimti deleguotuosius aktus. Sprendimu dėl įgaliojimų atšaukimo nutraukiami tame sprendime nurodyti įgaliojimai priimti deleguotuosius aktus. Jis </w:t>
            </w:r>
            <w:r>
              <w:t>įsigalioja kitą dieną po jo paskelbimo Europos Sąjungos oficialiajame leidinyje arba vėlesnę jame nurodytą dieną. Jis nedaro poveikio jau galiojančių deleguotųjų aktų teisėtumui.</w:t>
            </w:r>
          </w:p>
        </w:tc>
        <w:tc>
          <w:tcPr>
            <w:tcW w:w="4876" w:type="dxa"/>
            <w:hideMark/>
          </w:tcPr>
          <w:p w:rsidR="00CC11EF" w:rsidRPr="00156095" w:rsidRDefault="00B66595" w:rsidP="00CC11EF">
            <w:pPr>
              <w:pStyle w:val="Normal6"/>
              <w:rPr>
                <w:szCs w:val="24"/>
              </w:rPr>
            </w:pPr>
            <w:r>
              <w:t>3.</w:t>
            </w:r>
            <w:r>
              <w:tab/>
              <w:t xml:space="preserve">Europos Parlamentas arba Taryba gali bet kada atšaukti 11, </w:t>
            </w:r>
            <w:r>
              <w:rPr>
                <w:b/>
                <w:bCs/>
                <w:i/>
                <w:iCs/>
              </w:rPr>
              <w:t>34</w:t>
            </w:r>
            <w:r>
              <w:t xml:space="preserve">, </w:t>
            </w:r>
            <w:r>
              <w:rPr>
                <w:b/>
                <w:i/>
              </w:rPr>
              <w:t>35</w:t>
            </w:r>
            <w:r>
              <w:t xml:space="preserve"> ir </w:t>
            </w:r>
            <w:r>
              <w:rPr>
                <w:b/>
                <w:i/>
              </w:rPr>
              <w:t>36</w:t>
            </w:r>
            <w:r>
              <w:t xml:space="preserve"> st</w:t>
            </w:r>
            <w:r>
              <w:t>raipsniuose nurodytus įgaliojimus priimti deleguotuosius aktus. Sprendimu dėl įgaliojimų atšaukimo nutraukiami tame sprendime nurodyti įgaliojimai priimti deleguotuosius aktus. Jis įsigalioja kitą dieną po jo paskelbimo Europos Sąjungos oficialiajame leidi</w:t>
            </w:r>
            <w:r>
              <w:t>nyje arba vėlesnę jame nurodytą dieną. Jis nedaro poveikio jau galiojančių deleguotųjų aktų teisėtumui.</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94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38 straipsnio 6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 xml:space="preserve">Komisijos </w:t>
            </w:r>
            <w:r>
              <w:t>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6.</w:t>
            </w:r>
            <w:r>
              <w:tab/>
              <w:t xml:space="preserve">Pagal 11, 33, </w:t>
            </w:r>
            <w:r>
              <w:rPr>
                <w:b/>
                <w:i/>
              </w:rPr>
              <w:t>34</w:t>
            </w:r>
            <w:r>
              <w:t xml:space="preserve"> ir </w:t>
            </w:r>
            <w:r>
              <w:rPr>
                <w:b/>
                <w:i/>
              </w:rPr>
              <w:t>35</w:t>
            </w:r>
            <w:r>
              <w:t xml:space="preserve"> straipsnius priimtas deleguotasis aktas įsigalioja tik tuo atveju, jeigu per vieną mėnesį nuo pranešimo Europos Parlamentui ir Tarybai apie šį aktą dienos nei Europos Parlamentas, nei Taryba nepareiški</w:t>
            </w:r>
            <w:r>
              <w:t xml:space="preserve">a prieštaravimų arba jeigu dar nepasibaigus šiam laikotarpiui ir Europos Parlamentas, ir Taryba praneša Komisijai, kad </w:t>
            </w:r>
            <w:r>
              <w:lastRenderedPageBreak/>
              <w:t xml:space="preserve">prieštaravimų nereikš. </w:t>
            </w:r>
            <w:r>
              <w:rPr>
                <w:b/>
                <w:i/>
              </w:rPr>
              <w:t>Europos Parlamento arba Tarybos iniciatyva šis laikotarpis pratęsiamas dviem mėnesiais.</w:t>
            </w:r>
          </w:p>
        </w:tc>
        <w:tc>
          <w:tcPr>
            <w:tcW w:w="4876" w:type="dxa"/>
            <w:hideMark/>
          </w:tcPr>
          <w:p w:rsidR="00CC11EF" w:rsidRPr="00156095" w:rsidRDefault="00B66595" w:rsidP="00CC11EF">
            <w:pPr>
              <w:pStyle w:val="Normal6"/>
              <w:rPr>
                <w:szCs w:val="24"/>
              </w:rPr>
            </w:pPr>
            <w:r>
              <w:lastRenderedPageBreak/>
              <w:t>6.</w:t>
            </w:r>
            <w:r>
              <w:tab/>
              <w:t xml:space="preserve">Pagal 11, </w:t>
            </w:r>
            <w:r>
              <w:rPr>
                <w:b/>
                <w:bCs/>
                <w:i/>
                <w:iCs/>
              </w:rPr>
              <w:t>34</w:t>
            </w:r>
            <w:r>
              <w:t xml:space="preserve">, </w:t>
            </w:r>
            <w:r>
              <w:rPr>
                <w:b/>
                <w:i/>
              </w:rPr>
              <w:t>35</w:t>
            </w:r>
            <w:r>
              <w:t xml:space="preserve"> ir </w:t>
            </w:r>
            <w:r>
              <w:rPr>
                <w:b/>
                <w:i/>
              </w:rPr>
              <w:t>36</w:t>
            </w:r>
            <w:r>
              <w:t xml:space="preserve"> </w:t>
            </w:r>
            <w:r>
              <w:t>straipsnius priimtas deleguotasis aktas įsigalioja tik tuo atveju, jeigu per vieną mėnesį nuo pranešimo Europos Parlamentui ir Tarybai apie šį aktą dienos nei Europos Parlamentas, nei Taryba nepareiškia prieštaravimų arba jeigu dar nepasibaigus šiam laikot</w:t>
            </w:r>
            <w:r>
              <w:t xml:space="preserve">arpiui ir Europos Parlamentas, ir Taryba praneša Komisijai, kad </w:t>
            </w:r>
            <w:r>
              <w:lastRenderedPageBreak/>
              <w:t>prieštaravimų nereikš. Europos Parlamento arba Tarybos iniciatyva šis laikotarpis pratęsiamas dviem mėnesiais.</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95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 xml:space="preserve">Pasiūlymas dėl </w:t>
      </w:r>
      <w:r>
        <w:t>reglamento</w:t>
      </w:r>
      <w:r>
        <w:rPr>
          <w:rStyle w:val="HideTWBExt"/>
          <w:b w:val="0"/>
        </w:rPr>
        <w:t>&lt;/DocAmend&gt;</w:t>
      </w:r>
    </w:p>
    <w:p w:rsidR="00CC11EF" w:rsidRPr="00156095" w:rsidRDefault="00B66595" w:rsidP="00CC11EF">
      <w:pPr>
        <w:pStyle w:val="NormalBold"/>
      </w:pPr>
      <w:r>
        <w:rPr>
          <w:rStyle w:val="HideTWBExt"/>
          <w:b w:val="0"/>
        </w:rPr>
        <w:t>&lt;Article&gt;</w:t>
      </w:r>
      <w:r>
        <w:t>II priedo 1 pastraipos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Fiziniams asmenims skirtas pagrindines mokėjimo skaitmeniniais eurais paslaugas sudaro:</w:t>
            </w:r>
          </w:p>
        </w:tc>
        <w:tc>
          <w:tcPr>
            <w:tcW w:w="4876" w:type="dxa"/>
            <w:hideMark/>
          </w:tcPr>
          <w:p w:rsidR="00CC11EF" w:rsidRPr="00156095" w:rsidRDefault="00B66595" w:rsidP="00CC11EF">
            <w:pPr>
              <w:pStyle w:val="Normal6"/>
              <w:rPr>
                <w:szCs w:val="24"/>
              </w:rPr>
            </w:pPr>
            <w:r>
              <w:t xml:space="preserve">Fiziniams asmenims skirtas pagrindines mokėjimo </w:t>
            </w:r>
            <w:r>
              <w:t>skaitmeniniais eurais</w:t>
            </w:r>
            <w:r>
              <w:rPr>
                <w:b/>
                <w:i/>
              </w:rPr>
              <w:t>, tiek internetinio, tiek neinternetinio skaitmeninio euro atveju,</w:t>
            </w:r>
            <w:r>
              <w:t xml:space="preserve"> paslaugas sudaro:</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96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II priedo 1 pastraipos a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w:t>
            </w:r>
            <w:r>
              <w:t>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a)</w:t>
            </w:r>
            <w:r>
              <w:tab/>
              <w:t>mokėjimo skaitmeniniais</w:t>
            </w:r>
            <w:r>
              <w:rPr>
                <w:b/>
                <w:i/>
              </w:rPr>
              <w:t xml:space="preserve"> </w:t>
            </w:r>
            <w:r>
              <w:t>eurais</w:t>
            </w:r>
            <w:r>
              <w:rPr>
                <w:b/>
                <w:i/>
              </w:rPr>
              <w:t xml:space="preserve"> </w:t>
            </w:r>
            <w:r>
              <w:t>sąskaitos atidarymas, laikymas ir uždarymas;</w:t>
            </w:r>
          </w:p>
        </w:tc>
        <w:tc>
          <w:tcPr>
            <w:tcW w:w="4876" w:type="dxa"/>
            <w:hideMark/>
          </w:tcPr>
          <w:p w:rsidR="00CC11EF" w:rsidRPr="00156095" w:rsidRDefault="00B66595" w:rsidP="00CC11EF">
            <w:pPr>
              <w:pStyle w:val="Normal6"/>
              <w:rPr>
                <w:szCs w:val="24"/>
              </w:rPr>
            </w:pPr>
            <w:r>
              <w:t>a)</w:t>
            </w:r>
            <w:r>
              <w:tab/>
              <w:t>mokėjimo skaitmeniniais</w:t>
            </w:r>
            <w:r>
              <w:rPr>
                <w:b/>
                <w:i/>
              </w:rPr>
              <w:t> </w:t>
            </w:r>
            <w:r>
              <w:t>eurais</w:t>
            </w:r>
            <w:r>
              <w:rPr>
                <w:b/>
                <w:i/>
              </w:rPr>
              <w:t> </w:t>
            </w:r>
            <w:r>
              <w:t>sąskaitos atidarymas, laikymas</w:t>
            </w:r>
            <w:r>
              <w:rPr>
                <w:b/>
                <w:i/>
              </w:rPr>
              <w:t xml:space="preserve">, </w:t>
            </w:r>
            <w:r>
              <w:t xml:space="preserve">uždarymas ir </w:t>
            </w:r>
            <w:r>
              <w:rPr>
                <w:b/>
                <w:i/>
              </w:rPr>
              <w:t>perkėlimas</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97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II priedo 1 pastraipos c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c)</w:t>
            </w:r>
            <w:r>
              <w:tab/>
            </w:r>
            <w:r>
              <w:rPr>
                <w:b/>
                <w:i/>
              </w:rPr>
              <w:t xml:space="preserve">neautomatizuotas </w:t>
            </w:r>
            <w:r>
              <w:t xml:space="preserve">keitimas į skaitmeninius eurus ir keitimas iš skaitmeninių eurų iš mokėjimo neskaitmeniniais </w:t>
            </w:r>
            <w:r>
              <w:t>eurais sąskaitos;</w:t>
            </w:r>
          </w:p>
        </w:tc>
        <w:tc>
          <w:tcPr>
            <w:tcW w:w="4876" w:type="dxa"/>
            <w:hideMark/>
          </w:tcPr>
          <w:p w:rsidR="00CC11EF" w:rsidRPr="00156095" w:rsidRDefault="00B66595" w:rsidP="00CC11EF">
            <w:pPr>
              <w:pStyle w:val="Normal6"/>
              <w:rPr>
                <w:szCs w:val="24"/>
              </w:rPr>
            </w:pPr>
            <w:r>
              <w:t>c)</w:t>
            </w:r>
            <w:r>
              <w:tab/>
              <w:t xml:space="preserve">keitimas </w:t>
            </w:r>
            <w:r>
              <w:rPr>
                <w:b/>
                <w:bCs/>
                <w:i/>
                <w:iCs/>
              </w:rPr>
              <w:t>į skaitmeninius eurus</w:t>
            </w:r>
            <w:r>
              <w:rPr>
                <w:b/>
                <w:bCs/>
              </w:rPr>
              <w:t xml:space="preserve"> </w:t>
            </w:r>
            <w:r>
              <w:t>ir keitimas iš skaitmeninių eurų iš mokėjimo neskaitmeniniais eurais sąskaitos;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98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II priedo 1 </w:t>
      </w:r>
      <w:r>
        <w:t>pastraipos e punkto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e)</w:t>
            </w:r>
            <w:r>
              <w:tab/>
              <w:t>mokėjimo skaitmeniniais eurais operacijų inicijavimas ir gavimas naudojant elektroninę mokėjimo priemonę, išskyrus sąlygines mokėjimo skaitmeniniais eurais operacijas,</w:t>
            </w:r>
            <w:r>
              <w:t xml:space="preserve"> kurios nėra periodinių mokėjimų nurodymai, šiais naudojimo atvejais:</w:t>
            </w:r>
          </w:p>
        </w:tc>
        <w:tc>
          <w:tcPr>
            <w:tcW w:w="4876" w:type="dxa"/>
            <w:hideMark/>
          </w:tcPr>
          <w:p w:rsidR="00CC11EF" w:rsidRPr="00156095" w:rsidRDefault="00B66595" w:rsidP="00CC11EF">
            <w:pPr>
              <w:pStyle w:val="Normal6"/>
              <w:rPr>
                <w:szCs w:val="24"/>
              </w:rPr>
            </w:pPr>
            <w:r>
              <w:t>e)</w:t>
            </w:r>
            <w:r>
              <w:tab/>
              <w:t>mokėjimo skaitmeniniais eurais operacijų inicijavimas ir gavimas naudojant elektroninę mokėjimo priemonę, išskyrus sąlygines mokėjimo skaitmeniniais eurais operacijas, kurios nėra per</w:t>
            </w:r>
            <w:r>
              <w:t>iodinių mokėjimų nurodymai</w:t>
            </w:r>
            <w:r>
              <w:rPr>
                <w:b/>
                <w:i/>
              </w:rPr>
              <w:t xml:space="preserve"> ar tiesioginis debetas</w:t>
            </w:r>
            <w:r>
              <w:t>, šiais naudojimo atvejais: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99</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III priedo 1 punkto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w:t>
            </w:r>
            <w:r>
              <w:tab/>
              <w:t>Taikant 34 straipsnio 1 dalies a punktą, tvarkomi tik šie duomenys:</w:t>
            </w:r>
          </w:p>
        </w:tc>
        <w:tc>
          <w:tcPr>
            <w:tcW w:w="4876" w:type="dxa"/>
            <w:hideMark/>
          </w:tcPr>
          <w:p w:rsidR="00CC11EF" w:rsidRPr="00156095" w:rsidRDefault="00B66595" w:rsidP="00CC11EF">
            <w:pPr>
              <w:pStyle w:val="Normal6"/>
              <w:rPr>
                <w:szCs w:val="24"/>
              </w:rPr>
            </w:pPr>
            <w:r>
              <w:t>1.</w:t>
            </w:r>
            <w:r>
              <w:tab/>
              <w:t xml:space="preserve">Taikant 34 straipsnio 1 dalies a punktą, tvarkomi </w:t>
            </w:r>
            <w:r>
              <w:rPr>
                <w:b/>
                <w:i/>
              </w:rPr>
              <w:t xml:space="preserve">griežtai </w:t>
            </w:r>
            <w:r>
              <w:t>tik šie</w:t>
            </w:r>
            <w:r>
              <w:rPr>
                <w:b/>
                <w:i/>
              </w:rPr>
              <w:t xml:space="preserve"> asmens</w:t>
            </w:r>
            <w:r>
              <w:t xml:space="preserve"> duomenys: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100</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III priedo 1 punkto iii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iii)</w:t>
            </w:r>
            <w:r>
              <w:tab/>
              <w:t>informacija apie mokėjimo skaitmeniniais eurais sąskaitas</w:t>
            </w:r>
            <w:r>
              <w:rPr>
                <w:b/>
                <w:i/>
              </w:rPr>
              <w:t>, įskaitant informaciją</w:t>
            </w:r>
            <w:r>
              <w:t xml:space="preserve"> apie skaitmeninio euro naudotojo turimas skaitmeninių eurų sumas ir </w:t>
            </w:r>
            <w:r>
              <w:rPr>
                <w:b/>
                <w:i/>
              </w:rPr>
              <w:t>unikalų</w:t>
            </w:r>
            <w:r>
              <w:t xml:space="preserve"> mokėjimo skaitmeniniais eurais sąskaitos </w:t>
            </w:r>
            <w:r>
              <w:rPr>
                <w:b/>
                <w:i/>
              </w:rPr>
              <w:t>numerį</w:t>
            </w:r>
            <w:r>
              <w:t xml:space="preserve"> ir</w:t>
            </w:r>
          </w:p>
        </w:tc>
        <w:tc>
          <w:tcPr>
            <w:tcW w:w="4876" w:type="dxa"/>
            <w:hideMark/>
          </w:tcPr>
          <w:p w:rsidR="00CC11EF" w:rsidRPr="00156095" w:rsidRDefault="00B66595" w:rsidP="00CC11EF">
            <w:pPr>
              <w:pStyle w:val="Normal6"/>
              <w:rPr>
                <w:szCs w:val="24"/>
              </w:rPr>
            </w:pPr>
            <w:r>
              <w:t>iii)</w:t>
            </w:r>
            <w:r>
              <w:tab/>
              <w:t>informacija apie mokėjimo skaitmeniniais eurais sąskaitas</w:t>
            </w:r>
            <w:r>
              <w:rPr>
                <w:b/>
                <w:i/>
              </w:rPr>
              <w:t xml:space="preserve"> laikoma informacija</w:t>
            </w:r>
            <w:r>
              <w:t xml:space="preserve"> apie skaitmeninio euro naudotojo turimas skai</w:t>
            </w:r>
            <w:r>
              <w:t xml:space="preserve">tmeninių eurų sumas ir </w:t>
            </w:r>
            <w:r>
              <w:rPr>
                <w:b/>
                <w:i/>
              </w:rPr>
              <w:t>unikalus</w:t>
            </w:r>
            <w:r>
              <w:t xml:space="preserve"> mokėjimo skaitmeniniais eurais sąskaitos </w:t>
            </w:r>
            <w:r>
              <w:rPr>
                <w:b/>
                <w:i/>
              </w:rPr>
              <w:t>numeris</w:t>
            </w:r>
            <w:r>
              <w:t xml:space="preserve"> ir</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101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III priedo 1 punkto iv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 xml:space="preserve">Komisijos siūlomas </w:t>
            </w:r>
            <w:r>
              <w:t>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iv)</w:t>
            </w:r>
            <w:r>
              <w:tab/>
              <w:t xml:space="preserve">informacija apie internetines </w:t>
            </w:r>
            <w:r>
              <w:lastRenderedPageBreak/>
              <w:t>mokėjimo skaitmeniniais eurais operacijas</w:t>
            </w:r>
            <w:r>
              <w:rPr>
                <w:b/>
                <w:i/>
              </w:rPr>
              <w:t>, įskaitant</w:t>
            </w:r>
            <w:r>
              <w:t xml:space="preserve"> operacijos </w:t>
            </w:r>
            <w:r>
              <w:rPr>
                <w:b/>
                <w:i/>
              </w:rPr>
              <w:t>identifikatorių</w:t>
            </w:r>
            <w:r>
              <w:t xml:space="preserve"> ir operacijos </w:t>
            </w:r>
            <w:r>
              <w:rPr>
                <w:b/>
                <w:i/>
              </w:rPr>
              <w:t>sumą</w:t>
            </w:r>
            <w:r>
              <w:t>.</w:t>
            </w:r>
          </w:p>
        </w:tc>
        <w:tc>
          <w:tcPr>
            <w:tcW w:w="4876" w:type="dxa"/>
            <w:hideMark/>
          </w:tcPr>
          <w:p w:rsidR="00CC11EF" w:rsidRPr="00156095" w:rsidRDefault="00B66595" w:rsidP="00CC11EF">
            <w:pPr>
              <w:pStyle w:val="Normal6"/>
              <w:rPr>
                <w:szCs w:val="24"/>
              </w:rPr>
            </w:pPr>
            <w:r>
              <w:lastRenderedPageBreak/>
              <w:t>iv)</w:t>
            </w:r>
            <w:r>
              <w:tab/>
              <w:t xml:space="preserve">informacija apie internetines </w:t>
            </w:r>
            <w:r>
              <w:lastRenderedPageBreak/>
              <w:t>mokėjimo skaitmeniniais eurais operacijas</w:t>
            </w:r>
            <w:r>
              <w:rPr>
                <w:b/>
                <w:i/>
              </w:rPr>
              <w:t xml:space="preserve"> laikoma</w:t>
            </w:r>
            <w:r>
              <w:t xml:space="preserve"> operacijos </w:t>
            </w:r>
            <w:r>
              <w:rPr>
                <w:b/>
                <w:i/>
              </w:rPr>
              <w:t>identif</w:t>
            </w:r>
            <w:r>
              <w:rPr>
                <w:b/>
                <w:i/>
              </w:rPr>
              <w:t>ikatorius</w:t>
            </w:r>
            <w:r>
              <w:t xml:space="preserve"> ir operacijos </w:t>
            </w:r>
            <w:r>
              <w:rPr>
                <w:b/>
                <w:i/>
              </w:rPr>
              <w:t>suma</w:t>
            </w:r>
            <w:r>
              <w:t>.</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102</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III priedo 2 punkto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t>Taikant 34 straipsnio 1 dalies b</w:t>
            </w:r>
            <w:r>
              <w:t xml:space="preserve"> punktą, tvarkomi tik šie duomenys:</w:t>
            </w:r>
          </w:p>
        </w:tc>
        <w:tc>
          <w:tcPr>
            <w:tcW w:w="4876" w:type="dxa"/>
            <w:hideMark/>
          </w:tcPr>
          <w:p w:rsidR="00CC11EF" w:rsidRPr="00156095" w:rsidRDefault="00B66595" w:rsidP="00CC11EF">
            <w:pPr>
              <w:pStyle w:val="Normal6"/>
              <w:rPr>
                <w:szCs w:val="24"/>
              </w:rPr>
            </w:pPr>
            <w:r>
              <w:t>2.</w:t>
            </w:r>
            <w:r>
              <w:tab/>
              <w:t xml:space="preserve">Taikant 34 straipsnio 1 dalies b punktą, tvarkomi </w:t>
            </w:r>
            <w:r>
              <w:rPr>
                <w:b/>
                <w:i/>
              </w:rPr>
              <w:t xml:space="preserve">griežtai </w:t>
            </w:r>
            <w:r>
              <w:t>tik šie</w:t>
            </w:r>
            <w:r>
              <w:rPr>
                <w:b/>
                <w:i/>
              </w:rPr>
              <w:t xml:space="preserve"> asmens</w:t>
            </w:r>
            <w:r>
              <w:t xml:space="preserve"> duomenys: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103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III priedo 2 punkto iii </w:t>
      </w:r>
      <w:r>
        <w:t>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iii)</w:t>
            </w:r>
            <w:r>
              <w:tab/>
              <w:t>informacija apie mokėjimo skaitmeniniais eurais sąskaitas</w:t>
            </w:r>
            <w:r>
              <w:rPr>
                <w:b/>
                <w:i/>
              </w:rPr>
              <w:t>, įskaitant unikalų</w:t>
            </w:r>
            <w:r>
              <w:t xml:space="preserve"> mokėjimo skaitmeniniais eurais sąskaitos </w:t>
            </w:r>
            <w:r>
              <w:rPr>
                <w:b/>
                <w:i/>
              </w:rPr>
              <w:t>numerį,</w:t>
            </w:r>
            <w:r>
              <w:t xml:space="preserve"> ir</w:t>
            </w:r>
          </w:p>
        </w:tc>
        <w:tc>
          <w:tcPr>
            <w:tcW w:w="4876" w:type="dxa"/>
            <w:hideMark/>
          </w:tcPr>
          <w:p w:rsidR="00CC11EF" w:rsidRPr="00156095" w:rsidRDefault="00B66595" w:rsidP="00CC11EF">
            <w:pPr>
              <w:pStyle w:val="Normal6"/>
              <w:rPr>
                <w:szCs w:val="24"/>
              </w:rPr>
            </w:pPr>
            <w:r>
              <w:t>iii)</w:t>
            </w:r>
            <w:r>
              <w:tab/>
              <w:t>informacija apie mokėjimo skaitmeniniais eurais sąskaitas</w:t>
            </w:r>
            <w:r>
              <w:rPr>
                <w:b/>
                <w:i/>
              </w:rPr>
              <w:t xml:space="preserve"> </w:t>
            </w:r>
            <w:r>
              <w:rPr>
                <w:b/>
                <w:i/>
              </w:rPr>
              <w:t>laikoma unikalus</w:t>
            </w:r>
            <w:r>
              <w:t xml:space="preserve"> mokėjimo skaitmeniniais eurais sąskaitos </w:t>
            </w:r>
            <w:r>
              <w:rPr>
                <w:b/>
                <w:i/>
              </w:rPr>
              <w:t>numeris</w:t>
            </w:r>
            <w:r>
              <w:t xml:space="preserve"> ir</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104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III priedo 2 punkto iv papunktis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iv)</w:t>
            </w:r>
            <w:r>
              <w:tab/>
              <w:t xml:space="preserve">informacija apie mokėjimo neskaitmeniniais eurais sąskaitas, </w:t>
            </w:r>
            <w:r>
              <w:rPr>
                <w:b/>
                <w:i/>
              </w:rPr>
              <w:t>įskaitant</w:t>
            </w:r>
            <w:r>
              <w:t xml:space="preserve"> susietosios mokėjimo neskaitmeniniais eurais sąskaitos </w:t>
            </w:r>
            <w:r>
              <w:rPr>
                <w:b/>
                <w:i/>
              </w:rPr>
              <w:t>numerį</w:t>
            </w:r>
            <w:r>
              <w:t>.</w:t>
            </w:r>
          </w:p>
        </w:tc>
        <w:tc>
          <w:tcPr>
            <w:tcW w:w="4876" w:type="dxa"/>
            <w:hideMark/>
          </w:tcPr>
          <w:p w:rsidR="00CC11EF" w:rsidRPr="00156095" w:rsidRDefault="00B66595" w:rsidP="00CC11EF">
            <w:pPr>
              <w:pStyle w:val="Normal6"/>
              <w:rPr>
                <w:szCs w:val="24"/>
              </w:rPr>
            </w:pPr>
            <w:r>
              <w:t>iv)</w:t>
            </w:r>
            <w:r>
              <w:tab/>
              <w:t xml:space="preserve">informacija apie mokėjimo neskaitmeniniais eurais sąskaitas, </w:t>
            </w:r>
            <w:r>
              <w:rPr>
                <w:b/>
                <w:i/>
              </w:rPr>
              <w:t>laikomas</w:t>
            </w:r>
            <w:r>
              <w:t xml:space="preserve"> susietosios mokėjimo neskaitmeniniais eura</w:t>
            </w:r>
            <w:r>
              <w:t xml:space="preserve">is sąskaitos </w:t>
            </w:r>
            <w:r>
              <w:rPr>
                <w:b/>
                <w:i/>
              </w:rPr>
              <w:t>numeris</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105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III priedo 3 punkto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w:t>
            </w:r>
            <w:r>
              <w:tab/>
              <w:t>Taikant 34 straipsnio 1 dalies c punktą,</w:t>
            </w:r>
            <w:r>
              <w:t xml:space="preserve"> tvarkomi tik šie duomenys:</w:t>
            </w:r>
          </w:p>
        </w:tc>
        <w:tc>
          <w:tcPr>
            <w:tcW w:w="4876" w:type="dxa"/>
            <w:hideMark/>
          </w:tcPr>
          <w:p w:rsidR="00CC11EF" w:rsidRPr="00156095" w:rsidRDefault="00B66595" w:rsidP="00CC11EF">
            <w:pPr>
              <w:pStyle w:val="Normal6"/>
              <w:rPr>
                <w:szCs w:val="24"/>
              </w:rPr>
            </w:pPr>
            <w:r>
              <w:t>3.</w:t>
            </w:r>
            <w:r>
              <w:tab/>
              <w:t xml:space="preserve">Taikant 34 straipsnio 1 dalies c punktą, tvarkomi </w:t>
            </w:r>
            <w:r>
              <w:rPr>
                <w:b/>
                <w:i/>
              </w:rPr>
              <w:t xml:space="preserve">griežtai </w:t>
            </w:r>
            <w:r>
              <w:t>tik šie</w:t>
            </w:r>
            <w:r>
              <w:rPr>
                <w:b/>
                <w:i/>
              </w:rPr>
              <w:t xml:space="preserve"> asmens</w:t>
            </w:r>
            <w:r>
              <w:t xml:space="preserve"> duomenys: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106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III priedo 3 punkto i papunktis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w:t>
            </w:r>
            <w:r>
              <w:tab/>
              <w:t>naudotojo identifikatorius</w:t>
            </w:r>
            <w:r>
              <w:rPr>
                <w:b/>
                <w:i/>
              </w:rPr>
              <w:t>, įskaitant vietinių</w:t>
            </w:r>
            <w:r>
              <w:t xml:space="preserve"> kaupiklių turėtojų </w:t>
            </w:r>
            <w:r>
              <w:rPr>
                <w:b/>
                <w:i/>
              </w:rPr>
              <w:t>vardą</w:t>
            </w:r>
            <w:r>
              <w:t xml:space="preserve"> ir </w:t>
            </w:r>
            <w:r>
              <w:rPr>
                <w:b/>
                <w:i/>
              </w:rPr>
              <w:t>pavardę</w:t>
            </w:r>
            <w:r>
              <w:t xml:space="preserve"> (</w:t>
            </w:r>
            <w:r>
              <w:rPr>
                <w:b/>
                <w:i/>
              </w:rPr>
              <w:t>pavadinimą</w:t>
            </w:r>
            <w:r>
              <w:t>), ir</w:t>
            </w:r>
          </w:p>
        </w:tc>
        <w:tc>
          <w:tcPr>
            <w:tcW w:w="4876" w:type="dxa"/>
            <w:hideMark/>
          </w:tcPr>
          <w:p w:rsidR="00CC11EF" w:rsidRPr="00156095" w:rsidRDefault="00B66595" w:rsidP="00CC11EF">
            <w:pPr>
              <w:pStyle w:val="Normal6"/>
              <w:rPr>
                <w:szCs w:val="24"/>
              </w:rPr>
            </w:pPr>
            <w:r>
              <w:t>i)</w:t>
            </w:r>
            <w:r>
              <w:tab/>
              <w:t>naudotojo identifikatorius</w:t>
            </w:r>
            <w:r>
              <w:rPr>
                <w:b/>
                <w:i/>
              </w:rPr>
              <w:t xml:space="preserve"> yra vietinių</w:t>
            </w:r>
            <w:r>
              <w:t xml:space="preserve"> kaupiklių turėtojų </w:t>
            </w:r>
            <w:r>
              <w:rPr>
                <w:b/>
                <w:i/>
              </w:rPr>
              <w:t>vardas</w:t>
            </w:r>
            <w:r>
              <w:t xml:space="preserve"> ir </w:t>
            </w:r>
            <w:r>
              <w:rPr>
                <w:b/>
                <w:i/>
              </w:rPr>
              <w:t>pavardė</w:t>
            </w:r>
            <w:r>
              <w:t xml:space="preserve"> (</w:t>
            </w:r>
            <w:r>
              <w:rPr>
                <w:b/>
                <w:i/>
              </w:rPr>
              <w:t>pavadinimas</w:t>
            </w:r>
            <w:r>
              <w:t>), ir</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107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III priedo 3 punkto ii papunktis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ii)</w:t>
            </w:r>
            <w:r>
              <w:tab/>
              <w:t xml:space="preserve">informacija apie vietinį kaupiklį, </w:t>
            </w:r>
            <w:r>
              <w:rPr>
                <w:b/>
                <w:i/>
              </w:rPr>
              <w:t>įskaitant</w:t>
            </w:r>
            <w:r>
              <w:t xml:space="preserve"> vietinio kaupiklio </w:t>
            </w:r>
            <w:r>
              <w:rPr>
                <w:b/>
                <w:i/>
              </w:rPr>
              <w:t>identifikatorių</w:t>
            </w:r>
            <w:r>
              <w:t>.</w:t>
            </w:r>
          </w:p>
        </w:tc>
        <w:tc>
          <w:tcPr>
            <w:tcW w:w="4876" w:type="dxa"/>
            <w:hideMark/>
          </w:tcPr>
          <w:p w:rsidR="00CC11EF" w:rsidRPr="00156095" w:rsidRDefault="00B66595" w:rsidP="00CC11EF">
            <w:pPr>
              <w:pStyle w:val="Normal6"/>
              <w:rPr>
                <w:szCs w:val="24"/>
              </w:rPr>
            </w:pPr>
            <w:r>
              <w:t>ii)</w:t>
            </w:r>
            <w:r>
              <w:tab/>
              <w:t xml:space="preserve">informacija apie vietinį kaupiklį, </w:t>
            </w:r>
            <w:r>
              <w:rPr>
                <w:b/>
                <w:i/>
              </w:rPr>
              <w:t>laikomas</w:t>
            </w:r>
            <w:r>
              <w:t xml:space="preserve"> vietinio kaupiklio </w:t>
            </w:r>
            <w:r>
              <w:rPr>
                <w:b/>
                <w:i/>
              </w:rPr>
              <w:t>identifikatorius</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108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IV priedo 1 punkto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1.</w:t>
            </w:r>
            <w:r>
              <w:tab/>
              <w:t>Taikant 35 straipsnio 1 dalies a punktą, tvarkomi tik šie duomenys:</w:t>
            </w:r>
          </w:p>
        </w:tc>
        <w:tc>
          <w:tcPr>
            <w:tcW w:w="4876" w:type="dxa"/>
            <w:hideMark/>
          </w:tcPr>
          <w:p w:rsidR="00CC11EF" w:rsidRPr="00156095" w:rsidRDefault="00B66595" w:rsidP="00CC11EF">
            <w:pPr>
              <w:pStyle w:val="Normal6"/>
              <w:rPr>
                <w:szCs w:val="24"/>
              </w:rPr>
            </w:pPr>
            <w:r>
              <w:t>1.</w:t>
            </w:r>
            <w:r>
              <w:tab/>
              <w:t xml:space="preserve">Taikant 35 straipsnio 1 dalies a punktą, tvarkomi </w:t>
            </w:r>
            <w:r>
              <w:rPr>
                <w:b/>
                <w:i/>
              </w:rPr>
              <w:t xml:space="preserve">griežtai </w:t>
            </w:r>
            <w:r>
              <w:t>tik šie</w:t>
            </w:r>
            <w:r>
              <w:rPr>
                <w:b/>
                <w:i/>
              </w:rPr>
              <w:t xml:space="preserve"> asmens</w:t>
            </w:r>
            <w:r>
              <w:t xml:space="preserve"> duomenys: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109</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IV priedo 1 punkto i papunktis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w:t>
            </w:r>
            <w:r>
              <w:tab/>
              <w:t>informacija apie mokėjimo skaitmeniniais eurais sąskaitas</w:t>
            </w:r>
            <w:r>
              <w:rPr>
                <w:b/>
                <w:i/>
              </w:rPr>
              <w:t>, įskaitant unikalų</w:t>
            </w:r>
            <w:r>
              <w:t xml:space="preserve"> mokėjimo skaitmeniniais eurais sąskaitos </w:t>
            </w:r>
            <w:r>
              <w:rPr>
                <w:b/>
                <w:i/>
              </w:rPr>
              <w:t>numerį,</w:t>
            </w:r>
            <w:r>
              <w:t xml:space="preserve"> ir</w:t>
            </w:r>
          </w:p>
        </w:tc>
        <w:tc>
          <w:tcPr>
            <w:tcW w:w="4876" w:type="dxa"/>
            <w:hideMark/>
          </w:tcPr>
          <w:p w:rsidR="00CC11EF" w:rsidRPr="00156095" w:rsidRDefault="00B66595" w:rsidP="00CC11EF">
            <w:pPr>
              <w:pStyle w:val="Normal6"/>
              <w:rPr>
                <w:szCs w:val="24"/>
              </w:rPr>
            </w:pPr>
            <w:r>
              <w:t>i)</w:t>
            </w:r>
            <w:r>
              <w:tab/>
              <w:t>informacija apie mokėjimo skaitmeniniais eurais sąskaitas</w:t>
            </w:r>
            <w:r>
              <w:rPr>
                <w:b/>
                <w:i/>
              </w:rPr>
              <w:t xml:space="preserve"> laikomas unikalus</w:t>
            </w:r>
            <w:r>
              <w:t xml:space="preserve"> mokėjimo skaitmeniniais eurais sąskaitos </w:t>
            </w:r>
            <w:r>
              <w:rPr>
                <w:b/>
                <w:i/>
              </w:rPr>
              <w:t>numeris</w:t>
            </w:r>
            <w:r>
              <w:t xml:space="preserve"> ir</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110</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IV priedo 1 punk</w:t>
      </w:r>
      <w:r>
        <w:t>to ii papunktis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ii)</w:t>
            </w:r>
            <w:r>
              <w:tab/>
              <w:t>informacija apie internetines mokėjimo skaitmeniniais eurais operacijas; informacija</w:t>
            </w:r>
            <w:r>
              <w:rPr>
                <w:b/>
                <w:i/>
              </w:rPr>
              <w:t>,</w:t>
            </w:r>
            <w:r>
              <w:t xml:space="preserve"> susieta su unikaliu mokėjimo skaitmeniniais eurais sąskaitos numeriu, </w:t>
            </w:r>
            <w:r>
              <w:rPr>
                <w:b/>
                <w:i/>
              </w:rPr>
              <w:t>įskaitant</w:t>
            </w:r>
            <w:r>
              <w:t xml:space="preserve"> operacijos </w:t>
            </w:r>
            <w:r>
              <w:rPr>
                <w:b/>
                <w:i/>
              </w:rPr>
              <w:t>sumą</w:t>
            </w:r>
            <w:r>
              <w:t>.</w:t>
            </w:r>
          </w:p>
        </w:tc>
        <w:tc>
          <w:tcPr>
            <w:tcW w:w="4876" w:type="dxa"/>
            <w:hideMark/>
          </w:tcPr>
          <w:p w:rsidR="00CC11EF" w:rsidRPr="00156095" w:rsidRDefault="00B66595" w:rsidP="00CC11EF">
            <w:pPr>
              <w:pStyle w:val="Normal6"/>
              <w:rPr>
                <w:szCs w:val="24"/>
              </w:rPr>
            </w:pPr>
            <w:r>
              <w:t>ii)</w:t>
            </w:r>
            <w:r>
              <w:tab/>
              <w:t xml:space="preserve">informacija apie internetines mokėjimo skaitmeniniais eurais operacijas; informacija susieta su unikaliu mokėjimo skaitmeniniais eurais sąskaitos numeriu, </w:t>
            </w:r>
            <w:r>
              <w:rPr>
                <w:b/>
                <w:i/>
              </w:rPr>
              <w:t>t.y.</w:t>
            </w:r>
            <w:r>
              <w:t xml:space="preserve"> operacijos </w:t>
            </w:r>
            <w:r>
              <w:rPr>
                <w:b/>
                <w:i/>
              </w:rPr>
              <w:t>suma</w:t>
            </w:r>
            <w:r>
              <w:t>.</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111</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w:t>
      </w:r>
      <w:r>
        <w:t>eglamento</w:t>
      </w:r>
      <w:r>
        <w:rPr>
          <w:rStyle w:val="HideTWBExt"/>
          <w:b w:val="0"/>
        </w:rPr>
        <w:t>&lt;/DocAmend&gt;</w:t>
      </w:r>
    </w:p>
    <w:p w:rsidR="00CC11EF" w:rsidRPr="00156095" w:rsidRDefault="00B66595" w:rsidP="00CC11EF">
      <w:pPr>
        <w:pStyle w:val="NormalBold"/>
      </w:pPr>
      <w:r>
        <w:rPr>
          <w:rStyle w:val="HideTWBExt"/>
          <w:b w:val="0"/>
        </w:rPr>
        <w:t>&lt;Article&gt;</w:t>
      </w:r>
      <w:r>
        <w:t>IV priedo 2 punkto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2.</w:t>
            </w:r>
            <w:r>
              <w:tab/>
              <w:t>Taikant 35 straipsnio 1 dalies b punktą, tvarkomi tik šie duomenys:</w:t>
            </w:r>
          </w:p>
        </w:tc>
        <w:tc>
          <w:tcPr>
            <w:tcW w:w="4876" w:type="dxa"/>
            <w:hideMark/>
          </w:tcPr>
          <w:p w:rsidR="00CC11EF" w:rsidRPr="00156095" w:rsidRDefault="00B66595" w:rsidP="00CC11EF">
            <w:pPr>
              <w:pStyle w:val="Normal6"/>
              <w:rPr>
                <w:szCs w:val="24"/>
              </w:rPr>
            </w:pPr>
            <w:r>
              <w:t>2.</w:t>
            </w:r>
            <w:r>
              <w:tab/>
              <w:t xml:space="preserve">Taikant 35 straipsnio 1 dalies b punktą, tvarkomi </w:t>
            </w:r>
            <w:r>
              <w:rPr>
                <w:b/>
                <w:i/>
              </w:rPr>
              <w:t xml:space="preserve">griežtai </w:t>
            </w:r>
            <w:r>
              <w:t>tik šie</w:t>
            </w:r>
            <w:r>
              <w:rPr>
                <w:b/>
                <w:i/>
              </w:rPr>
              <w:t xml:space="preserve"> asmens</w:t>
            </w:r>
            <w:r>
              <w:t xml:space="preserve"> duomenys: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112</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IV priedo 3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3.</w:t>
            </w:r>
            <w:r>
              <w:tab/>
              <w:t xml:space="preserve">Taikant 35 straipsnio 1 dalies c punktą, tvarkomi tik </w:t>
            </w:r>
            <w:r>
              <w:rPr>
                <w:b/>
                <w:i/>
              </w:rPr>
              <w:t>tie</w:t>
            </w:r>
            <w:r>
              <w:t xml:space="preserve"> duomenys, kurių </w:t>
            </w:r>
            <w:r>
              <w:rPr>
                <w:b/>
                <w:i/>
              </w:rPr>
              <w:t>reikia neinternetinių</w:t>
            </w:r>
            <w:r>
              <w:t xml:space="preserve"> mokėjimo skaitmeniniais eurais operacijų klastojimo analizei atlikti: informacija apie vietinį kaupiklį, </w:t>
            </w:r>
            <w:r>
              <w:rPr>
                <w:b/>
                <w:i/>
              </w:rPr>
              <w:t>įskaitant</w:t>
            </w:r>
            <w:r>
              <w:t xml:space="preserve"> vietinio kaupiklio </w:t>
            </w:r>
            <w:r>
              <w:lastRenderedPageBreak/>
              <w:t>numerį.</w:t>
            </w:r>
          </w:p>
        </w:tc>
        <w:tc>
          <w:tcPr>
            <w:tcW w:w="4876" w:type="dxa"/>
            <w:hideMark/>
          </w:tcPr>
          <w:p w:rsidR="00CC11EF" w:rsidRPr="00156095" w:rsidRDefault="00B66595" w:rsidP="00CC11EF">
            <w:pPr>
              <w:pStyle w:val="Normal6"/>
              <w:rPr>
                <w:szCs w:val="24"/>
              </w:rPr>
            </w:pPr>
            <w:r>
              <w:lastRenderedPageBreak/>
              <w:t>3.</w:t>
            </w:r>
            <w:r>
              <w:tab/>
              <w:t xml:space="preserve">Taikant 35 straipsnio 1 dalies c punktą, tvarkomi tik </w:t>
            </w:r>
            <w:r>
              <w:rPr>
                <w:b/>
                <w:i/>
              </w:rPr>
              <w:t>asmens</w:t>
            </w:r>
            <w:r>
              <w:t xml:space="preserve"> duomenys, k</w:t>
            </w:r>
            <w:r>
              <w:t xml:space="preserve">urių </w:t>
            </w:r>
            <w:r>
              <w:rPr>
                <w:b/>
                <w:i/>
              </w:rPr>
              <w:t>būtinai reikia</w:t>
            </w:r>
            <w:r>
              <w:t xml:space="preserve"> mokėjimo skaitmeniniais eurais operacijų klastojimo analizei atlikti: informacija apie vietinį kaupiklį, </w:t>
            </w:r>
            <w:r>
              <w:rPr>
                <w:b/>
                <w:i/>
              </w:rPr>
              <w:t>reiškianti</w:t>
            </w:r>
            <w:r>
              <w:t xml:space="preserve"> vietinio kaupiklio </w:t>
            </w:r>
            <w:r>
              <w:lastRenderedPageBreak/>
              <w:t>numerį.</w:t>
            </w:r>
          </w:p>
        </w:tc>
      </w:tr>
    </w:tbl>
    <w:p w:rsidR="00CC11EF" w:rsidRPr="00156095" w:rsidRDefault="00B66595" w:rsidP="00CC11EF">
      <w:r>
        <w:rPr>
          <w:rStyle w:val="HideTWBExt"/>
        </w:rPr>
        <w:lastRenderedPageBreak/>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113</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IV priedo 4 punkto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4.</w:t>
            </w:r>
            <w:r>
              <w:tab/>
              <w:t xml:space="preserve">Taikant 35 straipsnio 1 dalies d ir e punktus ir </w:t>
            </w:r>
            <w:r>
              <w:rPr>
                <w:b/>
                <w:i/>
              </w:rPr>
              <w:t>34</w:t>
            </w:r>
            <w:r>
              <w:t xml:space="preserve"> straipsnio 8 dalyje nurodytą bendrą prieigos punktą, tvarkomi tik šie duomenys:</w:t>
            </w:r>
          </w:p>
        </w:tc>
        <w:tc>
          <w:tcPr>
            <w:tcW w:w="4876" w:type="dxa"/>
            <w:hideMark/>
          </w:tcPr>
          <w:p w:rsidR="00CC11EF" w:rsidRPr="00156095" w:rsidRDefault="00B66595" w:rsidP="00CC11EF">
            <w:pPr>
              <w:pStyle w:val="Normal6"/>
              <w:rPr>
                <w:szCs w:val="24"/>
              </w:rPr>
            </w:pPr>
            <w:r>
              <w:t>4.</w:t>
            </w:r>
            <w:r>
              <w:tab/>
            </w:r>
            <w:r>
              <w:t xml:space="preserve">Taikant 35 straipsnio 1 dalies d ir e punktus ir </w:t>
            </w:r>
            <w:r>
              <w:rPr>
                <w:b/>
                <w:i/>
              </w:rPr>
              <w:t>35</w:t>
            </w:r>
            <w:r>
              <w:t xml:space="preserve"> straipsnio 8 dalyje nurodytą bendrą prieigos punktą, tvarkomi tik šie</w:t>
            </w:r>
            <w:r>
              <w:rPr>
                <w:b/>
                <w:i/>
              </w:rPr>
              <w:t xml:space="preserve"> asmens</w:t>
            </w:r>
            <w:r>
              <w:t xml:space="preserve"> duomenys:</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114</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 xml:space="preserve">IV priedo </w:t>
      </w:r>
      <w:r>
        <w:t>4 pastraipos iii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iii)</w:t>
            </w:r>
            <w:r>
              <w:tab/>
              <w:t xml:space="preserve">informacija apie mokėjimo skaitmeniniais eurais sąskaitas, </w:t>
            </w:r>
            <w:r>
              <w:rPr>
                <w:b/>
                <w:i/>
              </w:rPr>
              <w:t>įskaitant</w:t>
            </w:r>
            <w:r>
              <w:t xml:space="preserve"> unikalų mokėjimo skaitmeniniais eurais sąskaitos numerį, naudotojo turimas skaitmeninių eurų sumas, naudot</w:t>
            </w:r>
            <w:r>
              <w:t>ojo pasirinktą turimos sumos ribą ir sąskaitos skaitmeniniais eurais rūšį.</w:t>
            </w:r>
          </w:p>
        </w:tc>
        <w:tc>
          <w:tcPr>
            <w:tcW w:w="4876" w:type="dxa"/>
            <w:hideMark/>
          </w:tcPr>
          <w:p w:rsidR="00CC11EF" w:rsidRPr="00156095" w:rsidRDefault="00B66595" w:rsidP="00CC11EF">
            <w:pPr>
              <w:pStyle w:val="Normal6"/>
              <w:rPr>
                <w:szCs w:val="24"/>
              </w:rPr>
            </w:pPr>
            <w:r>
              <w:t>iii)</w:t>
            </w:r>
            <w:r>
              <w:tab/>
              <w:t xml:space="preserve">informacija apie mokėjimo skaitmeniniais eurais sąskaitas, </w:t>
            </w:r>
            <w:r>
              <w:rPr>
                <w:b/>
                <w:i/>
              </w:rPr>
              <w:t>laikoma informacija apie</w:t>
            </w:r>
            <w:r>
              <w:t xml:space="preserve"> unikalų mokėjimo skaitmeniniais eurais sąskaitos numerį, naudotojo turimas skaitmeninių eurų</w:t>
            </w:r>
            <w:r>
              <w:t xml:space="preserve"> sumas, naudotojo pasirinktą turimos sumos ribą ir sąskaitos skaitmeniniais eurais rūšį.</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115</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V priedo 1 pastraipos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 xml:space="preserve">Komisijos </w:t>
            </w:r>
            <w:r>
              <w:t>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Taikant 36 straipsnio 1 dalies a punktą, tvarkomi tik tie duomenys, kurių reikia mokėjimo paslaugų teikėjų įstaigose sukčiavimo prevencijai ir nustatymui:</w:t>
            </w:r>
          </w:p>
        </w:tc>
        <w:tc>
          <w:tcPr>
            <w:tcW w:w="4876" w:type="dxa"/>
            <w:hideMark/>
          </w:tcPr>
          <w:p w:rsidR="00CC11EF" w:rsidRPr="00156095" w:rsidRDefault="00B66595" w:rsidP="00CC11EF">
            <w:pPr>
              <w:pStyle w:val="Normal6"/>
              <w:rPr>
                <w:szCs w:val="24"/>
              </w:rPr>
            </w:pPr>
            <w:r>
              <w:t xml:space="preserve">Taikant 36 straipsnio 1 dalies a punktą, tvarkomi tik tie </w:t>
            </w:r>
            <w:r>
              <w:rPr>
                <w:b/>
                <w:i/>
              </w:rPr>
              <w:t xml:space="preserve">asmens </w:t>
            </w:r>
            <w:r>
              <w:t>duomeny</w:t>
            </w:r>
            <w:r>
              <w:t>s, kurių reikia</w:t>
            </w:r>
            <w:r>
              <w:rPr>
                <w:b/>
                <w:i/>
              </w:rPr>
              <w:t xml:space="preserve"> būtinai</w:t>
            </w:r>
            <w:r>
              <w:t xml:space="preserve"> mokėjimo paslaugų teikėjų įstaigose sukčiavimo prevencijai ir nustatymui:</w:t>
            </w:r>
          </w:p>
        </w:tc>
      </w:tr>
    </w:tbl>
    <w:p w:rsidR="00CC11EF" w:rsidRPr="00156095" w:rsidRDefault="00B66595" w:rsidP="00CC11EF">
      <w:pPr>
        <w:rPr>
          <w:rStyle w:val="HideTWBExt"/>
        </w:rPr>
      </w:pPr>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116</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lastRenderedPageBreak/>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V priedo 1 pastraipos i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w:t>
            </w:r>
            <w:r>
              <w:t xml:space="preserve">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w:t>
            </w:r>
            <w:r>
              <w:tab/>
              <w:t xml:space="preserve">informacija apie mokėjimo skaitmeniniais eurais sąskaitas, </w:t>
            </w:r>
            <w:r>
              <w:rPr>
                <w:b/>
                <w:i/>
              </w:rPr>
              <w:t>įskaitant</w:t>
            </w:r>
            <w:r>
              <w:t xml:space="preserve"> unikalų mokėjimo skaitmeniniais eurais sąskaitos identifikatorių;</w:t>
            </w:r>
          </w:p>
        </w:tc>
        <w:tc>
          <w:tcPr>
            <w:tcW w:w="4876" w:type="dxa"/>
            <w:hideMark/>
          </w:tcPr>
          <w:p w:rsidR="00CC11EF" w:rsidRPr="00156095" w:rsidRDefault="00B66595" w:rsidP="00CC11EF">
            <w:pPr>
              <w:pStyle w:val="Normal6"/>
              <w:rPr>
                <w:szCs w:val="24"/>
              </w:rPr>
            </w:pPr>
            <w:r>
              <w:t>i)</w:t>
            </w:r>
            <w:r>
              <w:tab/>
              <w:t xml:space="preserve">informacija apie mokėjimo skaitmeniniais eurais sąskaitas, </w:t>
            </w:r>
            <w:r>
              <w:rPr>
                <w:b/>
                <w:i/>
              </w:rPr>
              <w:t>laikoma informacija apie</w:t>
            </w:r>
            <w:r>
              <w:t xml:space="preserve"> u</w:t>
            </w:r>
            <w:r>
              <w:t>nikalų mokėjimo skaitmeniniais eurais sąskaitos identifikatorių;</w:t>
            </w:r>
          </w:p>
        </w:tc>
      </w:tr>
    </w:tbl>
    <w:p w:rsidR="00CC11EF" w:rsidRPr="00156095" w:rsidRDefault="00B66595" w:rsidP="00CC11EF">
      <w:r>
        <w:rPr>
          <w:rStyle w:val="HideTWBExt"/>
        </w:rPr>
        <w:t>&lt;/Amend&gt;</w:t>
      </w:r>
    </w:p>
    <w:p w:rsidR="00CC11EF" w:rsidRPr="00156095" w:rsidRDefault="00CC11EF" w:rsidP="00CC11EF"/>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117</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V priedo 1 pastraipos ii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ii)</w:t>
            </w:r>
            <w:r>
              <w:tab/>
              <w:t xml:space="preserve">informacija apie internetines mokėjimo skaitmeniniais eurais operacijas, </w:t>
            </w:r>
            <w:r>
              <w:rPr>
                <w:b/>
                <w:i/>
              </w:rPr>
              <w:t>įskaitant operacijos sumą</w:t>
            </w:r>
            <w:r>
              <w:t>, ir</w:t>
            </w:r>
          </w:p>
        </w:tc>
        <w:tc>
          <w:tcPr>
            <w:tcW w:w="4876" w:type="dxa"/>
            <w:hideMark/>
          </w:tcPr>
          <w:p w:rsidR="00CC11EF" w:rsidRPr="00156095" w:rsidRDefault="00B66595" w:rsidP="00CC11EF">
            <w:pPr>
              <w:pStyle w:val="Normal6"/>
              <w:rPr>
                <w:szCs w:val="24"/>
              </w:rPr>
            </w:pPr>
            <w:r>
              <w:t>ii)</w:t>
            </w:r>
            <w:r>
              <w:tab/>
              <w:t xml:space="preserve">informacija apie internetines mokėjimo skaitmeniniais eurais operacijas, </w:t>
            </w:r>
            <w:r>
              <w:rPr>
                <w:b/>
                <w:i/>
              </w:rPr>
              <w:t>laikoma operacijos suma</w:t>
            </w:r>
            <w:r>
              <w:t>, ir</w:t>
            </w:r>
          </w:p>
        </w:tc>
      </w:tr>
    </w:tbl>
    <w:p w:rsidR="00CC11EF" w:rsidRPr="00156095" w:rsidRDefault="00B66595" w:rsidP="00CC11EF">
      <w:r>
        <w:rPr>
          <w:rStyle w:val="HideTWBExt"/>
        </w:rPr>
        <w:t>&lt;/Amend&gt;</w:t>
      </w:r>
    </w:p>
    <w:p w:rsidR="00CC11EF" w:rsidRPr="00156095" w:rsidRDefault="00B66595" w:rsidP="00CC11EF">
      <w:pPr>
        <w:pStyle w:val="AMNumberTabs0"/>
        <w:keepNext/>
      </w:pPr>
      <w:r>
        <w:rPr>
          <w:rStyle w:val="HideTWBExt"/>
          <w:b w:val="0"/>
          <w:lang w:val="en-GB"/>
        </w:rPr>
        <w:t>&lt;Amend&gt;</w:t>
      </w:r>
      <w:r>
        <w:t>Pakeitimas</w:t>
      </w:r>
      <w:r>
        <w:tab/>
      </w:r>
      <w:r>
        <w:tab/>
      </w:r>
      <w:r>
        <w:rPr>
          <w:rStyle w:val="HideTWBExt"/>
          <w:b w:val="0"/>
          <w:lang w:val="en-GB"/>
        </w:rPr>
        <w:t>&lt;NumAm&gt;</w:t>
      </w:r>
      <w:r>
        <w:t>118</w:t>
      </w:r>
      <w:r>
        <w:rPr>
          <w:rStyle w:val="HideTWBExt"/>
          <w:b w:val="0"/>
          <w:lang w:val="en-GB"/>
        </w:rPr>
        <w:t>&lt;/NumAm&gt;</w:t>
      </w:r>
    </w:p>
    <w:p w:rsidR="00CC11EF" w:rsidRPr="00156095" w:rsidRDefault="00CC11EF" w:rsidP="00CC11EF"/>
    <w:p w:rsidR="00CC11EF" w:rsidRPr="00156095" w:rsidRDefault="00B66595" w:rsidP="00CC11EF">
      <w:pPr>
        <w:pStyle w:val="NormalBold"/>
        <w:keepNext/>
      </w:pPr>
      <w:r>
        <w:rPr>
          <w:rStyle w:val="HideTWBExt"/>
          <w:b w:val="0"/>
        </w:rPr>
        <w:t>&lt;DocAmend&gt;</w:t>
      </w:r>
      <w:r>
        <w:t>Pasiūlymas dėl reglamento</w:t>
      </w:r>
      <w:r>
        <w:rPr>
          <w:rStyle w:val="HideTWBExt"/>
          <w:b w:val="0"/>
        </w:rPr>
        <w:t>&lt;/DocAmend&gt;</w:t>
      </w:r>
    </w:p>
    <w:p w:rsidR="00CC11EF" w:rsidRPr="00156095" w:rsidRDefault="00B66595" w:rsidP="00CC11EF">
      <w:pPr>
        <w:pStyle w:val="NormalBold"/>
      </w:pPr>
      <w:r>
        <w:rPr>
          <w:rStyle w:val="HideTWBExt"/>
          <w:b w:val="0"/>
        </w:rPr>
        <w:t>&lt;Article&gt;</w:t>
      </w:r>
      <w:r>
        <w:t>V priedo 1 pastraipos iii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525CF" w:rsidTr="00CC11EF">
        <w:trPr>
          <w:jc w:val="center"/>
        </w:trPr>
        <w:tc>
          <w:tcPr>
            <w:tcW w:w="9752" w:type="dxa"/>
            <w:gridSpan w:val="2"/>
          </w:tcPr>
          <w:p w:rsidR="00CC11EF" w:rsidRPr="00156095" w:rsidRDefault="00CC11EF" w:rsidP="00CC11EF">
            <w:pPr>
              <w:keepNext/>
              <w:rPr>
                <w:lang w:val="fr-FR"/>
              </w:rPr>
            </w:pPr>
          </w:p>
        </w:tc>
      </w:tr>
      <w:tr w:rsidR="009525CF" w:rsidTr="00CC11EF">
        <w:trPr>
          <w:jc w:val="center"/>
        </w:trPr>
        <w:tc>
          <w:tcPr>
            <w:tcW w:w="4876" w:type="dxa"/>
            <w:hideMark/>
          </w:tcPr>
          <w:p w:rsidR="00CC11EF" w:rsidRPr="00156095" w:rsidRDefault="00B66595" w:rsidP="00CC11EF">
            <w:pPr>
              <w:pStyle w:val="ColumnHeading"/>
              <w:keepNext/>
            </w:pPr>
            <w:r>
              <w:t>Komisijos siūlomas tekstas</w:t>
            </w:r>
          </w:p>
        </w:tc>
        <w:tc>
          <w:tcPr>
            <w:tcW w:w="4876" w:type="dxa"/>
            <w:hideMark/>
          </w:tcPr>
          <w:p w:rsidR="00CC11EF" w:rsidRPr="00156095" w:rsidRDefault="00B66595" w:rsidP="00CC11EF">
            <w:pPr>
              <w:pStyle w:val="ColumnHeading"/>
              <w:keepNext/>
            </w:pPr>
            <w:r>
              <w:t>Pakeitimas</w:t>
            </w:r>
          </w:p>
        </w:tc>
      </w:tr>
      <w:tr w:rsidR="009525CF" w:rsidTr="00CC11EF">
        <w:trPr>
          <w:jc w:val="center"/>
        </w:trPr>
        <w:tc>
          <w:tcPr>
            <w:tcW w:w="4876" w:type="dxa"/>
            <w:hideMark/>
          </w:tcPr>
          <w:p w:rsidR="00CC11EF" w:rsidRPr="00156095" w:rsidRDefault="00B66595" w:rsidP="00CC11EF">
            <w:pPr>
              <w:pStyle w:val="Normal6"/>
            </w:pPr>
            <w:r>
              <w:t>iii)</w:t>
            </w:r>
            <w:r>
              <w:tab/>
              <w:t xml:space="preserve">informacija apie skaitmeninio euro naudotojo sandorio seansą, </w:t>
            </w:r>
            <w:r>
              <w:rPr>
                <w:b/>
                <w:i/>
              </w:rPr>
              <w:t>įskaitant</w:t>
            </w:r>
            <w:r>
              <w:t xml:space="preserve"> įrenginio interneto protokol</w:t>
            </w:r>
            <w:r>
              <w:t xml:space="preserve">o adresų </w:t>
            </w:r>
            <w:r>
              <w:rPr>
                <w:b/>
                <w:i/>
              </w:rPr>
              <w:t>intervalą</w:t>
            </w:r>
            <w:r>
              <w:t>.</w:t>
            </w:r>
          </w:p>
        </w:tc>
        <w:tc>
          <w:tcPr>
            <w:tcW w:w="4876" w:type="dxa"/>
            <w:hideMark/>
          </w:tcPr>
          <w:p w:rsidR="00CC11EF" w:rsidRPr="00156095" w:rsidRDefault="00B66595" w:rsidP="00CC11EF">
            <w:pPr>
              <w:pStyle w:val="Normal6"/>
              <w:rPr>
                <w:szCs w:val="24"/>
              </w:rPr>
            </w:pPr>
            <w:r>
              <w:t>iii)</w:t>
            </w:r>
            <w:r>
              <w:tab/>
              <w:t xml:space="preserve">informacija apie skaitmeninio euro naudotojo sandorio seansą, </w:t>
            </w:r>
            <w:r>
              <w:rPr>
                <w:b/>
                <w:i/>
              </w:rPr>
              <w:t>laikomas</w:t>
            </w:r>
            <w:r>
              <w:t xml:space="preserve"> įrenginio interneto protokolo adresų </w:t>
            </w:r>
            <w:r>
              <w:rPr>
                <w:b/>
                <w:i/>
              </w:rPr>
              <w:t>intervalas</w:t>
            </w:r>
            <w:r>
              <w:t>.</w:t>
            </w:r>
          </w:p>
        </w:tc>
      </w:tr>
    </w:tbl>
    <w:p w:rsidR="00CC11EF" w:rsidRPr="00156095" w:rsidRDefault="00B66595" w:rsidP="00CC11EF">
      <w:r>
        <w:rPr>
          <w:rStyle w:val="HideTWBExt"/>
        </w:rPr>
        <w:t>&lt;/Amend&gt;&lt;/RepeatBlock-Amend&gt;</w:t>
      </w:r>
    </w:p>
    <w:p w:rsidR="00DB56E4" w:rsidRPr="00987D5B" w:rsidRDefault="00DB56E4" w:rsidP="00DB56E4"/>
    <w:bookmarkEnd w:id="2"/>
    <w:p w:rsidR="00DB56E4" w:rsidRPr="00987D5B" w:rsidRDefault="00DB56E4" w:rsidP="00DB56E4"/>
    <w:p w:rsidR="00CC11EF" w:rsidRDefault="00CC11EF" w:rsidP="00CC11EF">
      <w:pPr>
        <w:sectPr w:rsidR="00CC11EF" w:rsidSect="00A54DF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CC11EF" w:rsidRPr="00A54DF1" w:rsidRDefault="00B66595" w:rsidP="00A54DF1">
      <w:pPr>
        <w:pStyle w:val="PageHeadingNotTOC"/>
      </w:pPr>
      <w:bookmarkStart w:id="3" w:name="FootprintPageAD"/>
      <w:r>
        <w:lastRenderedPageBreak/>
        <w:t>PRIEDAS. GAUTOS INFORMACIJOS DEKLARACIJA</w:t>
      </w:r>
    </w:p>
    <w:p w:rsidR="00CC11EF" w:rsidRPr="0003742B" w:rsidRDefault="00CC11EF" w:rsidP="00CC11EF">
      <w:pPr>
        <w:jc w:val="center"/>
        <w:outlineLvl w:val="0"/>
        <w:rPr>
          <w:rFonts w:ascii="Arial" w:hAnsi="Arial"/>
          <w:b/>
        </w:rPr>
      </w:pPr>
    </w:p>
    <w:p w:rsidR="00CC11EF" w:rsidRPr="0099178F" w:rsidRDefault="00B66595" w:rsidP="00CC11EF">
      <w:pPr>
        <w:pStyle w:val="Normal24a"/>
      </w:pPr>
      <w:r>
        <w:rPr>
          <w:rStyle w:val="HideTWBExt"/>
        </w:rPr>
        <w:t>&lt;FootprintIntro&gt;</w:t>
      </w:r>
      <w:r>
        <w:t xml:space="preserve">Pagal </w:t>
      </w:r>
      <w:r>
        <w:t>Darbo tvarkos taisyklių I priedo 8 straipsnį nuomonės referentas pareiškia, pareiškia, kad į savo nuomonę, įtraukė su dokumento dalyku susijusią informaciją, kurią, rengdamas nuomonę iki jos priėmimo komitete gavo gavo iš toliau nurodytų interesų grupių at</w:t>
      </w:r>
      <w:r>
        <w:t>stovų, kuriems taikomas Tarpinstitucinis susitarimas dėl privalomo skaidrumo registro</w:t>
      </w:r>
      <w:r>
        <w:rPr>
          <w:rStyle w:val="FootnoteReference"/>
          <w:szCs w:val="24"/>
        </w:rPr>
        <w:footnoteReference w:id="1"/>
      </w:r>
      <w:r>
        <w:t>, arba trečiųjų šalių valdžios institucijų, įskaitant jų diplomatines atstovybes ir ambasadas, atstovų:</w:t>
      </w:r>
      <w:r>
        <w:rPr>
          <w:rStyle w:val="HideTWBExt"/>
        </w:rPr>
        <w:t>&lt;/FootprintIntro&gt;</w:t>
      </w: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9525CF" w:rsidTr="00CC11EF">
        <w:trPr>
          <w:trHeight w:hRule="exact" w:val="515"/>
        </w:trPr>
        <w:tc>
          <w:tcPr>
            <w:tcW w:w="9067" w:type="dxa"/>
            <w:tcBorders>
              <w:top w:val="single" w:sz="4" w:space="0" w:color="000000"/>
              <w:left w:val="single" w:sz="4" w:space="0" w:color="000000"/>
              <w:bottom w:val="single" w:sz="4" w:space="0" w:color="000000"/>
              <w:right w:val="single" w:sz="4" w:space="0" w:color="000000"/>
            </w:tcBorders>
          </w:tcPr>
          <w:p w:rsidR="00CC11EF" w:rsidRPr="0003742B" w:rsidRDefault="00B66595" w:rsidP="00CC11EF">
            <w:pPr>
              <w:spacing w:line="260" w:lineRule="exact"/>
              <w:jc w:val="center"/>
              <w:rPr>
                <w:rFonts w:eastAsia="Calibri"/>
                <w:b/>
                <w:sz w:val="22"/>
                <w:szCs w:val="22"/>
              </w:rPr>
            </w:pPr>
            <w:r>
              <w:rPr>
                <w:b/>
                <w:sz w:val="22"/>
              </w:rPr>
              <w:t>1.</w:t>
            </w:r>
            <w:r>
              <w:rPr>
                <w:b/>
              </w:rPr>
              <w:t xml:space="preserve"> </w:t>
            </w:r>
            <w:r>
              <w:rPr>
                <w:b/>
                <w:sz w:val="22"/>
              </w:rPr>
              <w:t>Interesų grupių atstovai, kuriems taikomas Tar</w:t>
            </w:r>
            <w:r>
              <w:rPr>
                <w:b/>
                <w:sz w:val="22"/>
              </w:rPr>
              <w:t>pinstitucinis susitarimas dėl privalomo skaidrumo registro</w:t>
            </w:r>
          </w:p>
        </w:tc>
      </w:tr>
      <w:tr w:rsidR="009525CF" w:rsidTr="00CC11E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C11EF" w:rsidRPr="00156095" w:rsidRDefault="00B66595" w:rsidP="00CC11EF">
            <w:pPr>
              <w:pStyle w:val="NormalSingle"/>
              <w:ind w:left="179"/>
            </w:pPr>
            <w:r>
              <w:t>FTI Consulting</w:t>
            </w:r>
          </w:p>
          <w:p w:rsidR="00CC11EF" w:rsidRPr="0003742B" w:rsidRDefault="00CC11EF" w:rsidP="00CC11EF">
            <w:pPr>
              <w:rPr>
                <w:sz w:val="22"/>
                <w:szCs w:val="22"/>
              </w:rPr>
            </w:pPr>
          </w:p>
        </w:tc>
      </w:tr>
      <w:tr w:rsidR="009525CF" w:rsidTr="00CC11EF">
        <w:trPr>
          <w:trHeight w:hRule="exact" w:val="533"/>
        </w:trPr>
        <w:tc>
          <w:tcPr>
            <w:tcW w:w="9067" w:type="dxa"/>
            <w:tcBorders>
              <w:top w:val="single" w:sz="4" w:space="0" w:color="000000"/>
              <w:left w:val="single" w:sz="4" w:space="0" w:color="000000"/>
              <w:bottom w:val="single" w:sz="4" w:space="0" w:color="000000"/>
              <w:right w:val="single" w:sz="4" w:space="0" w:color="000000"/>
            </w:tcBorders>
          </w:tcPr>
          <w:p w:rsidR="00CC11EF" w:rsidRPr="0003742B" w:rsidRDefault="00B66595" w:rsidP="00B66595">
            <w:pPr>
              <w:ind w:left="179"/>
              <w:jc w:val="center"/>
              <w:rPr>
                <w:b/>
                <w:sz w:val="22"/>
                <w:szCs w:val="22"/>
                <w:highlight w:val="yellow"/>
              </w:rPr>
            </w:pPr>
            <w:r>
              <w:rPr>
                <w:b/>
                <w:sz w:val="22"/>
              </w:rPr>
              <w:t>2. Trečiųjų šalių valdžios institucijų, įskaitant jų diplomatines atstovybes ir ambasadas, atstovai</w:t>
            </w:r>
          </w:p>
        </w:tc>
      </w:tr>
      <w:tr w:rsidR="009525CF" w:rsidTr="00CC11EF">
        <w:trPr>
          <w:trHeight w:hRule="exact" w:val="278"/>
        </w:trPr>
        <w:tc>
          <w:tcPr>
            <w:tcW w:w="9067" w:type="dxa"/>
            <w:tcBorders>
              <w:top w:val="single" w:sz="4" w:space="0" w:color="000000"/>
              <w:left w:val="single" w:sz="4" w:space="0" w:color="000000"/>
              <w:bottom w:val="single" w:sz="4" w:space="0" w:color="000000"/>
              <w:right w:val="single" w:sz="4" w:space="0" w:color="000000"/>
            </w:tcBorders>
          </w:tcPr>
          <w:p w:rsidR="00CC11EF" w:rsidRPr="00CC11EF" w:rsidRDefault="00B66595" w:rsidP="00CC11EF">
            <w:pPr>
              <w:ind w:left="179"/>
              <w:rPr>
                <w:highlight w:val="yellow"/>
              </w:rPr>
            </w:pPr>
            <w:r>
              <w:t>Nėra</w:t>
            </w:r>
          </w:p>
        </w:tc>
      </w:tr>
    </w:tbl>
    <w:p w:rsidR="00CC11EF" w:rsidRPr="00E9312B" w:rsidRDefault="00B66595" w:rsidP="00CC11EF">
      <w:pPr>
        <w:pStyle w:val="Footprint12b"/>
      </w:pPr>
      <w:r>
        <w:t xml:space="preserve">Šį sąrašą parengė ir visą atsakomybę už jį prisiima nuomonės </w:t>
      </w:r>
      <w:r>
        <w:t>referentas.</w:t>
      </w:r>
    </w:p>
    <w:p w:rsidR="00CC11EF" w:rsidRPr="00D7238E" w:rsidRDefault="00B66595" w:rsidP="00CC11EF">
      <w:pPr>
        <w:pStyle w:val="Footprint12b"/>
      </w:pPr>
      <w:r>
        <w:t>Jeigu sąraše esančių fizinių asmenų tapatybę galima nustatyti pagal jų vardą ir pavardę, jų pareigas arba pagal abu požymius, nuomonės referentas pareiškia, kad jis atitinkamiems fiziniams asmenims pateikė Europos Parlamento pranešimą dėl duome</w:t>
      </w:r>
      <w:r>
        <w:t>nų apsaugos Nr. 484 (</w:t>
      </w:r>
      <w:hyperlink r:id="rId14" w:history="1">
        <w:r>
          <w:rPr>
            <w:rStyle w:val="Hyperlink"/>
          </w:rPr>
          <w:t>https://www.europarl.europa.eu/data-protect/index.do</w:t>
        </w:r>
      </w:hyperlink>
      <w:r>
        <w:t>), kuriame išdėstytos jų asmens duomenų tvarkymui taikomos sąlygos ir su tuo tvarkymu susijusios teisės.</w:t>
      </w:r>
    </w:p>
    <w:p w:rsidR="00CC11EF" w:rsidRPr="00CC11EF" w:rsidRDefault="00CC11EF" w:rsidP="00CC11EF"/>
    <w:bookmarkEnd w:id="3"/>
    <w:p w:rsidR="00CC11EF" w:rsidRDefault="00CC11EF" w:rsidP="00CC11EF">
      <w:pPr>
        <w:sectPr w:rsidR="00CC11EF" w:rsidSect="00A54DF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C11EF" w:rsidRPr="00CC11EF" w:rsidRDefault="00CC11EF" w:rsidP="00CC11EF"/>
    <w:p w:rsidR="00CC11EF" w:rsidRDefault="00B66595" w:rsidP="00CC11EF">
      <w:pPr>
        <w:pStyle w:val="PageHeadingNotTOC"/>
      </w:pPr>
      <w:bookmarkStart w:id="4" w:name="ProcPageAD"/>
      <w:r>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525C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color w:val="000000"/>
                <w:sz w:val="20"/>
                <w:szCs w:val="20"/>
              </w:rPr>
            </w:pPr>
            <w:r>
              <w:rPr>
                <w:color w:val="000000"/>
                <w:sz w:val="20"/>
              </w:rPr>
              <w:t>Skaitmeninio euro sukūrimas</w:t>
            </w:r>
          </w:p>
        </w:tc>
      </w:tr>
      <w:tr w:rsidR="009525C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color w:val="000000"/>
                <w:sz w:val="20"/>
                <w:szCs w:val="20"/>
              </w:rPr>
            </w:pPr>
            <w:r>
              <w:rPr>
                <w:color w:val="000000"/>
                <w:sz w:val="20"/>
              </w:rPr>
              <w:t>COM(2023)0369 – C9-0219/2023 – 2023/0212(COD)</w:t>
            </w:r>
          </w:p>
        </w:tc>
      </w:tr>
      <w:tr w:rsidR="009525C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b/>
                <w:bCs/>
                <w:color w:val="000000"/>
                <w:sz w:val="20"/>
                <w:szCs w:val="20"/>
              </w:rPr>
            </w:pPr>
            <w:r>
              <w:rPr>
                <w:b/>
                <w:color w:val="000000"/>
                <w:sz w:val="20"/>
              </w:rPr>
              <w:t>Atsakingas komitetas</w:t>
            </w:r>
          </w:p>
          <w:p w:rsidR="00CC11EF" w:rsidRDefault="00B66595">
            <w:pPr>
              <w:autoSpaceDE w:val="0"/>
              <w:autoSpaceDN w:val="0"/>
              <w:adjustRightInd w:val="0"/>
              <w:rPr>
                <w:color w:val="000000"/>
                <w:sz w:val="20"/>
                <w:szCs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11EF" w:rsidRDefault="00B66595">
            <w:pPr>
              <w:autoSpaceDE w:val="0"/>
              <w:autoSpaceDN w:val="0"/>
              <w:adjustRightInd w:val="0"/>
              <w:rPr>
                <w:color w:val="000000"/>
                <w:sz w:val="20"/>
                <w:szCs w:val="20"/>
              </w:rPr>
            </w:pPr>
            <w:r>
              <w:rPr>
                <w:color w:val="000000"/>
                <w:sz w:val="20"/>
              </w:rPr>
              <w:t>ECON</w:t>
            </w:r>
          </w:p>
          <w:p w:rsidR="00CC11EF" w:rsidRDefault="00B66595">
            <w:pPr>
              <w:autoSpaceDE w:val="0"/>
              <w:autoSpaceDN w:val="0"/>
              <w:adjustRightInd w:val="0"/>
              <w:rPr>
                <w:color w:val="000000"/>
                <w:sz w:val="20"/>
                <w:szCs w:val="20"/>
              </w:rPr>
            </w:pPr>
            <w:r>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1EF" w:rsidRDefault="00CC11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1EF" w:rsidRDefault="00CC11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1EF" w:rsidRDefault="00CC11EF">
            <w:pPr>
              <w:autoSpaceDE w:val="0"/>
              <w:autoSpaceDN w:val="0"/>
              <w:adjustRightInd w:val="0"/>
              <w:rPr>
                <w:rFonts w:ascii="sans-serif" w:hAnsi="sans-serif" w:cs="sans-serif"/>
                <w:color w:val="000000"/>
              </w:rPr>
            </w:pPr>
          </w:p>
        </w:tc>
      </w:tr>
      <w:tr w:rsidR="009525C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b/>
                <w:bCs/>
                <w:color w:val="000000"/>
                <w:sz w:val="20"/>
                <w:szCs w:val="20"/>
              </w:rPr>
            </w:pPr>
            <w:r>
              <w:rPr>
                <w:b/>
                <w:color w:val="000000"/>
                <w:sz w:val="20"/>
              </w:rPr>
              <w:t>Nuomonę pateikė</w:t>
            </w:r>
          </w:p>
          <w:p w:rsidR="00CC11EF" w:rsidRDefault="00B66595">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color w:val="000000"/>
                <w:sz w:val="20"/>
                <w:szCs w:val="20"/>
              </w:rPr>
            </w:pPr>
            <w:r>
              <w:rPr>
                <w:color w:val="000000"/>
                <w:sz w:val="20"/>
              </w:rPr>
              <w:t>LIBE</w:t>
            </w:r>
          </w:p>
          <w:p w:rsidR="00CC11EF" w:rsidRDefault="00B66595">
            <w:pPr>
              <w:autoSpaceDE w:val="0"/>
              <w:autoSpaceDN w:val="0"/>
              <w:adjustRightInd w:val="0"/>
              <w:rPr>
                <w:color w:val="000000"/>
                <w:sz w:val="20"/>
                <w:szCs w:val="20"/>
              </w:rPr>
            </w:pPr>
            <w:r>
              <w:rPr>
                <w:color w:val="000000"/>
                <w:sz w:val="20"/>
              </w:rPr>
              <w:t>19.10.2023</w:t>
            </w:r>
          </w:p>
        </w:tc>
      </w:tr>
      <w:tr w:rsidR="009525C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b/>
                <w:bCs/>
                <w:color w:val="000000"/>
                <w:sz w:val="20"/>
                <w:szCs w:val="20"/>
              </w:rPr>
            </w:pPr>
            <w:r>
              <w:rPr>
                <w:b/>
                <w:color w:val="000000"/>
                <w:sz w:val="20"/>
              </w:rPr>
              <w:t>Nuomonės referentas (-ė)</w:t>
            </w:r>
          </w:p>
          <w:p w:rsidR="00CC11EF" w:rsidRDefault="00B66595">
            <w:pPr>
              <w:autoSpaceDE w:val="0"/>
              <w:autoSpaceDN w:val="0"/>
              <w:adjustRightInd w:val="0"/>
              <w:rPr>
                <w:color w:val="000000"/>
                <w:sz w:val="20"/>
                <w:szCs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color w:val="000000"/>
                <w:sz w:val="20"/>
                <w:szCs w:val="20"/>
              </w:rPr>
            </w:pPr>
            <w:r>
              <w:rPr>
                <w:color w:val="000000"/>
                <w:sz w:val="20"/>
              </w:rPr>
              <w:t>Emil Radev</w:t>
            </w:r>
          </w:p>
          <w:p w:rsidR="00CC11EF" w:rsidRDefault="00B66595">
            <w:pPr>
              <w:autoSpaceDE w:val="0"/>
              <w:autoSpaceDN w:val="0"/>
              <w:adjustRightInd w:val="0"/>
              <w:rPr>
                <w:color w:val="000000"/>
                <w:sz w:val="20"/>
                <w:szCs w:val="20"/>
              </w:rPr>
            </w:pPr>
            <w:r>
              <w:rPr>
                <w:color w:val="000000"/>
                <w:sz w:val="20"/>
              </w:rPr>
              <w:t>3.7.2025</w:t>
            </w:r>
          </w:p>
        </w:tc>
      </w:tr>
      <w:tr w:rsidR="009525C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b/>
                <w:bCs/>
                <w:color w:val="000000"/>
                <w:sz w:val="20"/>
                <w:szCs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11EF" w:rsidRDefault="00B66595">
            <w:pPr>
              <w:autoSpaceDE w:val="0"/>
              <w:autoSpaceDN w:val="0"/>
              <w:adjustRightInd w:val="0"/>
              <w:rPr>
                <w:color w:val="000000"/>
                <w:sz w:val="20"/>
                <w:szCs w:val="20"/>
              </w:rPr>
            </w:pPr>
            <w:r>
              <w:rPr>
                <w:color w:val="000000"/>
                <w:sz w:val="20"/>
              </w:rPr>
              <w:t>15.7.2025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1EF" w:rsidRDefault="00CC11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C11EF" w:rsidRDefault="00CC11E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1EF" w:rsidRDefault="00CC11EF">
            <w:pPr>
              <w:autoSpaceDE w:val="0"/>
              <w:autoSpaceDN w:val="0"/>
              <w:adjustRightInd w:val="0"/>
              <w:rPr>
                <w:rFonts w:ascii="sans-serif" w:hAnsi="sans-serif" w:cs="sans-serif"/>
                <w:color w:val="000000"/>
              </w:rPr>
            </w:pPr>
          </w:p>
        </w:tc>
      </w:tr>
      <w:tr w:rsidR="009525C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b/>
                <w:bCs/>
                <w:color w:val="000000"/>
                <w:sz w:val="20"/>
                <w:szCs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C11EF" w:rsidRDefault="00B66595">
            <w:pPr>
              <w:autoSpaceDE w:val="0"/>
              <w:autoSpaceDN w:val="0"/>
              <w:adjustRightInd w:val="0"/>
              <w:rPr>
                <w:color w:val="000000"/>
                <w:sz w:val="20"/>
                <w:szCs w:val="20"/>
              </w:rPr>
            </w:pPr>
            <w:r>
              <w:rPr>
                <w:color w:val="000000"/>
                <w:sz w:val="20"/>
              </w:rPr>
              <w:t>+:</w:t>
            </w:r>
          </w:p>
          <w:p w:rsidR="00CC11EF" w:rsidRDefault="00B66595">
            <w:pPr>
              <w:autoSpaceDE w:val="0"/>
              <w:autoSpaceDN w:val="0"/>
              <w:adjustRightInd w:val="0"/>
              <w:rPr>
                <w:color w:val="000000"/>
                <w:sz w:val="20"/>
                <w:szCs w:val="20"/>
              </w:rPr>
            </w:pPr>
            <w:r>
              <w:rPr>
                <w:color w:val="000000"/>
                <w:sz w:val="20"/>
              </w:rPr>
              <w:t>–:</w:t>
            </w:r>
          </w:p>
          <w:p w:rsidR="00CC11EF" w:rsidRDefault="00B66595">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color w:val="000000"/>
                <w:sz w:val="20"/>
                <w:szCs w:val="20"/>
              </w:rPr>
            </w:pPr>
            <w:r>
              <w:rPr>
                <w:color w:val="000000"/>
                <w:sz w:val="20"/>
              </w:rPr>
              <w:t>46</w:t>
            </w:r>
          </w:p>
          <w:p w:rsidR="00CC11EF" w:rsidRDefault="00B66595">
            <w:pPr>
              <w:autoSpaceDE w:val="0"/>
              <w:autoSpaceDN w:val="0"/>
              <w:adjustRightInd w:val="0"/>
              <w:rPr>
                <w:color w:val="000000"/>
                <w:sz w:val="20"/>
                <w:szCs w:val="20"/>
              </w:rPr>
            </w:pPr>
            <w:r>
              <w:rPr>
                <w:color w:val="000000"/>
                <w:sz w:val="20"/>
              </w:rPr>
              <w:t>17</w:t>
            </w:r>
          </w:p>
          <w:p w:rsidR="00CC11EF" w:rsidRDefault="00B66595">
            <w:pPr>
              <w:autoSpaceDE w:val="0"/>
              <w:autoSpaceDN w:val="0"/>
              <w:adjustRightInd w:val="0"/>
              <w:rPr>
                <w:color w:val="000000"/>
                <w:sz w:val="20"/>
                <w:szCs w:val="20"/>
              </w:rPr>
            </w:pPr>
            <w:r>
              <w:rPr>
                <w:color w:val="000000"/>
                <w:sz w:val="20"/>
              </w:rPr>
              <w:t>11</w:t>
            </w:r>
          </w:p>
        </w:tc>
      </w:tr>
      <w:tr w:rsidR="009525C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b/>
                <w:bCs/>
                <w:color w:val="000000"/>
                <w:sz w:val="20"/>
                <w:szCs w:val="20"/>
              </w:rPr>
            </w:pPr>
            <w:r>
              <w:rPr>
                <w:b/>
                <w:color w:val="000000"/>
                <w:sz w:val="20"/>
              </w:rPr>
              <w:t xml:space="preserve">Posėdyje per galutinį balsavimą </w:t>
            </w:r>
            <w:r>
              <w:rPr>
                <w:b/>
                <w:color w:val="000000"/>
                <w:sz w:val="20"/>
              </w:rPr>
              <w:t>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color w:val="000000"/>
                <w:sz w:val="20"/>
                <w:szCs w:val="20"/>
              </w:rPr>
            </w:pPr>
            <w:r>
              <w:rPr>
                <w:color w:val="000000"/>
                <w:sz w:val="20"/>
              </w:rPr>
              <w:t xml:space="preserve">Magdalena Adamowicz, Abir Al-Sahlani, Giuseppe Antoci, Francisco Assis, Malik Azmani, Nikola Bartůšek, Krzysztof Brejza, Saskia Bricmont, Jaroslav Bžoch, Mélissa Camara, Susanna Ceccardi, Caterina Chinnici, Alessandro Ciriani, Lena Düpont, </w:t>
            </w:r>
            <w:r>
              <w:rPr>
                <w:color w:val="000000"/>
                <w:sz w:val="20"/>
              </w:rPr>
              <w:t>Marieke Ehlers, Estrella Galán, Raquel García Hermida-Van Der Walle, Evin Incir, Paolo Inselvini, Irena Joveva, Erik Kaliňák, Marina Kaljurand, Mariusz Kamiński, Assita Kanko, Fabienne Keller, Moritz Körner, Murielle Laurent, Fabrice Leggeri, Jeroen Lenaer</w:t>
            </w:r>
            <w:r>
              <w:rPr>
                <w:color w:val="000000"/>
                <w:sz w:val="20"/>
              </w:rPr>
              <w:t>s, Juan Fernando López Aguilar, Michael McNamara, Ana Catarina Mendes, Verena Mertens, Nadine Morano, Matjaž Nemec, Ana Miguel Pedro, Chloé Ridel, Ilaria Salis, Birgit Sippel, Krzysztof Śmiszek, Petra Steger, Cecilia Strada, Tineke Strik, Georgiana Teodore</w:t>
            </w:r>
            <w:r>
              <w:rPr>
                <w:color w:val="000000"/>
                <w:sz w:val="20"/>
              </w:rPr>
              <w:t>scu, Tomas Tobé, Milan Uhrík, Tom Vandendriessche, Kristian Vigenin, Charlie Weimers, Sophie Wilmès, Ewa Zajączkowska-Hernik, Alessandro Zan, Javier Zarzalejos</w:t>
            </w:r>
          </w:p>
        </w:tc>
      </w:tr>
      <w:tr w:rsidR="009525C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b/>
                <w:bCs/>
                <w:color w:val="000000"/>
                <w:sz w:val="20"/>
                <w:szCs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color w:val="000000"/>
                <w:sz w:val="20"/>
                <w:szCs w:val="20"/>
              </w:rPr>
            </w:pPr>
            <w:r>
              <w:rPr>
                <w:color w:val="000000"/>
                <w:sz w:val="20"/>
              </w:rPr>
              <w:t xml:space="preserve">Konstantinos Arvanitis, Fredis </w:t>
            </w:r>
            <w:r>
              <w:rPr>
                <w:color w:val="000000"/>
                <w:sz w:val="20"/>
              </w:rPr>
              <w:t>Beleris, David Casa, Geadis Geadi, Monika Hohlmeier, Nikola Minchev, Hannah Neumann, João Oliveira, Leoluca Orlando, Oliver Schenk, Alexander Sell, Sander Smit, António Tânger Corrêa, Pekka Toveri, Roberto Vannacci</w:t>
            </w:r>
          </w:p>
        </w:tc>
      </w:tr>
      <w:tr w:rsidR="009525C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b/>
                <w:bCs/>
                <w:color w:val="000000"/>
                <w:sz w:val="20"/>
                <w:szCs w:val="20"/>
              </w:rPr>
            </w:pPr>
            <w:r>
              <w:rPr>
                <w:b/>
                <w:color w:val="000000"/>
                <w:sz w:val="20"/>
              </w:rPr>
              <w:t>Posėdyje per galutinį balsavimą pagal 21</w:t>
            </w:r>
            <w:r>
              <w:rPr>
                <w:b/>
                <w:color w:val="000000"/>
                <w:sz w:val="20"/>
              </w:rPr>
              <w:t>6 straipsnio 7 dalį dalyvavę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C11EF" w:rsidRDefault="00B66595">
            <w:pPr>
              <w:autoSpaceDE w:val="0"/>
              <w:autoSpaceDN w:val="0"/>
              <w:adjustRightInd w:val="0"/>
              <w:rPr>
                <w:color w:val="000000"/>
                <w:sz w:val="20"/>
                <w:szCs w:val="20"/>
              </w:rPr>
            </w:pPr>
            <w:r>
              <w:rPr>
                <w:color w:val="000000"/>
                <w:sz w:val="20"/>
              </w:rPr>
              <w:t>Laurent Castillo, Christian Doleschal, Pietro Fiocchi, Pär Holmgren, Andrey Kovatchev, Andrea Wechsler</w:t>
            </w:r>
          </w:p>
        </w:tc>
      </w:tr>
    </w:tbl>
    <w:p w:rsidR="00CC11EF" w:rsidRDefault="00CC11EF"/>
    <w:bookmarkEnd w:id="4"/>
    <w:p w:rsidR="00A54DF1" w:rsidRDefault="00A54DF1" w:rsidP="00A54DF1">
      <w:pPr>
        <w:sectPr w:rsidR="00A54DF1" w:rsidSect="00A54DF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54DF1" w:rsidRPr="00A54DF1" w:rsidRDefault="00A54DF1" w:rsidP="00A54DF1"/>
    <w:p w:rsidR="00A54DF1" w:rsidRPr="0099178F" w:rsidRDefault="00B66595" w:rsidP="00C36610">
      <w:pPr>
        <w:pStyle w:val="PageHeadingNotTOC"/>
      </w:pPr>
      <w:bookmarkStart w:id="5" w:name="RollCallPageAD"/>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25CF" w:rsidTr="000115B1">
        <w:trPr>
          <w:cantSplit/>
        </w:trPr>
        <w:tc>
          <w:tcPr>
            <w:tcW w:w="1701" w:type="dxa"/>
            <w:shd w:val="pct10" w:color="000000" w:fill="FFFFFF"/>
            <w:vAlign w:val="center"/>
          </w:tcPr>
          <w:p w:rsidR="00A54DF1" w:rsidRPr="00156095" w:rsidRDefault="00B66595" w:rsidP="000115B1">
            <w:pPr>
              <w:pStyle w:val="RollCallVotes"/>
            </w:pPr>
            <w:r>
              <w:t>46</w:t>
            </w:r>
          </w:p>
        </w:tc>
        <w:tc>
          <w:tcPr>
            <w:tcW w:w="7371" w:type="dxa"/>
            <w:shd w:val="pct10" w:color="000000" w:fill="FFFFFF"/>
          </w:tcPr>
          <w:p w:rsidR="00A54DF1" w:rsidRPr="00156095" w:rsidRDefault="00B66595" w:rsidP="000115B1">
            <w:pPr>
              <w:pStyle w:val="RollCallSymbols14pt"/>
            </w:pPr>
            <w:r>
              <w:t>+</w:t>
            </w:r>
          </w:p>
        </w:tc>
      </w:tr>
      <w:tr w:rsidR="009525CF" w:rsidTr="000115B1">
        <w:trPr>
          <w:cantSplit/>
        </w:trPr>
        <w:tc>
          <w:tcPr>
            <w:tcW w:w="1701" w:type="dxa"/>
            <w:shd w:val="clear" w:color="auto" w:fill="FFFFFF"/>
          </w:tcPr>
          <w:p w:rsidR="00A54DF1" w:rsidRPr="00156095" w:rsidRDefault="00B66595" w:rsidP="000115B1">
            <w:pPr>
              <w:pStyle w:val="RollCallTable"/>
            </w:pPr>
            <w:r>
              <w:t>PPE</w:t>
            </w:r>
          </w:p>
        </w:tc>
        <w:tc>
          <w:tcPr>
            <w:tcW w:w="7371" w:type="dxa"/>
            <w:shd w:val="clear" w:color="auto" w:fill="FFFFFF"/>
          </w:tcPr>
          <w:p w:rsidR="00A54DF1" w:rsidRPr="00156095" w:rsidRDefault="00B66595" w:rsidP="000115B1">
            <w:pPr>
              <w:pStyle w:val="RollCallTable"/>
            </w:pPr>
            <w:r>
              <w:t xml:space="preserve">Magdalena </w:t>
            </w:r>
            <w:r>
              <w:t>Adamowicz, Fredis Beleris, Krzysztof Brejza, David Casa, Caterina Chinnici, Christian Doleschal, Lena Düpont, Monika Hohlmeier, Andrey Kovatchev, Jeroen Lenaers, Verena Mertens, Ana Miguel Pedro, Oliver Schenk, Tomas Tobé, Pekka Toveri, Andrea Wechsler, Ja</w:t>
            </w:r>
            <w:r>
              <w:t>vier Zarzalejos</w:t>
            </w:r>
          </w:p>
        </w:tc>
      </w:tr>
      <w:tr w:rsidR="009525CF" w:rsidTr="000115B1">
        <w:trPr>
          <w:cantSplit/>
        </w:trPr>
        <w:tc>
          <w:tcPr>
            <w:tcW w:w="1701" w:type="dxa"/>
            <w:shd w:val="clear" w:color="auto" w:fill="FFFFFF"/>
          </w:tcPr>
          <w:p w:rsidR="00A54DF1" w:rsidRPr="00156095" w:rsidRDefault="00B66595" w:rsidP="000115B1">
            <w:pPr>
              <w:pStyle w:val="RollCallTable"/>
            </w:pPr>
            <w:r>
              <w:t>PfE</w:t>
            </w:r>
          </w:p>
        </w:tc>
        <w:tc>
          <w:tcPr>
            <w:tcW w:w="7371" w:type="dxa"/>
            <w:shd w:val="clear" w:color="auto" w:fill="FFFFFF"/>
          </w:tcPr>
          <w:p w:rsidR="00A54DF1" w:rsidRPr="00156095" w:rsidRDefault="00B66595" w:rsidP="000115B1">
            <w:pPr>
              <w:pStyle w:val="RollCallTable"/>
            </w:pPr>
            <w:r>
              <w:t>Jaroslav Bžoch</w:t>
            </w:r>
          </w:p>
        </w:tc>
      </w:tr>
      <w:tr w:rsidR="009525CF" w:rsidTr="000115B1">
        <w:trPr>
          <w:cantSplit/>
        </w:trPr>
        <w:tc>
          <w:tcPr>
            <w:tcW w:w="1701" w:type="dxa"/>
            <w:shd w:val="clear" w:color="auto" w:fill="FFFFFF"/>
          </w:tcPr>
          <w:p w:rsidR="00A54DF1" w:rsidRPr="00156095" w:rsidRDefault="00B66595" w:rsidP="000115B1">
            <w:pPr>
              <w:pStyle w:val="RollCallTable"/>
            </w:pPr>
            <w:r>
              <w:t>Renew</w:t>
            </w:r>
          </w:p>
        </w:tc>
        <w:tc>
          <w:tcPr>
            <w:tcW w:w="7371" w:type="dxa"/>
            <w:shd w:val="clear" w:color="auto" w:fill="FFFFFF"/>
          </w:tcPr>
          <w:p w:rsidR="00A54DF1" w:rsidRPr="00156095" w:rsidRDefault="00B66595" w:rsidP="000115B1">
            <w:pPr>
              <w:pStyle w:val="RollCallTable"/>
            </w:pPr>
            <w:r>
              <w:t>Abir Al-Sahlani, Malik Azmani, Raquel García Hermida-Van Der Walle, Irena Joveva, Fabienne Keller, Moritz Körner, Michael McNamara, Nikola Minchev, Sophie Wilmès</w:t>
            </w:r>
          </w:p>
        </w:tc>
      </w:tr>
      <w:tr w:rsidR="009525CF" w:rsidTr="000115B1">
        <w:trPr>
          <w:cantSplit/>
        </w:trPr>
        <w:tc>
          <w:tcPr>
            <w:tcW w:w="1701" w:type="dxa"/>
            <w:shd w:val="clear" w:color="auto" w:fill="FFFFFF"/>
          </w:tcPr>
          <w:p w:rsidR="00A54DF1" w:rsidRPr="00156095" w:rsidRDefault="00B66595" w:rsidP="000115B1">
            <w:pPr>
              <w:pStyle w:val="RollCallTable"/>
            </w:pPr>
            <w:r>
              <w:t>S&amp;D</w:t>
            </w:r>
          </w:p>
        </w:tc>
        <w:tc>
          <w:tcPr>
            <w:tcW w:w="7371" w:type="dxa"/>
            <w:shd w:val="clear" w:color="auto" w:fill="FFFFFF"/>
          </w:tcPr>
          <w:p w:rsidR="00A54DF1" w:rsidRPr="00156095" w:rsidRDefault="00B66595" w:rsidP="000115B1">
            <w:pPr>
              <w:pStyle w:val="RollCallTable"/>
            </w:pPr>
            <w:r>
              <w:t>Francisco Assis, Evin Incir, Marina Kaljurand,</w:t>
            </w:r>
            <w:r>
              <w:t xml:space="preserve"> Murielle Laurent, Juan Fernando López Aguilar, Ana Catarina Mendes, Matjaž Nemec, Chloé Ridel, Birgit Sippel, Krzysztof Śmiszek, Cecilia Strada, Kristian Vigenin, Alessandro Zan</w:t>
            </w:r>
          </w:p>
        </w:tc>
      </w:tr>
      <w:tr w:rsidR="009525CF" w:rsidTr="000115B1">
        <w:trPr>
          <w:cantSplit/>
        </w:trPr>
        <w:tc>
          <w:tcPr>
            <w:tcW w:w="1701" w:type="dxa"/>
            <w:shd w:val="clear" w:color="auto" w:fill="FFFFFF"/>
          </w:tcPr>
          <w:p w:rsidR="00A54DF1" w:rsidRPr="00156095" w:rsidRDefault="00B66595" w:rsidP="000115B1">
            <w:pPr>
              <w:pStyle w:val="RollCallTable"/>
            </w:pPr>
            <w:r>
              <w:t>Verts/ALE</w:t>
            </w:r>
          </w:p>
        </w:tc>
        <w:tc>
          <w:tcPr>
            <w:tcW w:w="7371" w:type="dxa"/>
            <w:shd w:val="clear" w:color="auto" w:fill="FFFFFF"/>
          </w:tcPr>
          <w:p w:rsidR="00A54DF1" w:rsidRPr="00156095" w:rsidRDefault="00B66595" w:rsidP="000115B1">
            <w:pPr>
              <w:pStyle w:val="RollCallTable"/>
            </w:pPr>
            <w:r>
              <w:t>Saskia Bricmont, Mélissa Camara, Pär Holmgren, Hannah Neumann, Leo</w:t>
            </w:r>
            <w:r>
              <w:t>luca Orlando, Tineke Strik</w:t>
            </w:r>
          </w:p>
        </w:tc>
      </w:tr>
    </w:tbl>
    <w:p w:rsidR="00A54DF1" w:rsidRPr="00156095" w:rsidRDefault="00A54DF1" w:rsidP="00A54DF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25CF" w:rsidTr="000115B1">
        <w:trPr>
          <w:cantSplit/>
        </w:trPr>
        <w:tc>
          <w:tcPr>
            <w:tcW w:w="1701" w:type="dxa"/>
            <w:shd w:val="pct10" w:color="000000" w:fill="FFFFFF"/>
            <w:vAlign w:val="center"/>
          </w:tcPr>
          <w:p w:rsidR="00A54DF1" w:rsidRPr="00156095" w:rsidRDefault="00B66595" w:rsidP="000115B1">
            <w:pPr>
              <w:pStyle w:val="RollCallVotes"/>
            </w:pPr>
            <w:r>
              <w:t>17</w:t>
            </w:r>
          </w:p>
        </w:tc>
        <w:tc>
          <w:tcPr>
            <w:tcW w:w="7371" w:type="dxa"/>
            <w:shd w:val="pct10" w:color="000000" w:fill="FFFFFF"/>
          </w:tcPr>
          <w:p w:rsidR="00A54DF1" w:rsidRPr="00156095" w:rsidRDefault="00B66595" w:rsidP="000115B1">
            <w:pPr>
              <w:pStyle w:val="RollCallSymbols14pt"/>
            </w:pPr>
            <w:r>
              <w:t>-</w:t>
            </w:r>
          </w:p>
        </w:tc>
      </w:tr>
      <w:tr w:rsidR="009525CF" w:rsidTr="000115B1">
        <w:trPr>
          <w:cantSplit/>
        </w:trPr>
        <w:tc>
          <w:tcPr>
            <w:tcW w:w="1701" w:type="dxa"/>
            <w:shd w:val="clear" w:color="auto" w:fill="FFFFFF"/>
          </w:tcPr>
          <w:p w:rsidR="00A54DF1" w:rsidRPr="00156095" w:rsidRDefault="00B66595" w:rsidP="000115B1">
            <w:pPr>
              <w:pStyle w:val="RollCallTable"/>
            </w:pPr>
            <w:r>
              <w:t>ECR</w:t>
            </w:r>
          </w:p>
        </w:tc>
        <w:tc>
          <w:tcPr>
            <w:tcW w:w="7371" w:type="dxa"/>
            <w:shd w:val="clear" w:color="auto" w:fill="FFFFFF"/>
          </w:tcPr>
          <w:p w:rsidR="00A54DF1" w:rsidRPr="00156095" w:rsidRDefault="00B66595" w:rsidP="000115B1">
            <w:pPr>
              <w:pStyle w:val="RollCallTable"/>
            </w:pPr>
            <w:r>
              <w:t>Geadis Geadi, Mariusz Kamiński, Assita Kanko, Georgiana Teodorescu, Charlie Weimers</w:t>
            </w:r>
          </w:p>
        </w:tc>
      </w:tr>
      <w:tr w:rsidR="009525CF" w:rsidTr="000115B1">
        <w:trPr>
          <w:cantSplit/>
        </w:trPr>
        <w:tc>
          <w:tcPr>
            <w:tcW w:w="1701" w:type="dxa"/>
            <w:shd w:val="clear" w:color="auto" w:fill="FFFFFF"/>
          </w:tcPr>
          <w:p w:rsidR="00A54DF1" w:rsidRPr="00156095" w:rsidRDefault="00B66595" w:rsidP="000115B1">
            <w:pPr>
              <w:pStyle w:val="RollCallTable"/>
            </w:pPr>
            <w:r>
              <w:t>ESN</w:t>
            </w:r>
          </w:p>
        </w:tc>
        <w:tc>
          <w:tcPr>
            <w:tcW w:w="7371" w:type="dxa"/>
            <w:shd w:val="clear" w:color="auto" w:fill="FFFFFF"/>
          </w:tcPr>
          <w:p w:rsidR="00A54DF1" w:rsidRPr="00156095" w:rsidRDefault="00B66595" w:rsidP="000115B1">
            <w:pPr>
              <w:pStyle w:val="RollCallTable"/>
            </w:pPr>
            <w:r>
              <w:t>Alexander Sell, Milan Uhrík, Ewa Zajączkowska-Hernik</w:t>
            </w:r>
          </w:p>
        </w:tc>
      </w:tr>
      <w:tr w:rsidR="009525CF" w:rsidTr="000115B1">
        <w:trPr>
          <w:cantSplit/>
        </w:trPr>
        <w:tc>
          <w:tcPr>
            <w:tcW w:w="1701" w:type="dxa"/>
            <w:shd w:val="clear" w:color="auto" w:fill="FFFFFF"/>
          </w:tcPr>
          <w:p w:rsidR="00A54DF1" w:rsidRPr="00156095" w:rsidRDefault="00B66595" w:rsidP="000115B1">
            <w:pPr>
              <w:pStyle w:val="RollCallTable"/>
            </w:pPr>
            <w:r>
              <w:t>NI</w:t>
            </w:r>
          </w:p>
        </w:tc>
        <w:tc>
          <w:tcPr>
            <w:tcW w:w="7371" w:type="dxa"/>
            <w:shd w:val="clear" w:color="auto" w:fill="FFFFFF"/>
          </w:tcPr>
          <w:p w:rsidR="00A54DF1" w:rsidRPr="00156095" w:rsidRDefault="00B66595" w:rsidP="000115B1">
            <w:pPr>
              <w:pStyle w:val="RollCallTable"/>
            </w:pPr>
            <w:r>
              <w:t>Erik Kaliňák</w:t>
            </w:r>
          </w:p>
        </w:tc>
      </w:tr>
      <w:tr w:rsidR="009525CF" w:rsidTr="000115B1">
        <w:trPr>
          <w:cantSplit/>
        </w:trPr>
        <w:tc>
          <w:tcPr>
            <w:tcW w:w="1701" w:type="dxa"/>
            <w:shd w:val="clear" w:color="auto" w:fill="FFFFFF"/>
          </w:tcPr>
          <w:p w:rsidR="00A54DF1" w:rsidRPr="00156095" w:rsidRDefault="00B66595" w:rsidP="000115B1">
            <w:pPr>
              <w:pStyle w:val="RollCallTable"/>
            </w:pPr>
            <w:r>
              <w:t>PfE</w:t>
            </w:r>
          </w:p>
        </w:tc>
        <w:tc>
          <w:tcPr>
            <w:tcW w:w="7371" w:type="dxa"/>
            <w:shd w:val="clear" w:color="auto" w:fill="FFFFFF"/>
          </w:tcPr>
          <w:p w:rsidR="00A54DF1" w:rsidRPr="00156095" w:rsidRDefault="00B66595" w:rsidP="000115B1">
            <w:pPr>
              <w:pStyle w:val="RollCallTable"/>
            </w:pPr>
            <w:r>
              <w:t xml:space="preserve">Susanna Ceccardi, Marieke Ehlers, Fabrice Leggeri, </w:t>
            </w:r>
            <w:r>
              <w:t>Petra Steger, António Tânger Corrêa, Tom Vandendriessche, Roberto Vannacci</w:t>
            </w:r>
          </w:p>
        </w:tc>
      </w:tr>
      <w:tr w:rsidR="009525CF" w:rsidTr="000115B1">
        <w:trPr>
          <w:cantSplit/>
        </w:trPr>
        <w:tc>
          <w:tcPr>
            <w:tcW w:w="1701" w:type="dxa"/>
            <w:shd w:val="clear" w:color="auto" w:fill="FFFFFF"/>
          </w:tcPr>
          <w:p w:rsidR="00A54DF1" w:rsidRPr="00156095" w:rsidRDefault="00B66595" w:rsidP="000115B1">
            <w:pPr>
              <w:pStyle w:val="RollCallTable"/>
            </w:pPr>
            <w:r>
              <w:t>The Left</w:t>
            </w:r>
          </w:p>
        </w:tc>
        <w:tc>
          <w:tcPr>
            <w:tcW w:w="7371" w:type="dxa"/>
            <w:shd w:val="clear" w:color="auto" w:fill="FFFFFF"/>
          </w:tcPr>
          <w:p w:rsidR="00A54DF1" w:rsidRPr="00156095" w:rsidRDefault="00B66595" w:rsidP="000115B1">
            <w:pPr>
              <w:pStyle w:val="RollCallTable"/>
            </w:pPr>
            <w:r>
              <w:t>João Oliveira</w:t>
            </w:r>
          </w:p>
        </w:tc>
      </w:tr>
    </w:tbl>
    <w:p w:rsidR="00A54DF1" w:rsidRPr="00156095" w:rsidRDefault="00A54DF1" w:rsidP="00A54DF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25CF" w:rsidTr="000115B1">
        <w:trPr>
          <w:cantSplit/>
        </w:trPr>
        <w:tc>
          <w:tcPr>
            <w:tcW w:w="1701" w:type="dxa"/>
            <w:shd w:val="pct10" w:color="000000" w:fill="FFFFFF"/>
            <w:vAlign w:val="center"/>
          </w:tcPr>
          <w:p w:rsidR="00A54DF1" w:rsidRPr="00156095" w:rsidRDefault="00B66595" w:rsidP="000115B1">
            <w:pPr>
              <w:pStyle w:val="RollCallVotes"/>
            </w:pPr>
            <w:r>
              <w:t>11</w:t>
            </w:r>
          </w:p>
        </w:tc>
        <w:tc>
          <w:tcPr>
            <w:tcW w:w="7371" w:type="dxa"/>
            <w:shd w:val="pct10" w:color="000000" w:fill="FFFFFF"/>
          </w:tcPr>
          <w:p w:rsidR="00A54DF1" w:rsidRPr="00156095" w:rsidRDefault="00B66595" w:rsidP="000115B1">
            <w:pPr>
              <w:pStyle w:val="RollCallSymbols14pt"/>
            </w:pPr>
            <w:r>
              <w:t>0</w:t>
            </w:r>
          </w:p>
        </w:tc>
      </w:tr>
      <w:tr w:rsidR="009525CF" w:rsidTr="000115B1">
        <w:trPr>
          <w:cantSplit/>
        </w:trPr>
        <w:tc>
          <w:tcPr>
            <w:tcW w:w="1701" w:type="dxa"/>
            <w:shd w:val="clear" w:color="auto" w:fill="FFFFFF"/>
          </w:tcPr>
          <w:p w:rsidR="00A54DF1" w:rsidRPr="00156095" w:rsidRDefault="00B66595" w:rsidP="000115B1">
            <w:pPr>
              <w:pStyle w:val="RollCallTable"/>
            </w:pPr>
            <w:r>
              <w:t>ECR</w:t>
            </w:r>
          </w:p>
        </w:tc>
        <w:tc>
          <w:tcPr>
            <w:tcW w:w="7371" w:type="dxa"/>
            <w:shd w:val="clear" w:color="auto" w:fill="FFFFFF"/>
          </w:tcPr>
          <w:p w:rsidR="00A54DF1" w:rsidRPr="00156095" w:rsidRDefault="00B66595" w:rsidP="000115B1">
            <w:pPr>
              <w:pStyle w:val="RollCallTable"/>
            </w:pPr>
            <w:r>
              <w:t>Alessandro Ciriani, Pietro Fiocchi, Paolo Inselvini</w:t>
            </w:r>
          </w:p>
        </w:tc>
      </w:tr>
      <w:tr w:rsidR="009525CF" w:rsidTr="000115B1">
        <w:trPr>
          <w:cantSplit/>
        </w:trPr>
        <w:tc>
          <w:tcPr>
            <w:tcW w:w="1701" w:type="dxa"/>
            <w:shd w:val="clear" w:color="auto" w:fill="FFFFFF"/>
          </w:tcPr>
          <w:p w:rsidR="00A54DF1" w:rsidRPr="00156095" w:rsidRDefault="00B66595" w:rsidP="000115B1">
            <w:pPr>
              <w:pStyle w:val="RollCallTable"/>
            </w:pPr>
            <w:r>
              <w:t>PPE</w:t>
            </w:r>
          </w:p>
        </w:tc>
        <w:tc>
          <w:tcPr>
            <w:tcW w:w="7371" w:type="dxa"/>
            <w:shd w:val="clear" w:color="auto" w:fill="FFFFFF"/>
          </w:tcPr>
          <w:p w:rsidR="00A54DF1" w:rsidRPr="00156095" w:rsidRDefault="00B66595" w:rsidP="000115B1">
            <w:pPr>
              <w:pStyle w:val="RollCallTable"/>
            </w:pPr>
            <w:r>
              <w:t>Laurent Castillo, Nadine Morano, Sander Smit</w:t>
            </w:r>
          </w:p>
        </w:tc>
      </w:tr>
      <w:tr w:rsidR="009525CF" w:rsidTr="000115B1">
        <w:trPr>
          <w:cantSplit/>
        </w:trPr>
        <w:tc>
          <w:tcPr>
            <w:tcW w:w="1701" w:type="dxa"/>
            <w:shd w:val="clear" w:color="auto" w:fill="FFFFFF"/>
          </w:tcPr>
          <w:p w:rsidR="00A54DF1" w:rsidRPr="00156095" w:rsidRDefault="00B66595" w:rsidP="000115B1">
            <w:pPr>
              <w:pStyle w:val="RollCallTable"/>
            </w:pPr>
            <w:r>
              <w:t>PfE</w:t>
            </w:r>
          </w:p>
        </w:tc>
        <w:tc>
          <w:tcPr>
            <w:tcW w:w="7371" w:type="dxa"/>
            <w:shd w:val="clear" w:color="auto" w:fill="FFFFFF"/>
          </w:tcPr>
          <w:p w:rsidR="00A54DF1" w:rsidRPr="00156095" w:rsidRDefault="00B66595" w:rsidP="000115B1">
            <w:pPr>
              <w:pStyle w:val="RollCallTable"/>
            </w:pPr>
            <w:r>
              <w:t>Nikola Bartůšek</w:t>
            </w:r>
          </w:p>
        </w:tc>
      </w:tr>
      <w:tr w:rsidR="009525CF" w:rsidTr="000115B1">
        <w:trPr>
          <w:cantSplit/>
        </w:trPr>
        <w:tc>
          <w:tcPr>
            <w:tcW w:w="1701" w:type="dxa"/>
            <w:shd w:val="clear" w:color="auto" w:fill="FFFFFF"/>
          </w:tcPr>
          <w:p w:rsidR="00A54DF1" w:rsidRPr="00156095" w:rsidRDefault="00B66595" w:rsidP="000115B1">
            <w:pPr>
              <w:pStyle w:val="RollCallTable"/>
            </w:pPr>
            <w:r>
              <w:t>The Left</w:t>
            </w:r>
          </w:p>
        </w:tc>
        <w:tc>
          <w:tcPr>
            <w:tcW w:w="7371" w:type="dxa"/>
            <w:shd w:val="clear" w:color="auto" w:fill="FFFFFF"/>
          </w:tcPr>
          <w:p w:rsidR="00A54DF1" w:rsidRPr="00156095" w:rsidRDefault="00B66595" w:rsidP="000115B1">
            <w:pPr>
              <w:pStyle w:val="RollCallTable"/>
            </w:pPr>
            <w:r>
              <w:t xml:space="preserve">Giuseppe </w:t>
            </w:r>
            <w:r>
              <w:t>Antoci, Konstantinos Arvanitis, Estrella Galán, Ilaria Salis</w:t>
            </w:r>
          </w:p>
        </w:tc>
      </w:tr>
    </w:tbl>
    <w:p w:rsidR="00A54DF1" w:rsidRDefault="00A54DF1" w:rsidP="00147FBF">
      <w:pPr>
        <w:pStyle w:val="Normal12a"/>
      </w:pPr>
    </w:p>
    <w:p w:rsidR="00A54DF1" w:rsidRDefault="00B66595" w:rsidP="00B735E3">
      <w:r>
        <w:t>Sutartiniai ženklai:</w:t>
      </w:r>
    </w:p>
    <w:p w:rsidR="00A54DF1" w:rsidRDefault="00B66595" w:rsidP="003858C5">
      <w:pPr>
        <w:pStyle w:val="RollCallTabs"/>
      </w:pPr>
      <w:r>
        <w:t>+</w:t>
      </w:r>
      <w:r>
        <w:tab/>
        <w:t>:</w:t>
      </w:r>
      <w:r>
        <w:tab/>
        <w:t>už</w:t>
      </w:r>
    </w:p>
    <w:p w:rsidR="00A54DF1" w:rsidRDefault="00B66595" w:rsidP="003858C5">
      <w:pPr>
        <w:pStyle w:val="RollCallTabs"/>
      </w:pPr>
      <w:r>
        <w:t>-</w:t>
      </w:r>
      <w:r>
        <w:tab/>
        <w:t>:</w:t>
      </w:r>
      <w:r>
        <w:tab/>
        <w:t>prieš</w:t>
      </w:r>
    </w:p>
    <w:p w:rsidR="00A54DF1" w:rsidRDefault="00B66595" w:rsidP="003858C5">
      <w:pPr>
        <w:pStyle w:val="RollCallTabs"/>
      </w:pPr>
      <w:r>
        <w:t>0</w:t>
      </w:r>
      <w:r>
        <w:tab/>
        <w:t>:</w:t>
      </w:r>
      <w:r>
        <w:tab/>
        <w:t>susilaikė</w:t>
      </w:r>
    </w:p>
    <w:p w:rsidR="00A54DF1" w:rsidRDefault="00A54DF1" w:rsidP="00207509"/>
    <w:bookmarkEnd w:id="5"/>
    <w:p w:rsidR="00DB56E4" w:rsidRPr="00A54DF1" w:rsidRDefault="00DB56E4" w:rsidP="00CC11EF"/>
    <w:sectPr w:rsidR="00DB56E4" w:rsidRPr="00A54DF1" w:rsidSect="00A54DF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66595">
      <w:r>
        <w:separator/>
      </w:r>
    </w:p>
  </w:endnote>
  <w:endnote w:type="continuationSeparator" w:id="0">
    <w:p w:rsidR="00000000" w:rsidRDefault="00B66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1EF" w:rsidRDefault="00B66595" w:rsidP="00CC11EF">
    <w:pPr>
      <w:pStyle w:val="EPFooter"/>
    </w:pPr>
    <w:r>
      <w:t>PE</w:t>
    </w:r>
    <w:r w:rsidRPr="00CC11EF">
      <w:rPr>
        <w:rStyle w:val="HideTWBExt"/>
      </w:rPr>
      <w:t>&lt;NoPE&gt;</w:t>
    </w:r>
    <w:r>
      <w:t>775.581</w:t>
    </w:r>
    <w:r w:rsidRPr="00CC11EF">
      <w:rPr>
        <w:rStyle w:val="HideTWBExt"/>
      </w:rPr>
      <w:t>&lt;/NoPE&gt;&lt;Version&gt;</w:t>
    </w:r>
    <w:r>
      <w:t>v01-00</w:t>
    </w:r>
    <w:r w:rsidRPr="00CC11EF">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A54DF1">
      <w:fldChar w:fldCharType="begin"/>
    </w:r>
    <w:r>
      <w:instrText xml:space="preserve"> NUMPAGES  \* MERGEFORMAT </w:instrText>
    </w:r>
    <w:r w:rsidR="00A54DF1">
      <w:fldChar w:fldCharType="separate"/>
    </w:r>
    <w:r>
      <w:rPr>
        <w:noProof/>
      </w:rPr>
      <w:t>66</w:t>
    </w:r>
    <w:r w:rsidR="00A54DF1">
      <w:rPr>
        <w:noProof/>
      </w:rPr>
      <w:fldChar w:fldCharType="end"/>
    </w:r>
    <w:r>
      <w:tab/>
    </w:r>
    <w:r w:rsidRPr="00CC11EF">
      <w:rPr>
        <w:rStyle w:val="HideTWBExt"/>
      </w:rPr>
      <w:t>&lt;PathFdR&gt;</w:t>
    </w:r>
    <w:r>
      <w:t>AD\1324704LT.docx</w:t>
    </w:r>
    <w:r w:rsidRPr="00CC11EF">
      <w:rPr>
        <w:rStyle w:val="HideTWBExt"/>
      </w:rPr>
      <w:t>&lt;/PathFdR&gt;</w:t>
    </w:r>
  </w:p>
  <w:p w:rsidR="00CC11EF" w:rsidRPr="00987D5B" w:rsidRDefault="00B66595" w:rsidP="00CC11EF">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1EF" w:rsidRDefault="00B66595" w:rsidP="00CC11EF">
    <w:pPr>
      <w:pStyle w:val="EPFooter"/>
    </w:pPr>
    <w:r w:rsidRPr="00CC11EF">
      <w:rPr>
        <w:rStyle w:val="HideTWBExt"/>
      </w:rPr>
      <w:t>&lt;PathFdR&gt;</w:t>
    </w:r>
    <w:r>
      <w:t>AD\1324704LT.docx</w:t>
    </w:r>
    <w:r w:rsidRPr="00CC11EF">
      <w:rPr>
        <w:rStyle w:val="HideTWBExt"/>
      </w:rPr>
      <w:t>&lt;/PathFdR&gt;</w:t>
    </w:r>
    <w:r>
      <w:tab/>
    </w:r>
    <w:r>
      <w:fldChar w:fldCharType="begin"/>
    </w:r>
    <w:r>
      <w:instrText xml:space="preserve"> PAGE  \* MERGEFORMAT </w:instrText>
    </w:r>
    <w:r>
      <w:fldChar w:fldCharType="separate"/>
    </w:r>
    <w:r>
      <w:rPr>
        <w:noProof/>
      </w:rPr>
      <w:t>63</w:t>
    </w:r>
    <w:r>
      <w:fldChar w:fldCharType="end"/>
    </w:r>
    <w:r>
      <w:t>/</w:t>
    </w:r>
    <w:r w:rsidR="00A54DF1">
      <w:fldChar w:fldCharType="begin"/>
    </w:r>
    <w:r>
      <w:instrText xml:space="preserve"> NUMPAGES  \* MERGEFORMAT </w:instrText>
    </w:r>
    <w:r w:rsidR="00A54DF1">
      <w:fldChar w:fldCharType="separate"/>
    </w:r>
    <w:r>
      <w:rPr>
        <w:noProof/>
      </w:rPr>
      <w:t>66</w:t>
    </w:r>
    <w:r w:rsidR="00A54DF1">
      <w:rPr>
        <w:noProof/>
      </w:rPr>
      <w:fldChar w:fldCharType="end"/>
    </w:r>
    <w:r>
      <w:tab/>
      <w:t>PE</w:t>
    </w:r>
    <w:r w:rsidRPr="00CC11EF">
      <w:rPr>
        <w:rStyle w:val="HideTWBExt"/>
      </w:rPr>
      <w:t>&lt;NoPE&gt;</w:t>
    </w:r>
    <w:r>
      <w:t>775.581</w:t>
    </w:r>
    <w:r w:rsidRPr="00CC11EF">
      <w:rPr>
        <w:rStyle w:val="HideTWBExt"/>
      </w:rPr>
      <w:t>&lt;/NoPE&gt;&lt;Version&gt;</w:t>
    </w:r>
    <w:r>
      <w:t>v01-00</w:t>
    </w:r>
    <w:r w:rsidRPr="00CC11EF">
      <w:rPr>
        <w:rStyle w:val="HideTWBExt"/>
      </w:rPr>
      <w:t>&lt;/Version&gt;</w:t>
    </w:r>
  </w:p>
  <w:p w:rsidR="00CC11EF" w:rsidRPr="00987D5B" w:rsidRDefault="00B66595" w:rsidP="00CC11EF">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1EF" w:rsidRDefault="00B66595" w:rsidP="00CC11EF">
    <w:pPr>
      <w:pStyle w:val="EPFooter"/>
    </w:pPr>
    <w:r w:rsidRPr="00CC11EF">
      <w:rPr>
        <w:rStyle w:val="HideTWBExt"/>
      </w:rPr>
      <w:t>&lt;PathFdR&gt;</w:t>
    </w:r>
    <w:r>
      <w:t>AD\1324704LT.docx</w:t>
    </w:r>
    <w:r w:rsidRPr="00CC11EF">
      <w:rPr>
        <w:rStyle w:val="HideTWBExt"/>
      </w:rPr>
      <w:t>&lt;/PathFdR&gt;</w:t>
    </w:r>
    <w:r>
      <w:tab/>
    </w:r>
    <w:r>
      <w:tab/>
      <w:t>PE</w:t>
    </w:r>
    <w:r w:rsidRPr="00CC11EF">
      <w:rPr>
        <w:rStyle w:val="HideTWBExt"/>
      </w:rPr>
      <w:t>&lt;NoPE&gt;</w:t>
    </w:r>
    <w:r>
      <w:t>775.581</w:t>
    </w:r>
    <w:r w:rsidRPr="00CC11EF">
      <w:rPr>
        <w:rStyle w:val="HideTWBExt"/>
      </w:rPr>
      <w:t>&lt;/NoPE&gt;&lt;Version&gt;</w:t>
    </w:r>
    <w:r>
      <w:t>v01-00</w:t>
    </w:r>
    <w:r w:rsidRPr="00CC11EF">
      <w:rPr>
        <w:rStyle w:val="HideTWBExt"/>
      </w:rPr>
      <w:t>&lt;/Version&gt;</w:t>
    </w:r>
  </w:p>
  <w:p w:rsidR="00CC11EF" w:rsidRPr="00987D5B" w:rsidRDefault="00B66595" w:rsidP="00CC11EF">
    <w:pPr>
      <w:pStyle w:val="EPFooter2"/>
    </w:pPr>
    <w:r>
      <w:t>LT</w:t>
    </w:r>
    <w:r>
      <w:tab/>
    </w:r>
    <w:r w:rsidRPr="00CC11EF">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1EF" w:rsidRPr="00987D5B" w:rsidRDefault="00B66595">
      <w:r w:rsidRPr="00987D5B">
        <w:separator/>
      </w:r>
    </w:p>
  </w:footnote>
  <w:footnote w:type="continuationSeparator" w:id="0">
    <w:p w:rsidR="00CC11EF" w:rsidRPr="00987D5B" w:rsidRDefault="00B66595">
      <w:r w:rsidRPr="00987D5B">
        <w:continuationSeparator/>
      </w:r>
    </w:p>
  </w:footnote>
  <w:footnote w:id="1">
    <w:p w:rsidR="00A54DF1" w:rsidRPr="00A54DF1" w:rsidRDefault="00B66595">
      <w:pPr>
        <w:pStyle w:val="FootnoteText"/>
      </w:pPr>
      <w:r>
        <w:rPr>
          <w:rStyle w:val="FootnoteReference"/>
        </w:rPr>
        <w:footnoteRef/>
      </w:r>
      <w:r>
        <w:t xml:space="preserve"> 2021 m. gegužės 20 d. Europos Parlamento, Europos Sąjungos Tarybos ir Europos Komisijos tarpinstitucinis susitarimas dėl privalomo </w:t>
      </w:r>
      <w:r>
        <w:t xml:space="preserve">skaidrumo registro (OL L 207, 2021 6 11, p. 1, ELI: </w:t>
      </w:r>
      <w:hyperlink r:id="rId1" w:tooltip="Prieiga prie šio dokumento suteikiama per ELI sistemoje jam suteiktą URI." w:history="1">
        <w:r>
          <w:rPr>
            <w:rStyle w:val="Hyperlink"/>
          </w:rPr>
          <w:t>http://data.europa.eu/eli/agree_interinstit/2021/611/</w:t>
        </w:r>
        <w:r>
          <w:rPr>
            <w:rStyle w:val="Hyperlink"/>
          </w:rPr>
          <w:t>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DF1" w:rsidRDefault="00A54D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DF1" w:rsidRDefault="00A54D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DF1" w:rsidRDefault="00A54D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AUTHORMFMNU" w:val=" 1"/>
    <w:docVar w:name="CJMNU" w:val="1"/>
    <w:docVar w:name="CODEMNU" w:val="1"/>
    <w:docVar w:name="COM2KEY" w:val="ECON"/>
    <w:docVar w:name="COMKEY" w:val="LIBE"/>
    <w:docVar w:name="CONTRIBUTIONMNU" w:val=" 1"/>
    <w:docVar w:name="DOCCODMNU" w:val=" 1"/>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LT"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4812255 HideTWBExt;}{_x000d__x000a_\s18\ql \li0\ri0\sa120\nowidctlpar\wrapdefault\aspalpha\aspnum\faauto\adjustright\rin0\lin0\itap0 \rtlch\fcs1 \af0\afs20\alang1025 \ltrch\fcs0 \fs24\lang1063\langfe2057\cgrid\langnp1063\langfenp2057 \sbasedon0 \snext18 \spriority0 \styrsid4812255 _x000d__x000a_Normal6a;}{\s19\ql \li0\ri0\nowidctlpar\wrapdefault\aspalpha\aspnum\faauto\adjustright\rin0\lin0\itap0 \rtlch\fcs1 \af0\afs20\alang1025 \ltrch\fcs0 \b\fs24\lang1063\langfe2057\cgrid\langnp1063\langfenp2057 \sbasedon0 \snext19 \spriority0 \styrsid4812255 _x000d__x000a_NormalBold;}{\*\cs20 \additive \v\f1\fs20\cf15 \spriority0 \styrsid4812255 HideTWBInt;}{\s21\qc \li0\ri0\sa240\nowidctlpar\wrapdefault\aspalpha\aspnum\faauto\adjustright\rin0\lin0\itap0 \rtlch\fcs1 \af0\afs20\alang1025 \ltrch\fcs0 _x000d__x000a_\i\fs24\lang1063\langfe2057\cgrid\langnp1063\langfenp2057 \sbasedon0 \snext21 \spriority0 \styrsid481225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2 \spriority0 \styrsid4812255 AmNumberTabs;}{\s23\ql \li0\ri0\sb240\nowidctlpar\wrapdefault\aspalpha\aspnum\faauto\adjustright\rin0\lin0\itap0 \rtlch\fcs1 _x000d__x000a_\af0\afs20\alang1025 \ltrch\fcs0 \b\fs24\lang1063\langfe2057\cgrid\langnp1063\langfenp2057 \sbasedon0 \snext23 \spriority0 \styrsid4812255 NormalBold12b;}}{\*\rsidtbl \rsid24658\rsid223860\rsid735077\rsid1718133\rsid2892074\rsid3565327\rsid4666813_x000d__x000a_\rsid4812255\rsid5532320\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NCIUNSKAS Dalius}{\operator MANCIUNSKAS Dalius}{\creatim\yr2025\mo7\dy29\hr8\min28}{\revtim\yr2025\mo7\dy29\hr8\min28}{\version1}{\edmins0}{\nofpages1}_x000d__x000a_{\nofwords28}{\nofchars201}{\nofcharsws226}{\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4812255\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5532320 \chftnsep _x000d__x000a_\par }}{\*\ftnsepc \ltrpar \pard\plain \ltrpar\ql \li0\ri0\widctlpar\wrapdefault\aspalpha\aspnum\faauto\adjustright\rin0\lin0\itap0 \rtlch\fcs1 \af0\afs20\alang1025 \ltrch\fcs0 \fs24\lang2057\langfe2057\cgrid\langnp2057\langfenp2057 {\rtlch\fcs1 \af0 _x000d__x000a_\ltrch\fcs0 \insrsid5532320 \chftnsepc _x000d__x000a_\par }}{\*\aftnsep \ltrpar \pard\plain \ltrpar\ql \li0\ri0\widctlpar\wrapdefault\aspalpha\aspnum\faauto\adjustright\rin0\lin0\itap0 \rtlch\fcs1 \af0\afs20\alang1025 \ltrch\fcs0 \fs24\lang2057\langfe2057\cgrid\langnp2057\langfenp2057 {\rtlch\fcs1 \af0 _x000d__x000a_\ltrch\fcs0 \insrsid5532320 \chftnsep _x000d__x000a_\par }}{\*\aftnsepc \ltrpar \pard\plain \ltrpar\ql \li0\ri0\widctlpar\wrapdefault\aspalpha\aspnum\faauto\adjustright\rin0\lin0\itap0 \rtlch\fcs1 \af0\afs20\alang1025 \ltrch\fcs0 \fs24\lang2057\langfe2057\cgrid\langnp2057\langfenp2057 {\rtlch\fcs1 \af0 _x000d__x000a_\ltrch\fcs0 \insrsid55323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4812255 \rtlch\fcs1 _x000d__x000a_\af0\afs20\alang1025 \ltrch\fcs0 \b\fs24\lang1063\langfe2057\cgrid\langnp1063\langfenp2057 {\rtlch\fcs1 \af1 \ltrch\fcs0 \cs17\b0\v\fs20\cf9\lang1024\langfe1024\loch\af1\hich\af1\dbch\af31501\noproof\insrsid4812255\charrsid9993563 {\*\bkmkstart restartA}_x000d__x000a_\hich\af1\dbch\af31501\loch\f1 &lt;AmendA&gt;}{\rtlch\fcs1 \af0 \ltrch\fcs0 \insrsid4812255\charrsid9993563 Pakeitimas\tab \tab }{\rtlch\fcs1 \af1 \ltrch\fcs0 _x000d__x000a_\cs17\b0\v\fs20\cf9\lang1024\langfe1024\loch\af1\hich\af1\dbch\af31501\noproof\insrsid4812255\charrsid9993563 \hich\af1\dbch\af31501\loch\f1 &lt;NumAmA&gt;}{\rtlch\fcs1 \af0 \ltrch\fcs0 \insrsid4812255\charrsid9993563 #}{\rtlch\fcs1 \af1 \ltrch\fcs0 _x000d__x000a_\cs20\v\f1\fs20\cf15\insrsid4812255\charrsid9993563 ENMIENDA@NRAM@}{\rtlch\fcs1 \af0 \ltrch\fcs0 \insrsid4812255\charrsid9993563 #}{\rtlch\fcs1 \af1 \ltrch\fcs0 _x000d__x000a_\cs17\b0\v\fs20\cf9\lang1024\langfe1024\loch\af1\hich\af1\dbch\af31501\noproof\insrsid4812255\charrsid9993563 \hich\af1\dbch\af31501\loch\f1 &lt;/NumAmA&gt;}{\rtlch\fcs1 \af0 \ltrch\fcs0 \insrsid4812255\charrsid9993563 _x000d__x000a_\par }\pard\plain \ltrpar\s23\ql \li0\ri0\sb240\keepn\nowidctlpar\wrapdefault\aspalpha\aspnum\faauto\adjustright\rin0\lin0\itap0\pararsid4812255 \rtlch\fcs1 \af0\afs20\alang1025 \ltrch\fcs0 \b\fs24\lang1063\langfe2057\cgrid\langnp1063\langfenp2057 {_x000d__x000a_\rtlch\fcs1 \af1 \ltrch\fcs0 \cs17\b0\v\fs20\cf9\lang1024\langfe1024\loch\af1\hich\af1\dbch\af31501\noproof\insrsid4812255\charrsid9993563 \hich\af1\dbch\af31501\loch\f1 &lt;DocAmend&gt;}{\rtlch\fcs1 \af349 \ltrch\fcs0 \f349\insrsid4812255\charrsid9993563 Teis_x000d__x000a_\'ebk\'fbros rezoliucjos projektas}{\rtlch\fcs1 \af1 \ltrch\fcs0 \cs17\b0\v\fs20\cf9\lang1024\langfe1024\loch\af1\hich\af1\dbch\af31501\noproof\insrsid4812255\charrsid9993563 \hich\af1\dbch\af31501\loch\f1 &lt;/DocAmend&gt;}{\rtlch\fcs1 \af0 \ltrch\fcs0 _x000d__x000a_\insrsid4812255\charrsid9993563 _x000d__x000a_\par }\pard\plain \ltrpar\s19\ql \li0\ri0\nowidctlpar\wrapdefault\aspalpha\aspnum\faauto\adjustright\rin0\lin0\itap0\pararsid4812255 \rtlch\fcs1 \af0\afs20\alang1025 \ltrch\fcs0 \b\fs24\lang1063\langfe2057\cgrid\langnp1063\langfenp2057 {\rtlch\fcs1 \af1 _x000d__x000a_\ltrch\fcs0 \cs17\b0\v\fs20\cf9\lang1024\langfe1024\loch\af1\hich\af1\dbch\af31501\noproof\insrsid4812255\charrsid9993563 \hich\af1\dbch\af31501\loch\f1 &lt;Article&gt;}{\rtlch\fcs1 \af0 \ltrch\fcs0 \cf10\insrsid4812255\charrsid13373935 \u9668\'3f}{\rtlch\fcs1 _x000d__x000a_\af0 \ltrch\fcs0 \insrsid4812255\charrsid9993563 #}{\rtlch\fcs1 \af1 \ltrch\fcs0 \cs20\v\f1\fs20\cf15\insrsid4812255\charrsid9993563 TVTRESPART@RESPART@}{\rtlch\fcs1 \af0 \ltrch\fcs0 \insrsid4812255\charrsid9993563 #}{\rtlch\fcs1 \af0 \ltrch\fcs0 _x000d__x000a_\cf10\insrsid4812255\charrsid13373935 \u9658\'3f}{\rtlch\fcs1 \af1 \ltrch\fcs0 \cs17\b0\v\fs20\cf9\lang1024\langfe1024\loch\af1\hich\af1\dbch\af31501\noproof\insrsid4812255\charrsid9993563 \hich\af1\dbch\af31501\loch\f1 &lt;/Article&gt;}{\rtlch\fcs1 \af0 _x000d__x000a_\ltrch\fcs0 \insrsid4812255\charrsid9993563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812255\charrsid9993563 \cell }\pard\plain \ltrpar\ql \li0\ri0\widctlpar\intbl\wrapdefault\aspalpha\aspnum\faauto\adjustright\rin0\lin0 \rtlch\fcs1 _x000d__x000a_\af0\afs20\alang1025 \ltrch\fcs0 \fs24\lang2057\langfe2057\cgrid\langnp2057\langfenp2057 {\rtlch\fcs1 \af0 \ltrch\fcs0 \insrsid4812255\charrsid9993563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1063\langfe2057\cgrid\langnp1063\langfenp2057 {\rtlch\fcs1 \af349 \ltrch\fcs0 \f349\insrsid4812255\charrsid9993563 Teis\'ebk\'fbros rezoliucjos projektas}{\rtlch\fcs1 \af0 \ltrch\fcs0 \insrsid4812255\charrsid9993563 \cell Pakeitimas\cell _x000d__x000a_}\pard\plain \ltrpar\ql \li0\ri0\widctlpar\intbl\wrapdefault\aspalpha\aspnum\faauto\adjustright\rin0\lin0 \rtlch\fcs1 \af0\afs20\alang1025 \ltrch\fcs0 \fs24\lang2057\langfe2057\cgrid\langnp2057\langfenp2057 {\rtlch\fcs1 \af0 \ltrch\fcs0 _x000d__x000a_\insrsid4812255\charrsid9993563 \trowd \irow1\irowband1\ltrrow\ts11\trqc\trgaph340\trleft0\trftsWidth1\trftsWidthB3\trpaddl340\trpaddr340\trpaddfl3\trpaddft3\trpaddfb3\trpaddfr3\tblrsid14374628\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1063\langfe2057\cgrid\langnp1063\langfenp2057 {\rtlch\fcs1 \af0 _x000d__x000a_\ltrch\fcs0 \insrsid4812255\charrsid9993563 #}{\rtlch\fcs1 \af1 \ltrch\fcs0 \cs20\v\f1\fs20\cf15\insrsid4812255\charrsid9993563 Tekstas}{\rtlch\fcs1 \af0 \ltrch\fcs0 \insrsid4812255\charrsid9993563 #\cell #}{\rtlch\fcs1 \af1 \ltrch\fcs0 _x000d__x000a_\cs20\v\f1\fs20\cf15\insrsid4812255\charrsid9993563 Tekstas}{\rtlch\fcs1 \af0 \ltrch\fcs0 \insrsid4812255\charrsid9993563 #}{\rtlch\fcs1 \af0\afs24 \ltrch\fcs0 \insrsid4812255\charrsid9993563 \cell }\pard\plain \ltrpar_x000d__x000a_\ql \li0\ri0\widctlpar\intbl\wrapdefault\aspalpha\aspnum\faauto\adjustright\rin0\lin0 \rtlch\fcs1 \af0\afs20\alang1025 \ltrch\fcs0 \fs24\lang2057\langfe2057\cgrid\langnp2057\langfenp2057 {\rtlch\fcs1 \af0 \ltrch\fcs0 \insrsid4812255\charrsid9993563 _x000d__x000a_\trowd \irow2\irowband2\lastrow \ltrrow\ts11\trqc\trgaph340\trleft0\trftsWidth1\trftsWidthB3\trpaddl340\trpaddr340\trpaddfl3\trpaddft3\trpaddfb3\trpaddfr3\tblrsid14374628\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4812255\charrsid9993563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a_x000d__x000a_0f11520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T"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1452581 HideTWBExt;}{_x000d__x000a_\s18\ql \li0\ri0\sa120\nowidctlpar\wrapdefault\aspalpha\aspnum\faauto\adjustright\rin0\lin0\itap0 \rtlch\fcs1 \af0\afs20\alang1025 \ltrch\fcs0 \fs24\lang1063\langfe2057\cgrid\langnp1063\langfenp2057 \sbasedon0 \snext18 \spriority0 \styrsid1452581 _x000d__x000a_Normal6a;}{\s19\ql \li0\ri0\nowidctlpar\wrapdefault\aspalpha\aspnum\faauto\adjustright\rin0\lin0\itap0 \rtlch\fcs1 \af0\afs20\alang1025 \ltrch\fcs0 \b\fs24\lang1063\langfe2057\cgrid\langnp1063\langfenp2057 \sbasedon0 \snext19 \spriority0 \styrsid1452581 _x000d__x000a_NormalBold;}{\s20\ql \li0\ri0\sa240\nowidctlpar\wrapdefault\aspalpha\aspnum\faauto\adjustright\rin0\lin0\itap0 \rtlch\fcs1 \af0\afs20\alang1025 \ltrch\fcs0 \i\fs24\lang1063\langfe2057\cgrid\langnp1063\langfenp2057 _x000d__x000a_\sbasedon0 \snext20 \spriority0 \styrsid1452581 AmJustText;}{\s21\qc \li0\ri0\sb240\sa240\nowidctlpar\wrapdefault\aspalpha\aspnum\faauto\adjustright\rin0\lin0\itap0 \rtlch\fcs1 \af0\afs20\alang1025 \ltrch\fcs0 _x000d__x000a_\i\fs24\lang1063\langfe2057\cgrid\langnp1063\langfenp2057 \sbasedon0 \snext21 \spriority0 \styrsid1452581 AmCrossRef;}{\*\cs22 \additive \v\f1\fs20\cf15 \spriority0 \styrsid1452581 HideTWBInt;}{_x000d__x000a_\s23\qc \li0\ri0\sb240\sa240\keepn\nowidctlpar\wrapdefault\aspalpha\aspnum\faauto\adjustright\rin0\lin0\itap0 \rtlch\fcs1 \af0\afs20\alang1025 \ltrch\fcs0 \i\fs24\lang1063\langfe2057\cgrid\langnp1063\langfenp2057 _x000d__x000a_\sbasedon0 \snext20 \spriority0 \styrsid1452581 AmJustTitle;}{\s24\qc \li0\ri0\sa240\nowidctlpar\wrapdefault\aspalpha\aspnum\faauto\adjustright\rin0\lin0\itap0 \rtlch\fcs1 \af0\afs20\alang1025 \ltrch\fcs0 _x000d__x000a_\i\fs24\lang1063\langfe2057\cgrid\langnp1063\langfenp2057 \sbasedon0 \snext24 \spriority0 \styrsid145258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5 \spriority0 \styrsid1452581 AmNumberTabs;}{\s26\ql \li0\ri0\sb240\nowidctlpar\wrapdefault\aspalpha\aspnum\faauto\adjustright\rin0\lin0\itap0 \rtlch\fcs1 _x000d__x000a_\af0\afs20\alang1025 \ltrch\fcs0 \b\fs24\lang1063\langfe2057\cgrid\langnp1063\langfenp2057 \sbasedon0 \snext26 \spriority0 \styrsid1452581 NormalBold12b;}}{\*\rsidtbl \rsid24658\rsid223860\rsid735077\rsid1452581\rsid1718133\rsid2892074\rsid3565327_x000d__x000a_\rsid4666813\rsid6641733\rsid7823322\rsid9448871\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NCIUNSKAS Dalius}{\operator MANCIUNSKAS Dalius}{\creatim\yr2025\mo7\dy29\hr8\min28}{\revtim\yr2025\mo7\dy29\hr8\min28}{\version1}{\edmins0}{\nofpages1}_x000d__x000a_{\nofwords83}{\nofchars597}{\nofcharsws669}{\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1452581\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9448871 \chftnsep _x000d__x000a_\par }}{\*\ftnsepc \ltrpar \pard\plain \ltrpar\ql \li0\ri0\widctlpar\wrapdefault\aspalpha\aspnum\faauto\adjustright\rin0\lin0\itap0 \rtlch\fcs1 \af0\afs20\alang1025 \ltrch\fcs0 \fs24\lang2057\langfe2057\cgrid\langnp2057\langfenp2057 {\rtlch\fcs1 \af0 _x000d__x000a_\ltrch\fcs0 \insrsid9448871 \chftnsepc _x000d__x000a_\par }}{\*\aftnsep \ltrpar \pard\plain \ltrpar\ql \li0\ri0\widctlpar\wrapdefault\aspalpha\aspnum\faauto\adjustright\rin0\lin0\itap0 \rtlch\fcs1 \af0\afs20\alang1025 \ltrch\fcs0 \fs24\lang2057\langfe2057\cgrid\langnp2057\langfenp2057 {\rtlch\fcs1 \af0 _x000d__x000a_\ltrch\fcs0 \insrsid9448871 \chftnsep _x000d__x000a_\par }}{\*\aftnsepc \ltrpar \pard\plain \ltrpar\ql \li0\ri0\widctlpar\wrapdefault\aspalpha\aspnum\faauto\adjustright\rin0\lin0\itap0 \rtlch\fcs1 \af0\afs20\alang1025 \ltrch\fcs0 \fs24\lang2057\langfe2057\cgrid\langnp2057\langfenp2057 {\rtlch\fcs1 \af0 _x000d__x000a_\ltrch\fcs0 \insrsid94488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52581 \rtlch\fcs1 _x000d__x000a_\af0\afs20\alang1025 \ltrch\fcs0 \b\fs24\lang1063\langfe2057\cgrid\langnp1063\langfenp2057 {\rtlch\fcs1 \af1 \ltrch\fcs0 \cs17\b0\v\fs20\cf9\lang1024\langfe1024\loch\af1\hich\af1\dbch\af31501\noproof\insrsid1452581\charrsid9993563 {\*\bkmkstart restartB}_x000d__x000a_\hich\af1\dbch\af31501\loch\f1 &lt;AmendB&gt;}{\rtlch\fcs1 \af0 \ltrch\fcs0 \insrsid1452581\charrsid9993563 Pakeitimas\tab \tab }{\rtlch\fcs1 \af1 \ltrch\fcs0 _x000d__x000a_\cs17\b0\v\fs20\cf9\lang1024\langfe1024\loch\af1\hich\af1\dbch\af31501\noproof\insrsid1452581\charrsid9993563 \hich\af1\dbch\af31501\loch\f1 &lt;NumAmB&gt;}{\rtlch\fcs1 \af0 \ltrch\fcs0 \insrsid1452581\charrsid9993563 #}{\rtlch\fcs1 \af1 \ltrch\fcs0 _x000d__x000a_\cs22\v\f1\fs20\cf15\insrsid1452581\charrsid9993563 ENMIENDA@NRAM@}{\rtlch\fcs1 \af0 \ltrch\fcs0 \insrsid1452581\charrsid9993563 #}{\rtlch\fcs1 \af1 \ltrch\fcs0 _x000d__x000a_\cs17\b0\v\fs20\cf9\lang1024\langfe1024\loch\af1\hich\af1\dbch\af31501\noproof\insrsid1452581\charrsid9993563 \hich\af1\dbch\af31501\loch\f1 &lt;/NumAmB&gt;}{\rtlch\fcs1 \af0 \ltrch\fcs0 \insrsid1452581\charrsid9993563 _x000d__x000a_\par }\pard\plain \ltrpar\s26\ql \li0\ri0\sb240\keepn\nowidctlpar\wrapdefault\aspalpha\aspnum\faauto\adjustright\rin0\lin0\itap0\pararsid1452581 \rtlch\fcs1 \af0\afs20\alang1025 \ltrch\fcs0 \b\fs24\lang1063\langfe2057\cgrid\langnp1063\langfenp2057 {_x000d__x000a_\rtlch\fcs1 \af1 \ltrch\fcs0 \cs17\b0\v\fs20\cf9\lang1024\langfe1024\loch\af1\hich\af1\dbch\af31501\noproof\insrsid1452581\charrsid9993563 \hich\af1\dbch\af31501\loch\f1 &lt;DocAmend&gt;}{\rtlch\fcs1 \af0 \ltrch\fcs0 \insrsid1452581\charrsid9993563 =#}{_x000d__x000a_\rtlch\fcs1 \af1 \ltrch\fcs0 \cs22\v\f1\fs20\cf15\insrsid1452581\charrsid9993563 MNU[OPTPROPOSALCOD][OPTPROPOSALCNS][OPTPROPOSALNLE][OPTPROPOSALINL]@CHOICE@CODEMNU}{\rtlch\fcs1 \af0 \ltrch\fcs0 \insrsid1452581\charrsid9993563 ##}{\rtlch\fcs1 \af1 _x000d__x000a_\ltrch\fcs0 \cs22\v\f1\fs20\cf15\insrsid1452581\charrsid9993563 MNU[AMACTYES][NOTAPP]@CHOICE@AMACTMNU}{\rtlch\fcs1 \af0 \ltrch\fcs0 \insrsid1452581\charrsid9993563 #}{\rtlch\fcs1 \af1 \ltrch\fcs0 _x000d__x000a_\cs17\b0\v\fs20\cf9\lang1024\langfe1024\loch\af1\hich\af1\dbch\af31501\noproof\insrsid1452581\charrsid9993563 \hich\af1\dbch\af31501\loch\f1 &lt;/DocAmend&gt;}{\rtlch\fcs1 \af0 \ltrch\fcs0 \insrsid1452581\charrsid9993563 _x000d__x000a_\par }\pard\plain \ltrpar\s19\ql \li0\ri0\keepn\nowidctlpar\wrapdefault\aspalpha\aspnum\faauto\adjustright\rin0\lin0\itap0\pararsid1452581 \rtlch\fcs1 \af0\afs20\alang1025 \ltrch\fcs0 \b\fs24\lang1063\langfe2057\cgrid\langnp1063\langfenp2057 {\rtlch\fcs1 \af1 _x000d__x000a_\ltrch\fcs0 \cs17\b0\v\fs20\cf9\lang1024\langfe1024\loch\af1\hich\af1\dbch\af31501\noproof\insrsid1452581\charrsid9993563 \hich\af1\dbch\af31501\loch\f1 &lt;Article&gt;}{\rtlch\fcs1 \af0 \ltrch\fcs0 \insrsid1452581\charrsid9993563 #}{\rtlch\fcs1 \af1 _x000d__x000a_\ltrch\fcs0 \cs22\v\f1\fs20\cf15\insrsid1452581\charrsid9993563 MNU[AMACTPARTYES][AMACTPARTNO]@CHOICE@AMACTMNU}{\rtlch\fcs1 \af0 \ltrch\fcs0 \insrsid1452581\charrsid9993563 #}{\rtlch\fcs1 \af1 \ltrch\fcs0 _x000d__x000a_\cs17\b0\v\fs20\cf9\lang1024\langfe1024\loch\af1\hich\af1\dbch\af31501\noproof\insrsid1452581\charrsid9993563 \hich\af1\dbch\af31501\loch\f1 &lt;/Article&gt;}{\rtlch\fcs1 \af0 \ltrch\fcs0 \insrsid1452581\charrsid9993563 _x000d__x000a_\par }\pard\plain \ltrpar\ql \li0\ri0\keepn\widctlpar\wrapdefault\aspalpha\aspnum\faauto\adjustright\rin0\lin0\itap0\pararsid1452581 \rtlch\fcs1 \af0\afs20\alang1025 \ltrch\fcs0 \fs24\lang2057\langfe2057\cgrid\langnp2057\langfenp2057 {\rtlch\fcs1 \af1 _x000d__x000a_\ltrch\fcs0 \cs17\v\fs20\cf9\lang1024\langfe1024\loch\af1\hich\af1\dbch\af31501\noproof\insrsid1452581\charrsid9993563 \hich\af1\dbch\af31501\loch\f1 &lt;DocAmend2&gt;&lt;OptDel&gt;}{\rtlch\fcs1 \af0 \ltrch\fcs0 \insrsid1452581\charrsid9993563 #}{\rtlch\fcs1 \af1 _x000d__x000a_\ltrch\fcs0 \cs22\v\f1\fs20\cf15\insrsid1452581\charrsid9993563 MNU[OPTNRACTYES][NOTAPP]@CHOICE@AMACTMNU}{\rtlch\fcs1 \af0 \ltrch\fcs0 \insrsid1452581\charrsid9993563 #}{\rtlch\fcs1 \af1 \ltrch\fcs0 _x000d__x000a_\cs17\v\fs20\cf9\lang1024\langfe1024\loch\af1\hich\af1\dbch\af31501\noproof\insrsid1452581\charrsid9993563 \hich\af1\dbch\af31501\loch\f1 &lt;/OptDel&gt;&lt;/DocAmend2&gt;}{\rtlch\fcs1 \af0 \ltrch\fcs0 \insrsid1452581\charrsid9993563 _x000d__x000a_\par }\pard \ltrpar\ql \li0\ri0\widctlpar\wrapdefault\aspalpha\aspnum\faauto\adjustright\rin0\lin0\itap0\pararsid1452581 {\rtlch\fcs1 \af1 \ltrch\fcs0 \cs17\v\fs20\cf9\lang1024\langfe1024\loch\af1\hich\af1\dbch\af31501\noproof\insrsid1452581\charrsid9993563 _x000d__x000a_\hich\af1\dbch\af31501\loch\f1 &lt;Article2&gt;&lt;OptDel&gt;}{\rtlch\fcs1 \af0 \ltrch\fcs0 \insrsid1452581\charrsid9993563 #}{\rtlch\fcs1 \af1 \ltrch\fcs0 \cs22\v\f1\fs20\cf15\insrsid1452581\charrsid9993563 MNU[OPTACTPARTYES][NOTAPP]@CHOICE@AMACTMNU}{\rtlch\fcs1 _x000d__x000a_\af0 \ltrch\fcs0 \insrsid1452581\charrsid9993563 #}{\rtlch\fcs1 \af1 \ltrch\fcs0 \cs17\v\fs20\cf9\lang1024\langfe1024\loch\af1\hich\af1\dbch\af31501\noproof\insrsid1452581\charrsid9993563 \hich\af1\dbch\af31501\loch\f1 &lt;/OptDel&gt;&lt;/Article2&gt;}{\rtlch\fcs1 _x000d__x000a_\af0 \ltrch\fcs0 \insrsid1452581\charrsid9993563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452581\charrsid9993563 \cell }\pard\plain \ltrpar\ql \li0\ri0\widctlpar\intbl\wrapdefault\aspalpha\aspnum\faauto\adjustright\rin0\lin0 \rtlch\fcs1 _x000d__x000a_\af0\afs20\alang1025 \ltrch\fcs0 \fs24\lang2057\langfe2057\cgrid\langnp2057\langfenp2057 {\rtlch\fcs1 \af0 \ltrch\fcs0 \insrsid1452581\charrsid9993563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1063\langfe2057\cgrid\langnp1063\langfenp2057 {\rtlch\fcs1 \af0 \ltrch\fcs0 _x000d__x000a_\insrsid1452581\charrsid9993563 #}{\rtlch\fcs1 \af1 \ltrch\fcs0 \cs22\v\f1\fs20\cf15\insrsid1452581\charrsid9993563 MNU[OPTLEFTAMACT][LEFTPROP]@CHOICE@AMACTMNU}{\rtlch\fcs1 \af0 \ltrch\fcs0 \insrsid1452581\charrsid9993563 #\cell Pakeitimas\cell _x000d__x000a_}\pard\plain \ltrpar\ql \li0\ri0\widctlpar\intbl\wrapdefault\aspalpha\aspnum\faauto\adjustright\rin0\lin0 \rtlch\fcs1 \af0\afs20\alang1025 \ltrch\fcs0 \fs24\lang2057\langfe2057\cgrid\langnp2057\langfenp2057 {\rtlch\fcs1 \af0 \ltrch\fcs0 _x000d__x000a_\insrsid1452581\charrsid9993563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1063\langfe2057\cgrid\langnp1063\langfenp2057 {\rtlch\fcs1 \af0 _x000d__x000a_\ltrch\fcs0 \insrsid1452581\charrsid9993563 #}{\rtlch\fcs1 \af1 \ltrch\fcs0 \cs22\v\f1\fs20\cf15\insrsid1452581\charrsid9993563 Tekstas}{\rtlch\fcs1 \af0 \ltrch\fcs0 \insrsid1452581\charrsid9993563 #\cell #}{\rtlch\fcs1 \af1 \ltrch\fcs0 _x000d__x000a_\cs22\v\f1\fs20\cf15\insrsid1452581\charrsid9993563 Tekstas}{\rtlch\fcs1 \af0 \ltrch\fcs0 \insrsid1452581\charrsid9993563 #}{\rtlch\fcs1 \af0\afs24 \ltrch\fcs0 \insrsid1452581\charrsid9993563 \cell }\pard\plain \ltrpar_x000d__x000a_\ql \li0\ri0\widctlpar\intbl\wrapdefault\aspalpha\aspnum\faauto\adjustright\rin0\lin0 \rtlch\fcs1 \af0\afs20\alang1025 \ltrch\fcs0 \fs24\lang2057\langfe2057\cgrid\langnp2057\langfenp2057 {\rtlch\fcs1 \af0 \ltrch\fcs0 \insrsid1452581\charrsid9993563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1452581 \rtlch\fcs1 \af0\afs20\alang1025 \ltrch\fcs0 \i\fs24\lang1063\langfe2057\cgrid\langnp1063\langfenp2057 {\rtlch\fcs1 \af1 \ltrch\fcs0 _x000d__x000a_\cs17\i0\v\fs20\cf9\lang1024\langfe1024\loch\af1\hich\af1\dbch\af31501\noproof\insrsid1452581\charrsid9993563 \hich\af1\dbch\af31501\loch\f1 &lt;OptDel&gt;}{\rtlch\fcs1 \af0 \ltrch\fcs0 \insrsid1452581\charrsid9993563 #}{\rtlch\fcs1 \af1 \ltrch\fcs0 _x000d__x000a_\cs22\v\f1\fs20\cf15\insrsid1452581\charrsid9993563 MNU[CROSSREFNO][CROSSREFYES]@CHOICE@}{\rtlch\fcs1 \af0 \ltrch\fcs0 \insrsid1452581\charrsid9993563 #}{\rtlch\fcs1 \af1 \ltrch\fcs0 _x000d__x000a_\cs17\i0\v\fs20\cf9\lang1024\langfe1024\loch\af1\hich\af1\dbch\af31501\noproof\insrsid1452581\charrsid9993563 \hich\af1\dbch\af31501\loch\f1 &lt;/OptDel&gt;}{\rtlch\fcs1 \af0 \ltrch\fcs0 \insrsid1452581\charrsid9993563 _x000d__x000a_\par }\pard\plain \ltrpar\s23\qc \li0\ri0\sb240\sa240\keepn\nowidctlpar\wrapdefault\aspalpha\aspnum\faauto\adjustright\rin0\lin0\itap0\pararsid1452581 \rtlch\fcs1 \af0\afs20\alang1025 \ltrch\fcs0 \i\fs24\lang1063\langfe2057\cgrid\langnp1063\langfenp2057 {_x000d__x000a_\rtlch\fcs1 \af1 \ltrch\fcs0 \cs17\i0\v\fs20\cf9\lang1024\langfe1024\loch\af1\hich\af1\dbch\af31501\noproof\insrsid1452581\charrsid9993563 \hich\af1\dbch\af31501\loch\f1 &lt;TitreJust&gt;}{\rtlch\fcs1 \af0 \ltrch\fcs0 \insrsid1452581\charrsid9993563 Pagrindimas_x000d__x000a_}{\rtlch\fcs1 \af1 \ltrch\fcs0 \cs17\i0\v\fs20\cf9\lang1024\langfe1024\loch\af1\hich\af1\dbch\af31501\noproof\insrsid1452581\charrsid9993563 \hich\af1\dbch\af31501\loch\f1 &lt;/TitreJust&gt;}{\rtlch\fcs1 \af0 \ltrch\fcs0 \insrsid1452581\charrsid9993563 _x000d__x000a_\par }\pard\plain \ltrpar\s20\ql \li0\ri0\sa240\nowidctlpar\wrapdefault\aspalpha\aspnum\faauto\adjustright\rin0\lin0\itap0\pararsid1452581 \rtlch\fcs1 \af0\afs20\alang1025 \ltrch\fcs0 \i\fs24\lang1063\langfe2057\cgrid\langnp1063\langfenp2057 {\rtlch\fcs1 \af1 _x000d__x000a_\ltrch\fcs0 \cs17\i0\v\fs20\cf9\lang1024\langfe1024\loch\af1\hich\af1\dbch\af31501\noproof\insrsid1452581\charrsid9993563 \hich\af1\dbch\af31501\loch\f1 &lt;OptDelPrev&gt;}{\rtlch\fcs1 \af0 \ltrch\fcs0 \insrsid1452581\charrsid9993563 #}{\rtlch\fcs1 \af1 _x000d__x000a_\ltrch\fcs0 \cs22\v\f1\fs20\cf15\insrsid1452581\charrsid9993563 MNU[TEXTJUSTYES][TEXTJUSTNO]@CHOICE@}{\rtlch\fcs1 \af0 \ltrch\fcs0 \insrsid1452581\charrsid9993563 #}{\rtlch\fcs1 \af1 \ltrch\fcs0 _x000d__x000a_\cs17\i0\v\fs20\cf9\lang1024\langfe1024\loch\af1\hich\af1\dbch\af31501\noproof\insrsid1452581\charrsid9993563 \hich\af1\dbch\af31501\loch\f1 &lt;/OptDelPrev&gt;}{\rtlch\fcs1 \af0 \ltrch\fcs0 \insrsid1452581\charrsid9993563 _x000d__x000a_\par }\pard\plain \ltrpar\ql \li0\ri0\widctlpar\wrapdefault\aspalpha\aspnum\faauto\adjustright\rin0\lin0\itap0\pararsid1452581 \rtlch\fcs1 \af0\afs20\alang1025 \ltrch\fcs0 \fs24\lang2057\langfe2057\cgrid\langnp2057\langfenp2057 {\rtlch\fcs1 \af1 \ltrch\fcs0 _x000d__x000a_\cs17\v\fs20\cf9\lang1024\langfe1024\loch\af1\hich\af1\dbch\af31501\noproof\insrsid1452581\charrsid999356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a_x000d__x000a_7511520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797704 HideTWBExt;}{_x000d__x000a_\s18\ql \li0\ri0\sa120\nowidctlpar\wrapdefault\aspalpha\aspnum\faauto\adjustright\rin0\lin0\itap0 \rtlch\fcs1 \af0\afs20\alang1025 \ltrch\fcs0 \fs24\lang2057\langfe2057\cgrid\langnp2057\langfenp2057 \sbasedon0 \snext18 \spriority0 \styrsid4797704 _x000d__x000a_Normal6a;}{\s19\ql \li0\ri0\nowidctlpar\wrapdefault\aspalpha\aspnum\faauto\adjustright\rin0\lin0\itap0 \rtlch\fcs1 \af0\afs20\alang1025 \ltrch\fcs0 \b\fs24\lang2057\langfe2057\cgrid\langnp2057\langfenp2057 \sbasedon0 \snext19 \spriority0 \styrsid4797704 _x000d__x000a_NormalBold;}{\s20\qc \li0\ri0\sa240\nowidctlpar\wrapdefault\aspalpha\aspnum\faauto\adjustright\rin0\lin0\itap0 \rtlch\fcs1 \af0\afs20\alang1025 \ltrch\fcs0 \i\fs24\lang2057\langfe2057\cgrid\langnp2057\langfenp2057 _x000d__x000a_\sbasedon0 \snext20 \spriority0 \styrsid479770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797704 AmNumberTabs;}{\s22\ql \li0\ri0\sb240\nowidctlpar\wrapdefault\aspalpha\aspnum\faauto\adjustright\rin0\lin0\itap0 \rtlch\fcs1 _x000d__x000a_\af0\afs20\alang1025 \ltrch\fcs0 \b\fs24\lang2057\langfe2057\cgrid\langnp2057\langfenp2057 \sbasedon0 \snext22 \spriority0 \styrsid4797704 NormalBold12b;}}{\*\rsidtbl \rsid24658\rsid223860\rsid735077\rsid1718133\rsid2892074\rsid3565327\rsid4666813_x000d__x000a_\rsid4797704\rsid6641733\rsid7823322\rsid8672388\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NCIUNSKAS Dalius}{\operator MANCIUNSKAS Dalius}{\creatim\yr2025\mo7\dy29\hr8\min27}{\revtim\yr2025\mo7\dy29\hr8\min27}{\version1}{\edmins0}{\nofpages1}_x000d__x000a_{\nofwords20}{\nofchars143}{\nofcharsws161}{\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4797704\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8672388 \chftnsep _x000d__x000a_\par }}{\*\ftnsepc \ltrpar \pard\plain \ltrpar\ql \li0\ri0\widctlpar\wrapdefault\aspalpha\aspnum\faauto\adjustright\rin0\lin0\itap0 \rtlch\fcs1 \af0\afs20\alang1025 \ltrch\fcs0 \fs24\lang2057\langfe2057\cgrid\langnp2057\langfenp2057 {\rtlch\fcs1 \af0 _x000d__x000a_\ltrch\fcs0 \insrsid8672388 \chftnsepc _x000d__x000a_\par }}{\*\aftnsep \ltrpar \pard\plain \ltrpar\ql \li0\ri0\widctlpar\wrapdefault\aspalpha\aspnum\faauto\adjustright\rin0\lin0\itap0 \rtlch\fcs1 \af0\afs20\alang1025 \ltrch\fcs0 \fs24\lang2057\langfe2057\cgrid\langnp2057\langfenp2057 {\rtlch\fcs1 \af0 _x000d__x000a_\ltrch\fcs0 \insrsid8672388 \chftnsep _x000d__x000a_\par }}{\*\aftnsepc \ltrpar \pard\plain \ltrpar\ql \li0\ri0\widctlpar\wrapdefault\aspalpha\aspnum\faauto\adjustright\rin0\lin0\itap0 \rtlch\fcs1 \af0\afs20\alang1025 \ltrch\fcs0 \fs24\lang2057\langfe2057\cgrid\langnp2057\langfenp2057 {\rtlch\fcs1 \af0 _x000d__x000a_\ltrch\fcs0 \insrsid86723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797704 \rtlch\fcs1 _x000d__x000a_\af0\afs20\alang1025 \ltrch\fcs0 \b\fs24\lang2057\langfe2057\cgrid\langnp2057\langfenp2057 {\rtlch\fcs1 \af0 \ltrch\fcs0 \cs17\b0\v\fs20\cf9\lang1024\langfe1024\loch\af1\hich\af1\dbch\af31501\noproof\insrsid4797704\charrsid15879488 {\*\bkmkstart restartA}_x000d__x000a_\hich\af1\dbch\af31501\loch\f1 &lt;AmendA&gt;}{\rtlch\fcs1 \af0 \ltrch\fcs0 \insrsid4797704\charrsid15879488 [ZAMENDMENT]\tab \tab }{\rtlch\fcs1 \af0 \ltrch\fcs0 _x000d__x000a_\cs17\b0\v\fs20\cf9\lang1024\langfe1024\loch\af1\hich\af1\dbch\af31501\noproof\insrsid4797704\charrsid15879488 \hich\af1\dbch\af31501\loch\f1 &lt;NumAmA&gt;}{\rtlch\fcs1 \af0 \ltrch\fcs0 \insrsid4797704\charrsid15879488 [ZNRAM]}{\rtlch\fcs1 \af0 \ltrch\fcs0 _x000d__x000a_\cs17\b0\v\fs20\cf9\lang1024\langfe1024\loch\af1\hich\af1\dbch\af31501\noproof\insrsid4797704\charrsid15879488 \hich\af1\dbch\af31501\loch\f1 &lt;/NumAmA&gt;}{\rtlch\fcs1 \af0 \ltrch\fcs0 \insrsid4797704\charrsid15879488 _x000d__x000a_\par }\pard\plain \ltrpar\s22\ql \li0\ri0\sb240\keepn\nowidctlpar\wrapdefault\aspalpha\aspnum\faauto\adjustright\rin0\lin0\itap0\pararsid4797704 \rtlch\fcs1 \af0\afs20\alang1025 \ltrch\fcs0 \b\fs24\lang2057\langfe2057\cgrid\langnp2057\langfenp2057 {_x000d__x000a_\rtlch\fcs1 \af0 \ltrch\fcs0 \cs17\b0\v\fs20\cf9\lang1024\langfe1024\loch\af1\hich\af1\dbch\af31501\noproof\langnp1036\insrsid4797704\charrsid11356624 \hich\af1\dbch\af31501\loch\f1 &lt;DocAmend&gt;}{\rtlch\fcs1 \af0 \ltrch\fcs0 _x000d__x000a_\lang1036\langfe2057\langnp1036\insrsid4797704\charrsid11356624 [ZRESOLUTION]}{\rtlch\fcs1 \af0 \ltrch\fcs0 \cs17\b0\v\fs20\cf9\lang1024\langfe1024\loch\af1\hich\af1\dbch\af31501\noproof\langnp1036\insrsid4797704\charrsid11356624 _x000d__x000a_\hich\af1\dbch\af31501\loch\f1 &lt;/DocAmend&gt;}{\rtlch\fcs1 \af0 \ltrch\fcs0 \lang1036\langfe2057\langnp1036\insrsid4797704\charrsid11356624 _x000d__x000a_\par }\pard\plain \ltrpar\s19\ql \li0\ri0\nowidctlpar\wrapdefault\aspalpha\aspnum\faauto\adjustright\rin0\lin0\itap0\pararsid4797704 \rtlch\fcs1 \af0\afs20\alang1025 \ltrch\fcs0 \b\fs24\lang2057\langfe2057\cgrid\langnp2057\langfenp2057 {\rtlch\fcs1 \af0 _x000d__x000a_\ltrch\fcs0 \cs17\b0\v\fs20\cf9\lang1024\langfe1024\loch\af1\hich\af1\dbch\af31501\noproof\langnp1036\insrsid4797704\charrsid11356624 \hich\af1\dbch\af31501\loch\f1 &lt;Article&gt;}{\rtlch\fcs1 \af0 \ltrch\fcs0 _x000d__x000a_\lang1036\langfe2057\langnp1036\insrsid4797704\charrsid11356624 [ZRESPART]}{\rtlch\fcs1 \af0 \ltrch\fcs0 \cs17\b0\v\fs20\cf9\lang1024\langfe1024\loch\af1\hich\af1\dbch\af31501\noproof\langnp1036\insrsid4797704\charrsid11356624 _x000d__x000a_\hich\af1\dbch\af31501\loch\f1 &lt;/Article&gt;}{\rtlch\fcs1 \af0 \ltrch\fcs0 \lang1036\langfe2057\langnp1036\insrsid4797704\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797704\charrsid11356624 \cell }\pard \ltrpar_x000d__x000a_\ql \li0\ri0\widctlpar\intbl\wrapdefault\aspalpha\aspnum\faauto\adjustright\rin0\lin0 {\rtlch\fcs1 \af0 \ltrch\fcs0 \insrsid4797704\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4797704\charrsid15879488 [ZLEFTA]\cell [ZRIGHT]\cell }\pard\plain \ltrpar\ql \li0\ri0\widctlpar\intbl\wrapdefault\aspalpha\aspnum\faauto\adjustright\rin0\lin0 _x000d__x000a_\rtlch\fcs1 \af0\afs20\alang1025 \ltrch\fcs0 \fs24\lang2057\langfe2057\cgrid\langnp2057\langfenp2057 {\rtlch\fcs1 \af0 \ltrch\fcs0 \insrsid4797704\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797704\charrsid15879488 [ZTEXTL]\cell [ZTEXTR]}{\rtlch\fcs1 \af0\afs24 \ltrch\fcs0 \insrsid4797704\charrsid15879488 \cell }\pard\plain \ltrpar\ql \li0\ri0\widctlpar\intbl\wrapdefault\aspalpha\aspnum\faauto\adjustright\rin0\lin0 \rtlch\fcs1 _x000d__x000a_\af0\afs20\alang1025 \ltrch\fcs0 \fs24\lang2057\langfe2057\cgrid\langnp2057\langfenp2057 {\rtlch\fcs1 \af0 \ltrch\fcs0 \insrsid4797704\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797704 {\rtlch\fcs1 \af0 \ltrch\fcs0 \cs17\v\fs20\cf9\lang1024\langfe1024\loch\af1\hich\af1\dbch\af31501\noproof\insrsid4797704\charrsid15879488 _x000d__x000a_\hich\af1\dbch\af31501\loch\f1 &lt;/AmendA&gt;}{\rtlch\fcs1 \af0 \ltrch\fcs0 \insrsid479770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c9_x000d__x000a_22d5510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swiss\fcharset0\fprq2 DokChampa{\*\falt Leelawadee UI};}{\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87632 HideTWBExt;}{_x000d__x000a_\s18\ql \li0\ri0\sa120\nowidctlpar\wrapdefault\aspalpha\aspnum\faauto\adjustright\rin0\lin0\itap0 \rtlch\fcs1 \af0\afs20\alang1025 \ltrch\fcs0 \fs24\lang2057\langfe2057\cgrid\langnp2057\langfenp2057 \sbasedon0 \snext18 \spriority0 \styrsid9387632 _x000d__x000a_Normal6a;}{\s19\ql \li0\ri0\nowidctlpar\wrapdefault\aspalpha\aspnum\faauto\adjustright\rin0\lin0\itap0 \rtlch\fcs1 \af0\afs20\alang1025 \ltrch\fcs0 \b\fs24\lang2057\langfe2057\cgrid\langnp2057\langfenp2057 \sbasedon0 \snext19 \spriority0 \styrsid9387632 _x000d__x000a_NormalBold;}{\s20\ql \li0\ri0\sa240\nowidctlpar\wrapdefault\aspalpha\aspnum\faauto\adjustright\rin0\lin0\itap0 \rtlch\fcs1 \af0\afs20\alang1025 \ltrch\fcs0 \i\fs24\lang2057\langfe2057\cgrid\langnp2057\langfenp2057 _x000d__x000a_\sbasedon0 \snext20 \spriority0 \styrsid9387632 AmJustText;}{\s21\qc \li0\ri0\sb240\sa240\nowidctlpar\wrapdefault\aspalpha\aspnum\faauto\adjustright\rin0\lin0\itap0 \rtlch\fcs1 \af0\afs20\alang1025 \ltrch\fcs0 _x000d__x000a_\i\fs24\lang2057\langfe2057\cgrid\langnp2057\langfenp2057 \sbasedon0 \snext21 \spriority0 \styrsid9387632 AmCrossRef;}{\s22\qc \li0\ri0\sb240\sa240\keepn\nowidctlpar\wrapdefault\aspalpha\aspnum\faauto\adjustright\rin0\lin0\itap0 \rtlch\fcs1 _x000d__x000a_\af0\afs20\alang1025 \ltrch\fcs0 \i\fs24\lang2057\langfe2057\cgrid\langnp2057\langfenp2057 \sbasedon0 \snext20 \spriority0 \styrsid9387632 AmJustTitle;}{\s23\qc \li0\ri0\sa240\nowidctlpar\wrapdefault\aspalpha\aspnum\faauto\adjustright\rin0\lin0\itap0 _x000d__x000a_\rtlch\fcs1 \af0\afs20\alang1025 \ltrch\fcs0 \i\fs24\lang2057\langfe2057\cgrid\langnp2057\langfenp2057 \sbasedon0 \snext23 \spriority0 \styrsid93876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387632 AmNumberTabs;}{\s25\ql \li0\ri0\sb240\nowidctlpar\wrapdefault\aspalpha\aspnum\faauto\adjustright\rin0\lin0\itap0 \rtlch\fcs1 _x000d__x000a_\af0\afs20\alang1025 \ltrch\fcs0 \b\fs24\lang2057\langfe2057\cgrid\langnp2057\langfenp2057 \sbasedon0 \snext25 \spriority0 \styrsid9387632 NormalBold12b;}}{\*\rsidtbl \rsid24658\rsid223860\rsid735077\rsid1718133\rsid2892074\rsid3565327\rsid4666813_x000d__x000a_\rsid6641733\rsid7823322\rsid9387632\rsid9636012\rsid10377208\rsid11215221\rsid11549030\rsid12154954\rsid14382809\rsid14424199\rsid15204470\rsid15285974\rsid15404358\rsid15950462\rsid16324206\rsid16662270}{\mmathPr\mmathFont34\mbrkBin0\mbrkBinSub0_x000d__x000a_\msmallFrac0\mdispDef1\mlMargin0\mrMargin0\mdefJc1\mwrapIndent1440\mintLim0\mnaryLim1}{\info{\author MANCIUNSKAS Dalius}{\operator MANCIUNSKAS Dalius}{\creatim\yr2025\mo7\dy29\hr8\min27}{\revtim\yr2025\mo7\dy29\hr8\min27}{\version1}{\edmins0}{\nofpages1}_x000d__x000a_{\nofwords45}{\nofchars327}{\nofcharsws366}{\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20\pgbrdrhead\pgbrdrfoot\splytwnine\ftnlytwnine\htmautsp\nolnhtadjtbl\useltbaln\alntblind\lytcalctblwd\lyttblrtgr\lnbrkrule\nobrkwrptbl\snaptogridincell\allowfieldendsel\wrppunct_x000d__x000a_\asianbrkrule\nojkernpunct\rsidroot9387632\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5404358 \chftnsep _x000d__x000a_\par }}{\*\ftnsepc \ltrpar \pard\plain \ltrpar\ql \li0\ri0\widctlpar\wrapdefault\aspalpha\aspnum\faauto\adjustright\rin0\lin0\itap0 \rtlch\fcs1 \af0\afs20\alang1025 \ltrch\fcs0 \fs24\lang2057\langfe2057\cgrid\langnp2057\langfenp2057 {\rtlch\fcs1 \af0 _x000d__x000a_\ltrch\fcs0 \insrsid15404358 \chftnsepc _x000d__x000a_\par }}{\*\aftnsep \ltrpar \pard\plain \ltrpar\ql \li0\ri0\widctlpar\wrapdefault\aspalpha\aspnum\faauto\adjustright\rin0\lin0\itap0 \rtlch\fcs1 \af0\afs20\alang1025 \ltrch\fcs0 \fs24\lang2057\langfe2057\cgrid\langnp2057\langfenp2057 {\rtlch\fcs1 \af0 _x000d__x000a_\ltrch\fcs0 \insrsid15404358 \chftnsep _x000d__x000a_\par }}{\*\aftnsepc \ltrpar \pard\plain \ltrpar\ql \li0\ri0\widctlpar\wrapdefault\aspalpha\aspnum\faauto\adjustright\rin0\lin0\itap0 \rtlch\fcs1 \af0\afs20\alang1025 \ltrch\fcs0 \fs24\lang2057\langfe2057\cgrid\langnp2057\langfenp2057 {\rtlch\fcs1 \af0 _x000d__x000a_\ltrch\fcs0 \insrsid154043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9387632 \rtlch\fcs1 _x000d__x000a_\af0\afs20\alang1025 \ltrch\fcs0 \b\fs24\lang2057\langfe2057\cgrid\langnp2057\langfenp2057 {\rtlch\fcs1 \af0 \ltrch\fcs0 \cs17\b0\v\fs20\cf9\lang1024\langfe1024\loch\af1\hich\af1\dbch\af31501\noproof\insrsid9387632\charrsid15879488 {\*\bkmkstart restartB}_x000d__x000a_\hich\af1\dbch\af31501\loch\f1 &lt;AmendB&gt;}{\rtlch\fcs1 \af0 \ltrch\fcs0 \insrsid9387632\charrsid15879488 [ZAMENDMENT]\tab \tab }{\rtlch\fcs1 \af0 \ltrch\fcs0 _x000d__x000a_\cs17\b0\v\fs20\cf9\lang1024\langfe1024\loch\af1\hich\af1\dbch\af31501\noproof\insrsid9387632\charrsid15879488 \hich\af1\dbch\af31501\loch\f1 &lt;NumAmB&gt;}{\rtlch\fcs1 \af0 \ltrch\fcs0 \insrsid9387632\charrsid15879488 [ZNRAM]}{\rtlch\fcs1 \af0 \ltrch\fcs0 _x000d__x000a_\cs17\b0\v\fs20\cf9\lang1024\langfe1024\loch\af1\hich\af1\dbch\af31501\noproof\insrsid9387632\charrsid15879488 \hich\af1\dbch\af31501\loch\f1 &lt;/NumAmB&gt;}{\rtlch\fcs1 \af0 \ltrch\fcs0 \insrsid9387632\charrsid15879488 _x000d__x000a_\par }\pard\plain \ltrpar\s25\ql \li0\ri0\sb240\keepn\nowidctlpar\wrapdefault\aspalpha\aspnum\faauto\adjustright\rin0\lin0\itap0\pararsid9387632 \rtlch\fcs1 \af0\afs20\alang1025 \ltrch\fcs0 \b\fs24\lang2057\langfe2057\cgrid\langnp2057\langfenp2057 {_x000d__x000a_\rtlch\fcs1 \af0 \ltrch\fcs0 \cs17\b0\v\fs20\cf9\lang1024\langfe1024\loch\af1\hich\af1\dbch\af31501\noproof\insrsid9387632\charrsid15879488 \hich\af1\dbch\af31501\loch\f1 &lt;DocAmend&gt;}{\rtlch\fcs1 \af0 \ltrch\fcs0 \insrsid9387632\charrsid15879488 _x000d__x000a_[ZPROPOSAL][ZAMACT]}{\rtlch\fcs1 \af0 \ltrch\fcs0 \cs17\b0\v\fs20\cf9\lang1024\langfe1024\loch\af1\hich\af1\dbch\af31501\noproof\insrsid9387632\charrsid15879488 \hich\af1\dbch\af31501\loch\f1 &lt;/DocAmend&gt;}{\rtlch\fcs1 \af0 \ltrch\fcs0 _x000d__x000a_\insrsid9387632\charrsid15879488 _x000d__x000a_\par }\pard\plain \ltrpar\s19\ql \li0\ri0\keepn\nowidctlpar\wrapdefault\aspalpha\aspnum\faauto\adjustright\rin0\lin0\itap0\pararsid9387632 \rtlch\fcs1 \af0\afs20\alang1025 \ltrch\fcs0 \b\fs24\lang2057\langfe2057\cgrid\langnp2057\langfenp2057 {\rtlch\fcs1 \af0 _x000d__x000a_\ltrch\fcs0 \cs17\b0\v\fs20\cf9\lang1024\langfe1024\loch\af1\hich\af1\dbch\af31501\noproof\insrsid9387632\charrsid15879488 \hich\af1\dbch\af31501\loch\f1 &lt;Article&gt;}{\rtlch\fcs1 \af0 \ltrch\fcs0 \insrsid9387632\charrsid15879488 [ZAMPART]}{\rtlch\fcs1 \af0 _x000d__x000a_\ltrch\fcs0 \cs17\b0\v\fs20\cf9\lang1024\langfe1024\loch\af1\hich\af1\dbch\af31501\noproof\insrsid9387632\charrsid15879488 \hich\af1\dbch\af31501\loch\f1 &lt;/Article&gt;}{\rtlch\fcs1 \af0 \ltrch\fcs0 \insrsid9387632\charrsid15879488 _x000d__x000a_\par }\pard\plain \ltrpar\ql \li0\ri0\keepn\widctlpar\wrapdefault\aspalpha\aspnum\faauto\adjustright\rin0\lin0\itap0\pararsid9387632 \rtlch\fcs1 \af0\afs20\alang1025 \ltrch\fcs0 \fs24\lang2057\langfe2057\cgrid\langnp2057\langfenp2057 {\rtlch\fcs1 \af0 _x000d__x000a_\ltrch\fcs0 \cs17\v\fs20\cf9\lang1024\langfe1024\loch\af1\hich\af1\dbch\af31501\noproof\insrsid9387632\charrsid15879488 \hich\af1\dbch\af31501\loch\f1 &lt;DocAmend2&gt;&lt;OptDel&gt;}{\rtlch\fcs1 \af0 \ltrch\fcs0 \insrsid9387632\charrsid15879488 [ZNRACT]}{_x000d__x000a_\rtlch\fcs1 \af0 \ltrch\fcs0 \cs17\v\fs20\cf9\lang1024\langfe1024\loch\af1\hich\af1\dbch\af31501\noproof\insrsid9387632\charrsid15879488 \hich\af1\dbch\af31501\loch\f1 &lt;/OptDel&gt;&lt;/DocAmend2&gt;}{\rtlch\fcs1 \af0 \ltrch\fcs0 \insrsid9387632\charrsid15879488 _x000d__x000a__x000d__x000a_\par }\pard \ltrpar\ql \li0\ri0\widctlpar\wrapdefault\aspalpha\aspnum\faauto\adjustright\rin0\lin0\itap0\pararsid9387632 {\rtlch\fcs1 \af0 \ltrch\fcs0 _x000d__x000a_\cs17\v\fs20\cf9\lang1024\langfe1024\loch\af1\hich\af1\dbch\af31501\noproof\langnp1036\insrsid9387632\charrsid11356624 \hich\af1\dbch\af31501\loch\f1 &lt;Article2&gt;&lt;OptDel&gt;}{\rtlch\fcs1 \af0 \ltrch\fcs0 _x000d__x000a_\lang1036\langfe2057\langnp1036\insrsid9387632\charrsid11356624 [ZACTPART]}{\rtlch\fcs1 \af0 \ltrch\fcs0 \cs17\v\fs20\cf9\lang1024\langfe1024\loch\af1\hich\af1\dbch\af31501\noproof\langnp1036\insrsid9387632\charrsid11356624 \hich\af1\dbch\af31501\loch\f1 _x000d__x000a_&lt;/OptDel&gt;&lt;/Article2&gt;}{\rtlch\fcs1 \af0 \ltrch\fcs0 \lang1036\langfe2057\langnp1036\insrsid938763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9387632\charrsid11356624 \cell }\pard \ltrpar\ql \li0\ri0\widctlpar\intbl\wrapdefault\aspalpha\aspnum\faauto\adjustright\rin0\lin0 {\rtlch\fcs1 \af0 \ltrch\fcs0 \insrsid938763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9387632\charrsid15879488 [ZLEFTB]\cell [ZRIGHT]\cell }\pard\plain \ltrpar\ql \li0\ri0\widctlpar\intbl\wrapdefault\aspalpha\aspnum\faauto\adjustright\rin0\lin0 \rtlch\fcs1 \af0\afs20\alang1025 \ltrch\fcs0 _x000d__x000a_\fs24\lang2057\langfe2057\cgrid\langnp2057\langfenp2057 {\rtlch\fcs1 \af0 \ltrch\fcs0 \insrsid938763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387632\charrsid15879488 [ZTEXTL]\cell [ZTEXTR]}{\rtlch\fcs1 \af0\afs24 \ltrch\fcs0 \insrsid9387632\charrsid15879488 \cell }\pard\plain \ltrpar\ql \li0\ri0\widctlpar\intbl\wrapdefault\aspalpha\aspnum\faauto\adjustright\rin0\lin0 \rtlch\fcs1 _x000d__x000a_\af0\afs20\alang1025 \ltrch\fcs0 \fs24\lang2057\langfe2057\cgrid\langnp2057\langfenp2057 {\rtlch\fcs1 \af0 \ltrch\fcs0 \insrsid938763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9387632 \rtlch\fcs1 \af0\afs20\alang1025 \ltrch\fcs0 \i\fs24\lang2057\langfe2057\cgrid\langnp2057\langfenp2057 {\rtlch\fcs1 \af0 \ltrch\fcs0 _x000d__x000a_\cs17\i0\v\fs20\cf9\lang1024\langfe1024\loch\af1\hich\af1\dbch\af31501\noproof\insrsid9387632\charrsid15879488 \hich\af1\dbch\af31501\loch\f1 &lt;OptDel&gt;}{\rtlch\fcs1 \af0 \ltrch\fcs0 \insrsid9387632\charrsid15879488 [ZCROSSREF]}{\rtlch\fcs1 \af0 _x000d__x000a_\ltrch\fcs0 \cs17\i0\v\fs20\cf9\lang1024\langfe1024\loch\af1\hich\af1\dbch\af31501\noproof\insrsid9387632\charrsid15879488 \hich\af1\dbch\af31501\loch\f1 &lt;/OptDel&gt;}{\rtlch\fcs1 \af0 \ltrch\fcs0 \insrsid9387632\charrsid15879488 _x000d__x000a_\par }\pard\plain \ltrpar\s22\qc \li0\ri0\sb240\sa240\keepn\nowidctlpar\wrapdefault\aspalpha\aspnum\faauto\adjustright\rin0\lin0\itap0\pararsid9387632 \rtlch\fcs1 \af0\afs20\alang1025 \ltrch\fcs0 \i\fs24\lang2057\langfe2057\cgrid\langnp2057\langfenp2057 {_x000d__x000a_\rtlch\fcs1 \af0 \ltrch\fcs0 \cs17\i0\v\fs20\cf9\lang1024\langfe1024\loch\af1\hich\af1\dbch\af31501\noproof\insrsid9387632\charrsid15879488 \hich\af1\dbch\af31501\loch\f1 &lt;TitreJust&gt;}{\rtlch\fcs1 \af0 \ltrch\fcs0 \insrsid9387632\charrsid15879488 _x000d__x000a_[ZJUSTIFICATION]}{\rtlch\fcs1 \af0 \ltrch\fcs0 \cs17\i0\v\fs20\cf9\lang1024\langfe1024\loch\af1\hich\af1\dbch\af31501\noproof\insrsid9387632\charrsid15879488 \hich\af1\dbch\af31501\loch\f1 &lt;/TitreJust&gt;}{\rtlch\fcs1 \af0 \ltrch\fcs0 _x000d__x000a_\insrsid9387632\charrsid15879488 _x000d__x000a_\par }\pard\plain \ltrpar\s20\ql \li0\ri0\sa240\nowidctlpar\wrapdefault\aspalpha\aspnum\faauto\adjustright\rin0\lin0\itap0\pararsid9387632 \rtlch\fcs1 \af0\afs20\alang1025 \ltrch\fcs0 \i\fs24\lang2057\langfe2057\cgrid\langnp2057\langfenp2057 {\rtlch\fcs1 \af0 _x000d__x000a_\ltrch\fcs0 \cs17\i0\v\fs20\cf9\lang1024\langfe1024\loch\af1\hich\af1\dbch\af31501\noproof\insrsid9387632\charrsid15879488 \hich\af1\dbch\af31501\loch\f1 &lt;OptDelPrev&gt;}{\rtlch\fcs1 \af0 \ltrch\fcs0 \insrsid9387632\charrsid15879488 [ZTEXTJUST]}{\rtlch\fcs1 _x000d__x000a_\af0 \ltrch\fcs0 \cs17\i0\v\fs20\cf9\lang1024\langfe1024\loch\af1\hich\af1\dbch\af31501\noproof\insrsid9387632\charrsid15879488 \hich\af1\dbch\af31501\loch\f1 &lt;/OptDelPrev&gt;}{\rtlch\fcs1 \af0 \ltrch\fcs0 \insrsid9387632\charrsid15879488 _x000d__x000a_\par }\pard\plain \ltrpar\ql \li0\ri0\widctlpar\wrapdefault\aspalpha\aspnum\faauto\adjustright\rin0\lin0\itap0\pararsid9387632 \rtlch\fcs1 \af0\afs20\alang1025 \ltrch\fcs0 \fs24\lang2057\langfe2057\cgrid\langnp2057\langfenp2057 {\rtlch\fcs1 \af0 \ltrch\fcs0 _x000d__x000a_\cs17\v\fs20\cf9\lang1024\langfe1024\loch\af1\hich\af1\dbch\af31501\noproof\insrsid9387632\charrsid15879488 \hich\af1\dbch\af31501\loch\f1 &lt;/AmendB&gt;}{\rtlch\fcs1 \af0 \ltrch\fcs0 \insrsid93876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52_x000d__x000a_08d7510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ONMNU" w:val=" 1"/>
    <w:docVar w:name="strDocTypeID" w:val="PA_Legam"/>
    <w:docVar w:name="strSubDir" w:val="1324"/>
    <w:docVar w:name="TITLECODMNU" w:val=" 1"/>
    <w:docVar w:name="TXTAUTHOR" w:val="Emil Radev"/>
    <w:docVar w:name="TXTLANGUE" w:val="LT"/>
    <w:docVar w:name="TXTLANGUEMIN" w:val="lt"/>
    <w:docVar w:name="TXTNRC" w:val="0219/2023"/>
    <w:docVar w:name="TXTNRCOM" w:val="(2023)0369"/>
    <w:docVar w:name="TXTNRPE" w:val="775.581"/>
    <w:docVar w:name="TXTNRPROC" w:val="2023/0212"/>
    <w:docVar w:name="TXTPE" w:val="775.581"/>
    <w:docVar w:name="TXTPEorAP" w:val="PE"/>
    <w:docVar w:name="TXTROUTE" w:val="AD\1324704LT.docx"/>
    <w:docVar w:name="TXTVERSION" w:val="01-00"/>
  </w:docVars>
  <w:rsids>
    <w:rsidRoot w:val="00987D5B"/>
    <w:rsid w:val="000115B1"/>
    <w:rsid w:val="00026559"/>
    <w:rsid w:val="00027FA8"/>
    <w:rsid w:val="0003742B"/>
    <w:rsid w:val="0004474F"/>
    <w:rsid w:val="00082EC4"/>
    <w:rsid w:val="000D44A6"/>
    <w:rsid w:val="00122C05"/>
    <w:rsid w:val="00134974"/>
    <w:rsid w:val="00141CD7"/>
    <w:rsid w:val="00147FBF"/>
    <w:rsid w:val="00156095"/>
    <w:rsid w:val="001616BD"/>
    <w:rsid w:val="001820A9"/>
    <w:rsid w:val="001A0556"/>
    <w:rsid w:val="001B0A1E"/>
    <w:rsid w:val="001C0886"/>
    <w:rsid w:val="001D5154"/>
    <w:rsid w:val="001E3AC4"/>
    <w:rsid w:val="0020077A"/>
    <w:rsid w:val="00207509"/>
    <w:rsid w:val="0023131B"/>
    <w:rsid w:val="002A67EE"/>
    <w:rsid w:val="00304EA8"/>
    <w:rsid w:val="00341A99"/>
    <w:rsid w:val="00360FAA"/>
    <w:rsid w:val="0038294E"/>
    <w:rsid w:val="003858C5"/>
    <w:rsid w:val="003A2F84"/>
    <w:rsid w:val="003C7390"/>
    <w:rsid w:val="003E1280"/>
    <w:rsid w:val="003F128E"/>
    <w:rsid w:val="0040055C"/>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525CF"/>
    <w:rsid w:val="00982B83"/>
    <w:rsid w:val="009857B4"/>
    <w:rsid w:val="00987D5B"/>
    <w:rsid w:val="0099178F"/>
    <w:rsid w:val="009E7319"/>
    <w:rsid w:val="00A54DF1"/>
    <w:rsid w:val="00A71228"/>
    <w:rsid w:val="00A74E25"/>
    <w:rsid w:val="00AC2A60"/>
    <w:rsid w:val="00AD49D0"/>
    <w:rsid w:val="00B00EE6"/>
    <w:rsid w:val="00B476DC"/>
    <w:rsid w:val="00B556CD"/>
    <w:rsid w:val="00B62D4B"/>
    <w:rsid w:val="00B66595"/>
    <w:rsid w:val="00B735E3"/>
    <w:rsid w:val="00B904FA"/>
    <w:rsid w:val="00BA3E40"/>
    <w:rsid w:val="00BD1F76"/>
    <w:rsid w:val="00BE20CF"/>
    <w:rsid w:val="00C22327"/>
    <w:rsid w:val="00C335C6"/>
    <w:rsid w:val="00C36610"/>
    <w:rsid w:val="00C4219C"/>
    <w:rsid w:val="00C52A28"/>
    <w:rsid w:val="00C709B7"/>
    <w:rsid w:val="00C75E98"/>
    <w:rsid w:val="00C81C5B"/>
    <w:rsid w:val="00C83B35"/>
    <w:rsid w:val="00CC11EF"/>
    <w:rsid w:val="00D25CF2"/>
    <w:rsid w:val="00D56CE0"/>
    <w:rsid w:val="00D6254D"/>
    <w:rsid w:val="00D67D0A"/>
    <w:rsid w:val="00D7238E"/>
    <w:rsid w:val="00D74FD1"/>
    <w:rsid w:val="00D943A5"/>
    <w:rsid w:val="00D9581F"/>
    <w:rsid w:val="00DB56E4"/>
    <w:rsid w:val="00E27F01"/>
    <w:rsid w:val="00E62DD8"/>
    <w:rsid w:val="00E77FF5"/>
    <w:rsid w:val="00E9312B"/>
    <w:rsid w:val="00E94D64"/>
    <w:rsid w:val="00EA3802"/>
    <w:rsid w:val="00EF1432"/>
    <w:rsid w:val="00EF33D5"/>
    <w:rsid w:val="00F15744"/>
    <w:rsid w:val="00F24D40"/>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0E38E"/>
  <w15:chartTrackingRefBased/>
  <w15:docId w15:val="{6DD9D1B7-E4B4-4BCD-8D9A-E162A255B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basedOn w:val="DefaultParagraphFont"/>
    <w:link w:val="NormalBold"/>
    <w:rsid w:val="00CC11EF"/>
    <w:rPr>
      <w:b/>
      <w:sz w:val="24"/>
      <w:lang w:val="lt-LT"/>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paragraph" w:customStyle="1" w:styleId="Normal6">
    <w:name w:val="Normal6"/>
    <w:basedOn w:val="Normal"/>
    <w:link w:val="Normal6Char"/>
    <w:rsid w:val="00CC11EF"/>
    <w:pPr>
      <w:spacing w:after="120"/>
    </w:pPr>
    <w:rPr>
      <w:szCs w:val="20"/>
    </w:rPr>
  </w:style>
  <w:style w:type="character" w:customStyle="1" w:styleId="Normal6Char">
    <w:name w:val="Normal6 Char"/>
    <w:basedOn w:val="DefaultParagraphFont"/>
    <w:link w:val="Normal6"/>
    <w:rsid w:val="00CC11EF"/>
    <w:rPr>
      <w:sz w:val="24"/>
      <w:lang w:val="lt-LT"/>
    </w:rPr>
  </w:style>
  <w:style w:type="character" w:customStyle="1" w:styleId="FooterChar">
    <w:name w:val="Footer Char"/>
    <w:basedOn w:val="DefaultParagraphFont"/>
    <w:link w:val="Footer"/>
    <w:rsid w:val="00CC11EF"/>
    <w:rPr>
      <w:sz w:val="24"/>
      <w:szCs w:val="24"/>
    </w:rPr>
  </w:style>
  <w:style w:type="paragraph" w:styleId="Footer">
    <w:name w:val="footer"/>
    <w:basedOn w:val="Normal"/>
    <w:link w:val="FooterChar"/>
    <w:rsid w:val="00CC11EF"/>
    <w:pPr>
      <w:tabs>
        <w:tab w:val="center" w:pos="4513"/>
        <w:tab w:val="right" w:pos="9026"/>
      </w:tabs>
    </w:pPr>
  </w:style>
  <w:style w:type="character" w:customStyle="1" w:styleId="Normal12Char">
    <w:name w:val="Normal12 Char"/>
    <w:basedOn w:val="DefaultParagraphFont"/>
    <w:link w:val="Normal12"/>
    <w:locked/>
    <w:rsid w:val="00CC11EF"/>
    <w:rPr>
      <w:noProof/>
      <w:sz w:val="24"/>
    </w:rPr>
  </w:style>
  <w:style w:type="paragraph" w:customStyle="1" w:styleId="Normal12">
    <w:name w:val="Normal12"/>
    <w:basedOn w:val="Normal"/>
    <w:link w:val="Normal12Char"/>
    <w:rsid w:val="00CC11EF"/>
    <w:pPr>
      <w:spacing w:after="240"/>
    </w:pPr>
    <w:rPr>
      <w:noProof/>
      <w:szCs w:val="20"/>
    </w:rPr>
  </w:style>
  <w:style w:type="paragraph" w:customStyle="1" w:styleId="Normal12Italic">
    <w:name w:val="Normal12Italic"/>
    <w:basedOn w:val="Normal12"/>
    <w:rsid w:val="00CC11EF"/>
    <w:rPr>
      <w:i/>
    </w:rPr>
  </w:style>
  <w:style w:type="paragraph" w:customStyle="1" w:styleId="Footer2">
    <w:name w:val="Footer2"/>
    <w:basedOn w:val="Normal12"/>
    <w:rsid w:val="00CC11EF"/>
    <w:pPr>
      <w:tabs>
        <w:tab w:val="center" w:pos="4535"/>
        <w:tab w:val="right" w:pos="9923"/>
      </w:tabs>
      <w:spacing w:line="480" w:lineRule="auto"/>
      <w:ind w:left="-851"/>
    </w:pPr>
    <w:rPr>
      <w:rFonts w:ascii="Arial" w:cs="Arial"/>
      <w:b/>
      <w:sz w:val="48"/>
    </w:rPr>
  </w:style>
  <w:style w:type="paragraph" w:customStyle="1" w:styleId="EntPE">
    <w:name w:val="EntPE"/>
    <w:basedOn w:val="Normal12"/>
    <w:rsid w:val="00CC11EF"/>
    <w:pPr>
      <w:jc w:val="center"/>
    </w:pPr>
    <w:rPr>
      <w:noProof w:val="0"/>
      <w:sz w:val="56"/>
    </w:rPr>
  </w:style>
  <w:style w:type="character" w:customStyle="1" w:styleId="FootnoteTextChar">
    <w:name w:val="Footnote Text Char"/>
    <w:basedOn w:val="DefaultParagraphFont"/>
    <w:link w:val="FootnoteText"/>
    <w:rsid w:val="00CC11EF"/>
  </w:style>
  <w:style w:type="paragraph" w:styleId="FootnoteText">
    <w:name w:val="footnote text"/>
    <w:basedOn w:val="Normal"/>
    <w:link w:val="FootnoteTextChar"/>
    <w:rsid w:val="00CC11EF"/>
    <w:rPr>
      <w:sz w:val="20"/>
      <w:szCs w:val="20"/>
    </w:rPr>
  </w:style>
  <w:style w:type="paragraph" w:customStyle="1" w:styleId="AMNumberTabs0">
    <w:name w:val="AMNumberTabs"/>
    <w:basedOn w:val="Normal"/>
    <w:rsid w:val="00CC11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CC11EF"/>
    <w:pPr>
      <w:spacing w:after="240"/>
      <w:jc w:val="center"/>
    </w:pPr>
    <w:rPr>
      <w:i/>
      <w:szCs w:val="20"/>
    </w:rPr>
  </w:style>
  <w:style w:type="character" w:styleId="FootnoteReference">
    <w:name w:val="footnote reference"/>
    <w:basedOn w:val="DefaultParagraphFont"/>
    <w:rsid w:val="00CC11EF"/>
    <w:rPr>
      <w:vertAlign w:val="superscript"/>
    </w:rPr>
  </w:style>
  <w:style w:type="paragraph" w:customStyle="1" w:styleId="Normal24a">
    <w:name w:val="Normal24a"/>
    <w:basedOn w:val="Normal"/>
    <w:rsid w:val="00CC11EF"/>
    <w:pPr>
      <w:spacing w:after="480"/>
    </w:pPr>
    <w:rPr>
      <w:szCs w:val="20"/>
    </w:rPr>
  </w:style>
  <w:style w:type="paragraph" w:customStyle="1" w:styleId="NormalSingle">
    <w:name w:val="NormalSingle"/>
    <w:basedOn w:val="Normal"/>
    <w:qFormat/>
    <w:rsid w:val="00CC11EF"/>
  </w:style>
  <w:style w:type="paragraph" w:customStyle="1" w:styleId="Footprint12b">
    <w:name w:val="Footprint12b"/>
    <w:basedOn w:val="Normal"/>
    <w:rsid w:val="00CC11EF"/>
    <w:pPr>
      <w:spacing w:before="240"/>
    </w:pPr>
  </w:style>
  <w:style w:type="character" w:styleId="Hyperlink">
    <w:name w:val="Hyperlink"/>
    <w:basedOn w:val="DefaultParagraphFont"/>
    <w:rsid w:val="00CC11EF"/>
    <w:rPr>
      <w:color w:val="0563C1" w:themeColor="hyperlink"/>
      <w:u w:val="single"/>
    </w:rPr>
  </w:style>
  <w:style w:type="paragraph" w:customStyle="1" w:styleId="RollCallSymbols14pt">
    <w:name w:val="RollCallSymbols14pt"/>
    <w:basedOn w:val="Normal"/>
    <w:rsid w:val="00A54DF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A54DF1"/>
    <w:pPr>
      <w:tabs>
        <w:tab w:val="center" w:pos="284"/>
        <w:tab w:val="left" w:pos="426"/>
      </w:tabs>
    </w:pPr>
    <w:rPr>
      <w:snapToGrid w:val="0"/>
      <w:szCs w:val="20"/>
      <w:lang w:eastAsia="en-US"/>
    </w:rPr>
  </w:style>
  <w:style w:type="paragraph" w:customStyle="1" w:styleId="RollCallVotes">
    <w:name w:val="RollCallVotes"/>
    <w:basedOn w:val="Normal"/>
    <w:rsid w:val="00A54DF1"/>
    <w:pPr>
      <w:spacing w:before="120" w:after="120"/>
      <w:jc w:val="center"/>
    </w:pPr>
    <w:rPr>
      <w:b/>
      <w:bCs/>
      <w:snapToGrid w:val="0"/>
      <w:sz w:val="16"/>
      <w:szCs w:val="20"/>
      <w:lang w:eastAsia="en-US"/>
    </w:rPr>
  </w:style>
  <w:style w:type="paragraph" w:customStyle="1" w:styleId="RollCallTable">
    <w:name w:val="RollCallTable"/>
    <w:basedOn w:val="Normal"/>
    <w:rsid w:val="00A54DF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CFCEC-EB87-469A-9D4F-C7ECDE951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18009</Words>
  <Characters>128589</Characters>
  <Application>Microsoft Office Word</Application>
  <DocSecurity>0</DocSecurity>
  <Lines>4762</Lines>
  <Paragraphs>1136</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2025-08-07T13:44:00Z</dcterms:created>
  <dcterms:modified xsi:type="dcterms:W3CDTF">2025-08-07T13:44:00Z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1324704</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\\eiciLUXpr1\pdocep$\DocEP\TRANSFIL\LT\PA_Legam.LT(11/09/2024 13:27:01)</vt:lpwstr>
  </property>
  <property fmtid="{D5CDD505-2E9C-101B-9397-08002B2CF9AE}" pid="7" name="&lt;Type&gt;">
    <vt:lpwstr>AD</vt:lpwstr>
  </property>
  <property fmtid="{D5CDD505-2E9C-101B-9397-08002B2CF9AE}" pid="8" name="Bookout">
    <vt:lpwstr>OK - 2025/08/07 15:44</vt:lpwstr>
  </property>
  <property fmtid="{D5CDD505-2E9C-101B-9397-08002B2CF9AE}" pid="9" name="Created with">
    <vt:lpwstr>10.1.2 Build [20250615]</vt:lpwstr>
  </property>
  <property fmtid="{D5CDD505-2E9C-101B-9397-08002B2CF9AE}" pid="10" name="FooterPath">
    <vt:lpwstr>AD\1324704LT.docx</vt:lpwstr>
  </property>
  <property fmtid="{D5CDD505-2E9C-101B-9397-08002B2CF9AE}" pid="11" name="LastEdited with">
    <vt:lpwstr>10.1.2 Build [20250615]</vt:lpwstr>
  </property>
  <property fmtid="{D5CDD505-2E9C-101B-9397-08002B2CF9AE}" pid="12" name="PE number">
    <vt:lpwstr>775.581</vt:lpwstr>
  </property>
  <property fmtid="{D5CDD505-2E9C-101B-9397-08002B2CF9AE}" pid="13" name="SDLStudio">
    <vt:lpwstr/>
  </property>
</Properties>
</file>