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859E2" w:rsidRPr="003746B8" w:rsidTr="000462E9">
        <w:trPr>
          <w:trHeight w:hRule="exact" w:val="1418"/>
        </w:trPr>
        <w:tc>
          <w:tcPr>
            <w:tcW w:w="6804" w:type="dxa"/>
            <w:shd w:val="clear" w:color="auto" w:fill="auto"/>
            <w:vAlign w:val="center"/>
          </w:tcPr>
          <w:p w:rsidR="00BA3E40" w:rsidRPr="003746B8" w:rsidRDefault="00B029A7" w:rsidP="000462E9">
            <w:pPr>
              <w:pStyle w:val="EPName"/>
            </w:pPr>
            <w:r w:rsidRPr="003746B8">
              <w:t>Parlament Europejski</w:t>
            </w:r>
          </w:p>
          <w:p w:rsidR="00BA3E40" w:rsidRPr="003746B8" w:rsidRDefault="00B029A7" w:rsidP="00386BA4">
            <w:pPr>
              <w:pStyle w:val="EPTerm"/>
            </w:pPr>
            <w:r w:rsidRPr="003746B8">
              <w:t>2024-2029</w:t>
            </w:r>
          </w:p>
        </w:tc>
        <w:tc>
          <w:tcPr>
            <w:tcW w:w="2268" w:type="dxa"/>
            <w:shd w:val="clear" w:color="auto" w:fill="auto"/>
          </w:tcPr>
          <w:p w:rsidR="00BA3E40" w:rsidRPr="003746B8" w:rsidRDefault="00B029A7" w:rsidP="000462E9">
            <w:pPr>
              <w:pStyle w:val="EPLogo"/>
            </w:pPr>
            <w:r w:rsidRPr="003746B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746B8" w:rsidRDefault="00F24D40" w:rsidP="00F24D40">
      <w:pPr>
        <w:pStyle w:val="LineTop"/>
      </w:pPr>
    </w:p>
    <w:p w:rsidR="00F24D40" w:rsidRPr="003746B8" w:rsidRDefault="00B029A7" w:rsidP="00F24D40">
      <w:pPr>
        <w:pStyle w:val="EPBody"/>
      </w:pPr>
      <w:r w:rsidRPr="003746B8">
        <w:rPr>
          <w:rStyle w:val="HideTWBExt"/>
        </w:rPr>
        <w:t>&lt;</w:t>
      </w:r>
      <w:r w:rsidRPr="003746B8">
        <w:rPr>
          <w:rStyle w:val="HideTWBExt"/>
          <w:i w:val="0"/>
        </w:rPr>
        <w:t>Commission</w:t>
      </w:r>
      <w:r w:rsidRPr="003746B8">
        <w:rPr>
          <w:rStyle w:val="HideTWBExt"/>
        </w:rPr>
        <w:t>&gt;</w:t>
      </w:r>
      <w:r w:rsidRPr="003746B8">
        <w:rPr>
          <w:rStyle w:val="HideTWBInt"/>
          <w:color w:val="auto"/>
        </w:rPr>
        <w:t>{LIBE}</w:t>
      </w:r>
      <w:r w:rsidRPr="003746B8">
        <w:t>Komisja Wolności Obywatelskich, Sprawiedliwości i Spraw Wewnętrznych</w:t>
      </w:r>
      <w:r w:rsidRPr="003746B8">
        <w:rPr>
          <w:rStyle w:val="HideTWBExt"/>
        </w:rPr>
        <w:t>&lt;/</w:t>
      </w:r>
      <w:r w:rsidRPr="003746B8">
        <w:rPr>
          <w:rStyle w:val="HideTWBExt"/>
          <w:i w:val="0"/>
        </w:rPr>
        <w:t>Commission</w:t>
      </w:r>
      <w:r w:rsidRPr="003746B8">
        <w:rPr>
          <w:rStyle w:val="HideTWBExt"/>
        </w:rPr>
        <w:t>&gt;</w:t>
      </w:r>
    </w:p>
    <w:p w:rsidR="00F24D40" w:rsidRPr="003746B8" w:rsidRDefault="00F24D40" w:rsidP="00F24D40">
      <w:pPr>
        <w:pStyle w:val="LineBottom"/>
      </w:pPr>
    </w:p>
    <w:p w:rsidR="00DB56E4" w:rsidRPr="003746B8" w:rsidRDefault="00B029A7" w:rsidP="00DB56E4">
      <w:pPr>
        <w:pStyle w:val="CoverReference"/>
      </w:pPr>
      <w:r w:rsidRPr="003746B8">
        <w:rPr>
          <w:rStyle w:val="HideTWBExt"/>
          <w:b w:val="0"/>
        </w:rPr>
        <w:t>&lt;RefProc&gt;</w:t>
      </w:r>
      <w:r w:rsidRPr="003746B8">
        <w:t>2023/0212</w:t>
      </w:r>
      <w:r w:rsidRPr="003746B8">
        <w:rPr>
          <w:rStyle w:val="HideTWBExt"/>
          <w:b w:val="0"/>
        </w:rPr>
        <w:t>&lt;/RefProc&gt;&lt;RefTypeProc&gt;</w:t>
      </w:r>
      <w:r w:rsidRPr="003746B8">
        <w:t>(COD)</w:t>
      </w:r>
      <w:r w:rsidRPr="003746B8">
        <w:rPr>
          <w:rStyle w:val="HideTWBExt"/>
          <w:b w:val="0"/>
        </w:rPr>
        <w:t>&lt;/RefTypeProc&gt;</w:t>
      </w:r>
    </w:p>
    <w:p w:rsidR="00DB56E4" w:rsidRPr="003746B8" w:rsidRDefault="00B029A7" w:rsidP="00DB56E4">
      <w:pPr>
        <w:pStyle w:val="CoverDate"/>
      </w:pPr>
      <w:r w:rsidRPr="003746B8">
        <w:rPr>
          <w:rStyle w:val="HideTWBExt"/>
        </w:rPr>
        <w:t>&lt;Date&gt;</w:t>
      </w:r>
      <w:r w:rsidRPr="003746B8">
        <w:rPr>
          <w:rStyle w:val="HideTWBInt"/>
          <w:color w:val="auto"/>
        </w:rPr>
        <w:t>{15/07/2025}</w:t>
      </w:r>
      <w:r w:rsidRPr="003746B8">
        <w:t>15.7.2025</w:t>
      </w:r>
      <w:r w:rsidRPr="003746B8">
        <w:rPr>
          <w:rStyle w:val="HideTWBExt"/>
        </w:rPr>
        <w:t>&lt;/Date&gt;</w:t>
      </w:r>
    </w:p>
    <w:p w:rsidR="00DB56E4" w:rsidRPr="003746B8" w:rsidRDefault="00B029A7" w:rsidP="00DB56E4">
      <w:pPr>
        <w:pStyle w:val="CoverDocType24a"/>
      </w:pPr>
      <w:r w:rsidRPr="003746B8">
        <w:rPr>
          <w:rStyle w:val="HideTWBExt"/>
          <w:b w:val="0"/>
        </w:rPr>
        <w:t>&lt;TitreType&gt;</w:t>
      </w:r>
      <w:r w:rsidRPr="003746B8">
        <w:t>OPINIA</w:t>
      </w:r>
      <w:r w:rsidRPr="003746B8">
        <w:rPr>
          <w:rStyle w:val="HideTWBExt"/>
          <w:b w:val="0"/>
        </w:rPr>
        <w:t>&lt;/TitreType&gt;</w:t>
      </w:r>
    </w:p>
    <w:p w:rsidR="00DB56E4" w:rsidRPr="003746B8" w:rsidRDefault="00B029A7" w:rsidP="00DB56E4">
      <w:pPr>
        <w:pStyle w:val="CoverNormal24a"/>
      </w:pPr>
      <w:r w:rsidRPr="003746B8">
        <w:rPr>
          <w:rStyle w:val="HideTWBExt"/>
        </w:rPr>
        <w:t>&lt;CommissionResp&gt;</w:t>
      </w:r>
      <w:r w:rsidRPr="003746B8">
        <w:t>Komisji Wolności Obywatelskich, Sprawiedliwości i Spraw Wewnętrznych</w:t>
      </w:r>
      <w:r w:rsidRPr="003746B8">
        <w:rPr>
          <w:rStyle w:val="HideTWBExt"/>
        </w:rPr>
        <w:t>&lt;/CommissionResp&gt;</w:t>
      </w:r>
    </w:p>
    <w:p w:rsidR="00DB56E4" w:rsidRPr="003746B8" w:rsidRDefault="00B029A7" w:rsidP="00DB56E4">
      <w:pPr>
        <w:pStyle w:val="CoverNormal24a"/>
      </w:pPr>
      <w:r w:rsidRPr="003746B8">
        <w:rPr>
          <w:rStyle w:val="HideTWBExt"/>
        </w:rPr>
        <w:t>&lt;CommissionInt&gt;</w:t>
      </w:r>
      <w:r w:rsidRPr="003746B8">
        <w:t>dla Komisji Gospodarczej i Monetarnej</w:t>
      </w:r>
      <w:r w:rsidRPr="003746B8">
        <w:rPr>
          <w:rStyle w:val="HideTWBExt"/>
        </w:rPr>
        <w:t>&lt;/CommissionInt&gt;</w:t>
      </w:r>
    </w:p>
    <w:p w:rsidR="00DB56E4" w:rsidRPr="003746B8" w:rsidRDefault="00B029A7" w:rsidP="00DB56E4">
      <w:pPr>
        <w:pStyle w:val="CoverNormal"/>
      </w:pPr>
      <w:r w:rsidRPr="003746B8">
        <w:rPr>
          <w:rStyle w:val="HideTWBExt"/>
        </w:rPr>
        <w:t>&lt;Titre&gt;</w:t>
      </w:r>
      <w:r w:rsidRPr="003746B8">
        <w:t>w sprawie wniosku dotyczącego rozporządzenia Parlamentu Europejsk</w:t>
      </w:r>
      <w:r w:rsidRPr="003746B8">
        <w:t>iego i Rady w sprawie ustanowienia cyfrowego euro</w:t>
      </w:r>
      <w:r w:rsidRPr="003746B8">
        <w:rPr>
          <w:rStyle w:val="HideTWBExt"/>
        </w:rPr>
        <w:t>&lt;/Titre&gt;</w:t>
      </w:r>
    </w:p>
    <w:p w:rsidR="00DB56E4" w:rsidRPr="003746B8" w:rsidRDefault="00B029A7" w:rsidP="00DB56E4">
      <w:pPr>
        <w:pStyle w:val="CoverNormal24a"/>
      </w:pPr>
      <w:r w:rsidRPr="003746B8">
        <w:rPr>
          <w:rStyle w:val="HideTWBExt"/>
        </w:rPr>
        <w:t>&lt;DocRef&gt;</w:t>
      </w:r>
      <w:r w:rsidRPr="003746B8">
        <w:t>(COM(2023)0369 – C9</w:t>
      </w:r>
      <w:r w:rsidRPr="003746B8">
        <w:noBreakHyphen/>
        <w:t>0219/2023 – 2023/0212(COD))</w:t>
      </w:r>
      <w:r w:rsidRPr="003746B8">
        <w:rPr>
          <w:rStyle w:val="HideTWBExt"/>
        </w:rPr>
        <w:t>&lt;/DocRef&gt;</w:t>
      </w:r>
    </w:p>
    <w:p w:rsidR="00DB56E4" w:rsidRPr="003746B8" w:rsidRDefault="00B029A7" w:rsidP="00DB56E4">
      <w:pPr>
        <w:pStyle w:val="CoverNormal24a"/>
      </w:pPr>
      <w:r w:rsidRPr="003746B8">
        <w:t xml:space="preserve">Sprawozdawca komisji opiniodawczej: </w:t>
      </w:r>
      <w:r w:rsidRPr="003746B8">
        <w:rPr>
          <w:rStyle w:val="HideTWBExt"/>
        </w:rPr>
        <w:t>&lt;Depute&gt;</w:t>
      </w:r>
      <w:r w:rsidRPr="003746B8">
        <w:t>Emil Radev</w:t>
      </w:r>
      <w:r w:rsidRPr="003746B8">
        <w:rPr>
          <w:rStyle w:val="HideTWBExt"/>
        </w:rPr>
        <w:t>&lt;/Depute&gt;</w:t>
      </w:r>
    </w:p>
    <w:p w:rsidR="00DB56E4" w:rsidRPr="003746B8" w:rsidRDefault="00B029A7" w:rsidP="0004474F">
      <w:pPr>
        <w:tabs>
          <w:tab w:val="center" w:pos="4677"/>
        </w:tabs>
      </w:pPr>
      <w:r w:rsidRPr="003746B8">
        <w:br w:type="page"/>
      </w:r>
      <w:r w:rsidRPr="003746B8">
        <w:lastRenderedPageBreak/>
        <w:t>PA_Legam</w:t>
      </w:r>
    </w:p>
    <w:p w:rsidR="00DB56E4" w:rsidRPr="003746B8" w:rsidRDefault="00B029A7" w:rsidP="00386BA4">
      <w:pPr>
        <w:pStyle w:val="AmHeadingPA"/>
      </w:pPr>
      <w:r w:rsidRPr="003746B8">
        <w:br w:type="page"/>
      </w:r>
      <w:r w:rsidRPr="003746B8">
        <w:lastRenderedPageBreak/>
        <w:t>POPRAWKI</w:t>
      </w:r>
    </w:p>
    <w:p w:rsidR="00DB56E4" w:rsidRPr="003746B8" w:rsidRDefault="00B029A7" w:rsidP="001E3AC4">
      <w:pPr>
        <w:pStyle w:val="Normal12a"/>
      </w:pPr>
      <w:bookmarkStart w:id="0" w:name="IntroA"/>
      <w:r w:rsidRPr="003746B8">
        <w:t>Komisja Wolności Obywatelskich, Sprawiedliwości i</w:t>
      </w:r>
      <w:r w:rsidRPr="003746B8">
        <w:t xml:space="preserve"> Spraw Wewnętrznych przedstawia Komisji Gospodarczej i Monetarnej, jako komisji przedmiotowo właściwej, co następuje:</w:t>
      </w:r>
    </w:p>
    <w:p w:rsidR="002F7FE1" w:rsidRPr="003746B8" w:rsidRDefault="002F7FE1" w:rsidP="002F7FE1"/>
    <w:p w:rsidR="002F7FE1" w:rsidRPr="003746B8" w:rsidRDefault="00B029A7" w:rsidP="002F7FE1">
      <w:pPr>
        <w:pStyle w:val="AMNumberTabs0"/>
        <w:keepNext/>
      </w:pPr>
      <w:r w:rsidRPr="003746B8">
        <w:rPr>
          <w:rStyle w:val="HideTWBExt"/>
          <w:b w:val="0"/>
        </w:rPr>
        <w:t>&lt;RepeatBlock-Amend&gt;&lt;Amend&gt;</w:t>
      </w:r>
      <w:r w:rsidRPr="003746B8">
        <w:t>Poprawka</w:t>
      </w:r>
      <w:r w:rsidRPr="003746B8">
        <w:tab/>
      </w:r>
      <w:r w:rsidRPr="003746B8">
        <w:tab/>
      </w:r>
      <w:r w:rsidRPr="003746B8">
        <w:rPr>
          <w:rStyle w:val="HideTWBExt"/>
          <w:b w:val="0"/>
        </w:rPr>
        <w:t>&lt;NumAm&gt;</w:t>
      </w:r>
      <w:r w:rsidRPr="003746B8">
        <w:t>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6 a (nowy)</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(6a)</w:t>
            </w:r>
            <w:r w:rsidRPr="003746B8">
              <w:rPr>
                <w:b/>
                <w:i/>
              </w:rPr>
              <w:tab/>
              <w:t xml:space="preserve">Aby podkreślić konieczność utrzymania możliwości stosowania gotówki w społeczeństwie, cyfrowe euro, zarówno w przypadku transakcji w trybie online, jak i offline, powinno zawsze uzupełniać </w:t>
            </w:r>
            <w:r w:rsidRPr="003746B8">
              <w:rPr>
                <w:b/>
                <w:i/>
              </w:rPr>
              <w:t>gotówkę fizyczną, a nie ją zastępować. Obywatele i przedsiębiorstwa zawsze powinni mieć prawo do skorzystania z jednej lub drugiej formy prawnego środka płatniczego lub ich kombinacji.</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w:t>
      </w:r>
      <w:r w:rsidRPr="003746B8">
        <w:t>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13</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(13)</w:t>
            </w:r>
            <w:r w:rsidRPr="003746B8">
              <w:tab/>
              <w:t xml:space="preserve">Państwa członkowskie, ich odpowiednie organy i dostawcy usług płatniczych powinni wdrożyć środki informacyjne i edukacyjne, aby zapewnić niezbędny </w:t>
            </w:r>
            <w:r w:rsidRPr="003746B8">
              <w:t>poziom świadomości i wiedzy na temat poszczególnych aspektów cyfrowego euro.</w:t>
            </w:r>
          </w:p>
        </w:tc>
        <w:tc>
          <w:tcPr>
            <w:tcW w:w="4876" w:type="dxa"/>
            <w:hideMark/>
          </w:tcPr>
          <w:p w:rsidR="002F7FE1" w:rsidRPr="003746B8" w:rsidRDefault="00B029A7" w:rsidP="000462E9">
            <w:pPr>
              <w:pStyle w:val="Normal6"/>
              <w:rPr>
                <w:szCs w:val="24"/>
              </w:rPr>
            </w:pPr>
            <w:r w:rsidRPr="003746B8">
              <w:t>(13)</w:t>
            </w:r>
            <w:r w:rsidRPr="003746B8">
              <w:tab/>
              <w:t xml:space="preserve">Państwa członkowskie, </w:t>
            </w:r>
            <w:r w:rsidRPr="003746B8">
              <w:rPr>
                <w:b/>
                <w:i/>
              </w:rPr>
              <w:t xml:space="preserve">których walutą jest euro, </w:t>
            </w:r>
            <w:r w:rsidRPr="003746B8">
              <w:t>ich odpowiednie organy i dostawcy usług płatniczych powinni wdrożyć środki informacyjne i edukacyjne, aby zapewnić niezbędny p</w:t>
            </w:r>
            <w:r w:rsidRPr="003746B8">
              <w:t>oziom świadomości i wiedzy na temat poszczególnych aspektów cyfrowego euro</w:t>
            </w:r>
            <w:r w:rsidRPr="003746B8">
              <w:rPr>
                <w:b/>
                <w:i/>
              </w:rPr>
              <w:t>, w tym korzyści z jego używania, a także jego cech związanych z ochroną i korzystaniem z podstawowych praw i wolności.</w:t>
            </w:r>
            <w:r w:rsidRPr="003746B8">
              <w:t xml:space="preserve"> </w:t>
            </w:r>
            <w:r w:rsidRPr="003746B8">
              <w:rPr>
                <w:b/>
                <w:i/>
              </w:rPr>
              <w:t>Państwa członkowskie, których walutą nie jest euro, również mo</w:t>
            </w:r>
            <w:r w:rsidRPr="003746B8">
              <w:rPr>
                <w:b/>
                <w:i/>
              </w:rPr>
              <w:t xml:space="preserve">gą przekazywać takie informacje swoim obywatelom i ich edukować, w stosownych przypadkach we współpracy z </w:t>
            </w:r>
            <w:r w:rsidRPr="003746B8">
              <w:rPr>
                <w:b/>
                <w:i/>
              </w:rPr>
              <w:lastRenderedPageBreak/>
              <w:t>Europejskim Bankiem Centralnym. Informacje te i środki edukacyjne powinny być dostępne bezpłatnie.</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w:t>
      </w:r>
      <w:r w:rsidRPr="003746B8">
        <w:rPr>
          <w:rStyle w:val="HideTWBExt"/>
          <w:b w:val="0"/>
        </w:rPr>
        <w:t>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18</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(18)</w:t>
            </w:r>
            <w:r w:rsidRPr="003746B8">
              <w:tab/>
              <w:t xml:space="preserve">Ponieważ cyfrowe euro wymaga zdolności do akceptowania cyfrowych środków płatniczych, nałożenie na wszystkich odbiorców obowiązku </w:t>
            </w:r>
            <w:r w:rsidRPr="003746B8">
              <w:t>akceptacji płatności w cyfrowym euro mogłoby być nieproporcjonalne. W tym celu należy przewidzieć wyjątki od obowiązku akceptowania płatności w cyfrowym euro dla osób fizycznych w ramach czynności o czysto osobistym lub domowym charakterze. Wyjątki od obow</w:t>
            </w:r>
            <w:r w:rsidRPr="003746B8">
              <w:t>iązku akceptacji należy także przewidzieć w odniesieniu do mikroprzedsiębiorstw, które w strefie euro mają szczególne znaczenie dla rozwoju przedsiębiorczości, tworzenia miejsc pracy i innowacji, a także odgrywają istotną rolę w kształtowaniu gospodarki. P</w:t>
            </w:r>
            <w:r w:rsidRPr="003746B8">
              <w:t>olityka i działania Unii powinny prowadzić do zmniejszenia obciążeń regulacyjnych nakładanych na przedsiębiorstwa tej wielkości. Należy również przewidzieć wyjątki od obowiązku akceptacji dla podmiotów prawnych o charakterze niezarobkowym, które działają w</w:t>
            </w:r>
            <w:r w:rsidRPr="003746B8">
              <w:t> interesie publicznym i służą dobru publicznemu, ponieważ realizują różne cele leżące w interesie społecznym, w tym związane z równością, edukacją, zdrowiem, ochroną środowiska i prawami człowieka. W przypadku mikroprzedsiębiorstw i podmiotów prawnych o ch</w:t>
            </w:r>
            <w:r w:rsidRPr="003746B8">
              <w:t xml:space="preserve">arakterze niezarobkowym nabycie wymaganej infrastruktury i koszty związane z akceptowaniem byłyby niewspółmiernie wysokie. Podmioty te należy zatem zwolnić z obowiązku akceptacji płatności </w:t>
            </w:r>
            <w:r w:rsidRPr="003746B8">
              <w:lastRenderedPageBreak/>
              <w:t>w cyfrowym euro. W takich przypadkach nadal powinny być dostępne in</w:t>
            </w:r>
            <w:r w:rsidRPr="003746B8">
              <w:t xml:space="preserve">ne sposoby regulowania zobowiązań pieniężnych. Mikroprzedsiębiorstwa i podmioty prawne o charakterze niezarobkowym, które akceptują </w:t>
            </w:r>
            <w:r w:rsidRPr="003746B8">
              <w:rPr>
                <w:b/>
                <w:i/>
              </w:rPr>
              <w:t xml:space="preserve">porównywalne </w:t>
            </w:r>
            <w:r w:rsidRPr="003746B8">
              <w:t>cyfrowe środki płatnicze od płatników, powinny jednak podlegać obowiązkowi akceptacji płatności w cyfrowym euro</w:t>
            </w:r>
            <w:r w:rsidRPr="003746B8">
              <w:t xml:space="preserve">. </w:t>
            </w:r>
            <w:r w:rsidRPr="003746B8">
              <w:rPr>
                <w:b/>
                <w:i/>
              </w:rPr>
              <w:t>Porównywalne cyfrowe środki płatnicze powinny obejmować płatność kartą debetową lub płatność natychmiastową, lub inne przyszłe rozwiązania technologiczne stosowane w punkcie interakcji, ale nie powinny obejmować polecenia przelewu i polecenia zapłaty, kt</w:t>
            </w:r>
            <w:r w:rsidRPr="003746B8">
              <w:rPr>
                <w:b/>
                <w:i/>
              </w:rPr>
              <w:t>óre nie są inicjowane w punkcie interakcji.</w:t>
            </w:r>
            <w:r w:rsidRPr="003746B8">
              <w:t xml:space="preserve"> Mikroprzedsiębiorstwa i</w:t>
            </w:r>
            <w:r w:rsidRPr="003746B8">
              <w:rPr>
                <w:b/>
                <w:i/>
              </w:rPr>
              <w:t> </w:t>
            </w:r>
            <w:r w:rsidRPr="003746B8">
              <w:t>podmioty prawne o</w:t>
            </w:r>
            <w:r w:rsidRPr="003746B8">
              <w:rPr>
                <w:b/>
                <w:i/>
              </w:rPr>
              <w:t> </w:t>
            </w:r>
            <w:r w:rsidRPr="003746B8">
              <w:t>charakterze niezarobkowym, które nie akceptują</w:t>
            </w:r>
            <w:r w:rsidRPr="003746B8">
              <w:rPr>
                <w:b/>
                <w:i/>
              </w:rPr>
              <w:t xml:space="preserve"> porównywalnych </w:t>
            </w:r>
            <w:r w:rsidRPr="003746B8">
              <w:t>cyfrowych środków płatniczych od płatników w</w:t>
            </w:r>
            <w:r w:rsidRPr="003746B8">
              <w:rPr>
                <w:b/>
                <w:i/>
              </w:rPr>
              <w:t> </w:t>
            </w:r>
            <w:r w:rsidRPr="003746B8">
              <w:t xml:space="preserve">celu uregulowania ich zobowiązań (np. akceptują tylko banknoty </w:t>
            </w:r>
            <w:r w:rsidRPr="003746B8">
              <w:t>i</w:t>
            </w:r>
            <w:r w:rsidRPr="003746B8">
              <w:rPr>
                <w:b/>
                <w:i/>
              </w:rPr>
              <w:t> </w:t>
            </w:r>
            <w:r w:rsidRPr="003746B8">
              <w:t xml:space="preserve">monety euro), </w:t>
            </w:r>
            <w:r w:rsidRPr="003746B8">
              <w:rPr>
                <w:b/>
                <w:i/>
              </w:rPr>
              <w:t xml:space="preserve">ale mogą korzystać z płatności cyfrowych w celu rozliczania swoich zobowiązań wobec odbiorców (np. dokonują płatności w formie polecenia przelewu), </w:t>
            </w:r>
            <w:r w:rsidRPr="003746B8">
              <w:t>nie powinny podlegać obowiązkowi akceptacji płatności w</w:t>
            </w:r>
            <w:r w:rsidRPr="003746B8">
              <w:rPr>
                <w:b/>
                <w:i/>
              </w:rPr>
              <w:t> </w:t>
            </w:r>
            <w:r w:rsidRPr="003746B8">
              <w:t>cyfrowym euro. Ponadto odbiorca może</w:t>
            </w:r>
            <w:r w:rsidRPr="003746B8">
              <w:t xml:space="preserve"> odmówić akceptacji płatności w cyfrowym euro, jeżeli dokonuje takiej odmowy w dobrej wierze i podaje jej uzasadnione i mające zastosowanie w danym czasie powody, proporcjonalne do konkretnych okoliczności pozostających poza jego kontrolą, prowadzących do </w:t>
            </w:r>
            <w:r w:rsidRPr="003746B8">
              <w:t>niemożności akceptacji płatności w cyfrowym euro w danym momencie dokonywania transakcji, takich jak brak zasilania w przypadku transakcji płatniczych w cyfrowym euro dokonywanych w trybie online lub uszkodzenie urządzenia w przypadku transakcji płatniczyc</w:t>
            </w:r>
            <w:r w:rsidRPr="003746B8">
              <w:t>h w cyfrowym euro dokonywanych w trybie offline lub online.</w:t>
            </w:r>
          </w:p>
        </w:tc>
        <w:tc>
          <w:tcPr>
            <w:tcW w:w="4876" w:type="dxa"/>
            <w:hideMark/>
          </w:tcPr>
          <w:p w:rsidR="002F7FE1" w:rsidRPr="003746B8" w:rsidRDefault="00B029A7" w:rsidP="000462E9">
            <w:pPr>
              <w:pStyle w:val="Normal6"/>
              <w:rPr>
                <w:szCs w:val="24"/>
              </w:rPr>
            </w:pPr>
            <w:r w:rsidRPr="003746B8">
              <w:lastRenderedPageBreak/>
              <w:t>(18)</w:t>
            </w:r>
            <w:r w:rsidRPr="003746B8">
              <w:tab/>
              <w:t>Ponieważ cyfrowe euro wymaga zdolności do akceptowania cyfrowych środków płatniczych, nałożenie na wszystkich odbiorców obowiązku akceptacji płatności w cyfrowym euro mogłoby być nieproporcjo</w:t>
            </w:r>
            <w:r w:rsidRPr="003746B8">
              <w:t>nalne. W tym celu należy przewidzieć wyjątki od obowiązku akceptowania płatności w cyfrowym euro dla osób fizycznych w ramach czynności o czysto osobistym lub domowym charakterze</w:t>
            </w:r>
            <w:r w:rsidRPr="003746B8">
              <w:rPr>
                <w:b/>
                <w:i/>
              </w:rPr>
              <w:t xml:space="preserve"> lub dla osób fizycznych pobierających wynagrodzenia, emerytury lub świadczeni</w:t>
            </w:r>
            <w:r w:rsidRPr="003746B8">
              <w:rPr>
                <w:b/>
                <w:i/>
              </w:rPr>
              <w:t>a rządowe</w:t>
            </w:r>
            <w:r w:rsidRPr="003746B8">
              <w:t>. Wyjątki od obowiązku akceptacji należy także przewidzieć w odniesieniu do mikroprzedsiębiorstw, które w strefie euro mają szczególne znaczenie dla rozwoju przedsiębiorczości, tworzenia miejsc pracy i innowacji, a także odgrywają istotną rolę w k</w:t>
            </w:r>
            <w:r w:rsidRPr="003746B8">
              <w:t>ształtowaniu gospodarki. Polityka i działania Unii powinny prowadzić do zmniejszenia obciążeń regulacyjnych nakładanych na przedsiębiorstwa tej wielkości. Należy również przewidzieć wyjątki od obowiązku akceptacji dla podmiotów prawnych o charakterze nieza</w:t>
            </w:r>
            <w:r w:rsidRPr="003746B8">
              <w:t>robkowym, które działają w interesie publicznym i służą dobru publicznemu, ponieważ realizują różne cele leżące w interesie społecznym, w tym związane z równością, edukacją, zdrowiem, ochroną środowiska i prawami człowieka. W przypadku mikroprzedsiębiorstw</w:t>
            </w:r>
            <w:r w:rsidRPr="003746B8">
              <w:t xml:space="preserve"> i podmiotów prawnych o charakterze niezarobkowym nabycie wymaganej infrastruktury i koszty związane z akceptowaniem byłyby niewspółmiernie </w:t>
            </w:r>
            <w:r w:rsidRPr="003746B8">
              <w:lastRenderedPageBreak/>
              <w:t>wysokie. Podmioty te należy zatem zwolnić z obowiązku akceptacji płatności w cyfrowym euro. W takich przypadkach nad</w:t>
            </w:r>
            <w:r w:rsidRPr="003746B8">
              <w:t>al powinny być dostępne inne sposoby regulowania zobowiązań pieniężnych. Mikroprzedsiębiorstwa i podmioty prawne o charakterze niezarobkowym, które akceptują cyfrowe środki płatnicze od płatników, powinny jednak podlegać obowiązkowi akceptacji płatności w </w:t>
            </w:r>
            <w:r w:rsidRPr="003746B8">
              <w:t>cyfrowym euro. Mikroprzedsiębiorstwa i</w:t>
            </w:r>
            <w:r w:rsidRPr="003746B8">
              <w:rPr>
                <w:b/>
                <w:i/>
              </w:rPr>
              <w:t xml:space="preserve"> </w:t>
            </w:r>
            <w:r w:rsidRPr="003746B8">
              <w:t>podmioty prawne o</w:t>
            </w:r>
            <w:r w:rsidRPr="003746B8">
              <w:rPr>
                <w:b/>
                <w:i/>
              </w:rPr>
              <w:t xml:space="preserve"> </w:t>
            </w:r>
            <w:r w:rsidRPr="003746B8">
              <w:t>charakterze niezarobkowym, które nie akceptują</w:t>
            </w:r>
            <w:r w:rsidRPr="003746B8">
              <w:rPr>
                <w:b/>
                <w:i/>
              </w:rPr>
              <w:t> </w:t>
            </w:r>
            <w:r w:rsidRPr="003746B8">
              <w:t>cyfrowych środków płatniczych od płatników w</w:t>
            </w:r>
            <w:r w:rsidRPr="003746B8">
              <w:rPr>
                <w:b/>
                <w:i/>
              </w:rPr>
              <w:t xml:space="preserve"> </w:t>
            </w:r>
            <w:r w:rsidRPr="003746B8">
              <w:t>celu uregulowania ich zobowiązań (np. akceptują tylko banknoty i</w:t>
            </w:r>
            <w:r w:rsidRPr="003746B8">
              <w:rPr>
                <w:b/>
                <w:i/>
              </w:rPr>
              <w:t xml:space="preserve"> </w:t>
            </w:r>
            <w:r w:rsidRPr="003746B8">
              <w:t>monety euro), nie powinny podlegać obowiąz</w:t>
            </w:r>
            <w:r w:rsidRPr="003746B8">
              <w:t>kowi akceptacji płatności w</w:t>
            </w:r>
            <w:r w:rsidRPr="003746B8">
              <w:rPr>
                <w:b/>
                <w:i/>
              </w:rPr>
              <w:t xml:space="preserve"> </w:t>
            </w:r>
            <w:r w:rsidRPr="003746B8">
              <w:t>cyfrowym euro. Ponadto odbiorca może odmówić akceptacji płatności w cyfrowym euro, jeżeli dokonuje takiej odmowy w dobrej wierze i podaje jej uzasadnione i mające zastosowanie w danym czasie powody, proporcjonalne do konkretnych</w:t>
            </w:r>
            <w:r w:rsidRPr="003746B8">
              <w:t xml:space="preserve"> okoliczności pozostających poza jego kontrolą, prowadzących do niemożności akceptacji płatności w cyfrowym euro w danym momencie dokonywania transakcji, takich jak brak zasilania w przypadku transakcji płatniczych w cyfrowym euro dokonywanych w trybie onl</w:t>
            </w:r>
            <w:r w:rsidRPr="003746B8">
              <w:t>ine lub uszkodzenie urządzenia w przypadku transakcji płatniczych w cyfrowym euro dokonywanych w trybie offline lub online.</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lastRenderedPageBreak/>
        <w:t>&lt;Amend&gt;</w:t>
      </w:r>
      <w:r w:rsidRPr="003746B8">
        <w:t>Poprawka</w:t>
      </w:r>
      <w:r w:rsidRPr="003746B8">
        <w:tab/>
      </w:r>
      <w:r w:rsidRPr="003746B8">
        <w:tab/>
      </w:r>
      <w:r w:rsidRPr="003746B8">
        <w:rPr>
          <w:rStyle w:val="HideTWBExt"/>
          <w:b w:val="0"/>
        </w:rPr>
        <w:t>&lt;NumAm&gt;</w:t>
      </w:r>
      <w:r w:rsidRPr="003746B8">
        <w:t>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19</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(19)</w:t>
            </w:r>
            <w:r w:rsidRPr="003746B8">
              <w:tab/>
              <w:t xml:space="preserve">W celu zapewnienia możliwości wprowadzenia w późniejszym czasie dodatkowych wyjątków od obowiązku akceptacji cyfrowego euro, jeżeli będą one wymagane, na przykład ze względu na uwarunkowania techniczne, które </w:t>
            </w:r>
            <w:r w:rsidRPr="003746B8">
              <w:t>mogą wystąpić w przyszłości, należy przekazać Komisji uprawnienia do przyjmowania aktów zgodnie z art. 290 Traktatu o funkcjonowaniu Unii Europejskiej w odniesieniu do wprowadzenia dodatkowych wyjątków wchodzących w zakres prawa walutowego od obowiązku akc</w:t>
            </w:r>
            <w:r w:rsidRPr="003746B8">
              <w:t>eptowania transakcji płatniczych w cyfrowym euro, które to wyjątki miałyby zastosowanie w sposób zharmonizowany w całej strefie euro i byłyby wprowadzane z uwzględnieniem wszelkich wniosków państw członkowskich w tym zakresie. Komisja może przyjąć takie wy</w:t>
            </w:r>
            <w:r w:rsidRPr="003746B8">
              <w:t xml:space="preserve">jątki tylko wtedy, gdy są one konieczne, uzasadnione interesem ogólnym, proporcjonalne </w:t>
            </w:r>
            <w:r w:rsidRPr="003746B8">
              <w:rPr>
                <w:b/>
                <w:i/>
              </w:rPr>
              <w:t>i </w:t>
            </w:r>
            <w:r w:rsidRPr="003746B8">
              <w:t>nie ograniczają skuteczności statusu cyfrowego euro jako prawnego środka płatniczego. Uprawnienia Komisji do przyjmowania aktów delegowanych w celu wprowadzenia dodatk</w:t>
            </w:r>
            <w:r w:rsidRPr="003746B8">
              <w:t>owych wyjątków od obowiązku akceptowania transakcji płatniczych w cyfrowym euro powinny pozostawać bez uszczerbku dla możliwości przyjmowania przez państwa członkowskie, zgodnie z ich własnymi uprawnieniami w obszarach kompetencji dzielonych, przepisów kra</w:t>
            </w:r>
            <w:r w:rsidRPr="003746B8">
              <w:t>jowych wprowadzających wyjątki od obowiązku akceptacji wynikającego ze statusu prawnego środka płatniczego zgodnie z warunkami określonymi przez Trybunał Sprawiedliwości Unii Europejskiej w sprawach połączonych C-422/19 i C-423/19.</w:t>
            </w:r>
          </w:p>
        </w:tc>
        <w:tc>
          <w:tcPr>
            <w:tcW w:w="4876" w:type="dxa"/>
            <w:hideMark/>
          </w:tcPr>
          <w:p w:rsidR="002F7FE1" w:rsidRPr="003746B8" w:rsidRDefault="00B029A7" w:rsidP="000462E9">
            <w:pPr>
              <w:pStyle w:val="Normal6"/>
              <w:rPr>
                <w:szCs w:val="24"/>
              </w:rPr>
            </w:pPr>
            <w:r w:rsidRPr="003746B8">
              <w:t>(19)</w:t>
            </w:r>
            <w:r w:rsidRPr="003746B8">
              <w:tab/>
              <w:t xml:space="preserve">W celu zapewnienia </w:t>
            </w:r>
            <w:r w:rsidRPr="003746B8">
              <w:t xml:space="preserve">możliwości wprowadzenia w późniejszym czasie dodatkowych wyjątków od obowiązku akceptacji cyfrowego euro, jeżeli będą one wymagane, na przykład ze względu na uwarunkowania techniczne, które mogą wystąpić w przyszłości, należy przekazać Komisji uprawnienia </w:t>
            </w:r>
            <w:r w:rsidRPr="003746B8">
              <w:t>do przyjmowania aktów zgodnie z art. 290 Traktatu o funkcjonowaniu Unii Europejskiej w odniesieniu do wprowadzenia dodatkowych wyjątków wchodzących w zakres prawa walutowego od obowiązku akceptowania transakcji płatniczych w cyfrowym euro, które to wyjątki</w:t>
            </w:r>
            <w:r w:rsidRPr="003746B8">
              <w:t xml:space="preserve"> miałyby zastosowanie w sposób zharmonizowany w całej strefie euro i byłyby wprowadzane z uwzględnieniem wszelkich wniosków </w:t>
            </w:r>
            <w:r w:rsidRPr="003746B8">
              <w:rPr>
                <w:b/>
                <w:i/>
              </w:rPr>
              <w:t xml:space="preserve">Parlamentu Europejskiego i </w:t>
            </w:r>
            <w:r w:rsidRPr="003746B8">
              <w:t>państw członkowskich w tym zakresie. Komisja może przyjąć takie wyjątki tylko wtedy, gdy są one konieczne</w:t>
            </w:r>
            <w:r w:rsidRPr="003746B8">
              <w:t>, uzasadnione interesem ogólnym, proporcjonalne</w:t>
            </w:r>
            <w:r w:rsidRPr="003746B8">
              <w:rPr>
                <w:b/>
                <w:i/>
              </w:rPr>
              <w:t>,</w:t>
            </w:r>
            <w:r w:rsidRPr="003746B8">
              <w:t xml:space="preserve"> nie ograniczają skuteczności statusu cyfrowego euro jako prawnego środka płatniczego</w:t>
            </w:r>
            <w:r w:rsidRPr="003746B8">
              <w:rPr>
                <w:b/>
                <w:i/>
              </w:rPr>
              <w:t xml:space="preserve"> oraz tylko wówczas, gdy dostępne są inne publiczne środki płatności zobowiązań pieniężnych</w:t>
            </w:r>
            <w:r w:rsidRPr="003746B8">
              <w:t>. Uprawnienia Komisji do przyjmo</w:t>
            </w:r>
            <w:r w:rsidRPr="003746B8">
              <w:t>wania aktów delegowanych w celu wprowadzenia dodatkowych wyjątków od obowiązku akceptowania transakcji płatniczych w cyfrowym euro powinny pozostawać bez uszczerbku dla możliwości przyjmowania przez państwa członkowskie, zgodnie z ich własnymi uprawnieniam</w:t>
            </w:r>
            <w:r w:rsidRPr="003746B8">
              <w:t xml:space="preserve">i w obszarach kompetencji dzielonych, przepisów krajowych wprowadzających wyjątki od obowiązku akceptacji wynikającego ze statusu prawnego środka płatniczego zgodnie z warunkami określonymi przez Trybunał Sprawiedliwości Unii </w:t>
            </w:r>
            <w:r w:rsidRPr="003746B8">
              <w:lastRenderedPageBreak/>
              <w:t>Europejskiej w sprawach połącz</w:t>
            </w:r>
            <w:r w:rsidRPr="003746B8">
              <w:t>onych C-422/19 i C-423/19.</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21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(21)</w:t>
            </w:r>
            <w:r w:rsidRPr="003746B8">
              <w:tab/>
              <w:t xml:space="preserve">Głównym celem wprowadzenia cyfrowego euro jest </w:t>
            </w:r>
            <w:r w:rsidRPr="003746B8">
              <w:t>używanie go jako formy jednej waluty będącej prawnym środkiem płatniczym w strefie euro. W tym celu i zgodnie z Porozumieniem o Europejskim Obszarze Gospodarczym użytkownicy cyfrowego euro mający miejsce zamieszkania lub siedzibę w strefie euro, w tym kons</w:t>
            </w:r>
            <w:r w:rsidRPr="003746B8">
              <w:t xml:space="preserve">umenci nieposiadający stałego adresu zamieszkania, osoby ubiegające się o azyl oraz konsumenci, którym nie wydano zezwolenia na pobyt, ale których wydalenie jest niemożliwe z przyczyn prawnych lub faktycznych, mogą korzystać z usług płatniczych związanych </w:t>
            </w:r>
            <w:r w:rsidRPr="003746B8">
              <w:t>z cyfrowym euro świadczonych przez dostawców usług płatniczych mających siedzibę w Europejskim Obszarze Gospodarczym. Osoby fizyczne i prawne, które już korzystały z usług płatniczych związanych z cyfrowym euro, ponieważ otworzyły rachunek płatniczy w cyfr</w:t>
            </w:r>
            <w:r w:rsidRPr="003746B8">
              <w:t>owym euro w czasie, gdy miały miejsce zamieszkania lub siedzibę w państwie członkowskim, którego walutą jest euro, ale już nie mają miejsca zamieszkania lub siedziby w takim państwie członkowskim, mogą nadal korzystać z usług płatniczych związanych z cyfro</w:t>
            </w:r>
            <w:r w:rsidRPr="003746B8">
              <w:t xml:space="preserve">wym euro świadczonych przez dostawców usług płatniczych mających siedzibę w Europejskim Obszarze Gospodarczym, zgodnie z Porozumieniem o Europejskim Obszarze Gospodarczym, z zastrzeżeniem ewentualnych ograniczeń czasowych w odniesieniu do posiadania przez </w:t>
            </w:r>
            <w:r w:rsidRPr="003746B8">
              <w:t xml:space="preserve">te osoby miejsca zamieszkania lub siedziby, które może określić Europejski </w:t>
            </w:r>
            <w:r w:rsidRPr="003746B8">
              <w:lastRenderedPageBreak/>
              <w:t>Bank Centralny.</w:t>
            </w:r>
          </w:p>
        </w:tc>
        <w:tc>
          <w:tcPr>
            <w:tcW w:w="4876" w:type="dxa"/>
            <w:hideMark/>
          </w:tcPr>
          <w:p w:rsidR="002F7FE1" w:rsidRPr="003746B8" w:rsidRDefault="00B029A7" w:rsidP="000462E9">
            <w:pPr>
              <w:pStyle w:val="Normal6"/>
              <w:rPr>
                <w:szCs w:val="24"/>
              </w:rPr>
            </w:pPr>
            <w:r w:rsidRPr="003746B8">
              <w:lastRenderedPageBreak/>
              <w:t>(21)</w:t>
            </w:r>
            <w:r w:rsidRPr="003746B8">
              <w:tab/>
              <w:t xml:space="preserve">Głównym celem wprowadzenia cyfrowego euro jest używanie go jako </w:t>
            </w:r>
            <w:r w:rsidRPr="003746B8">
              <w:rPr>
                <w:b/>
                <w:i/>
              </w:rPr>
              <w:t xml:space="preserve">dodatkowej </w:t>
            </w:r>
            <w:r w:rsidRPr="003746B8">
              <w:t>formy jednej waluty będącej prawnym środkiem płatniczym w strefie euro. W tym celu i </w:t>
            </w:r>
            <w:r w:rsidRPr="003746B8">
              <w:t>zgodnie z Porozumieniem o Europejskim Obszarze Gospodarczym użytkownicy cyfrowego euro mający miejsce zamieszkania lub siedzibę w strefie euro, w tym konsumenci nieposiadający stałego adresu zamieszkania, osoby ubiegające się o azyl oraz konsumenci, którym</w:t>
            </w:r>
            <w:r w:rsidRPr="003746B8">
              <w:t xml:space="preserve"> nie wydano zezwolenia na pobyt, ale których wydalenie jest niemożliwe z przyczyn prawnych lub faktycznych, mogą korzystać z usług płatniczych związanych z cyfrowym euro świadczonych przez dostawców usług płatniczych mających siedzibę w Europejskim Obszarz</w:t>
            </w:r>
            <w:r w:rsidRPr="003746B8">
              <w:t>e Gospodarczym. Osoby fizyczne i prawne, które już korzystały z usług płatniczych związanych z cyfrowym euro, ponieważ otworzyły rachunek płatniczy w cyfrowym euro w czasie, gdy miały miejsce zamieszkania lub siedzibę w państwie członkowskim, którego walut</w:t>
            </w:r>
            <w:r w:rsidRPr="003746B8">
              <w:t>ą jest euro, ale już nie mają miejsca zamieszkania lub siedziby w takim państwie członkowskim, mogą nadal korzystać z usług płatniczych związanych z cyfrowym euro świadczonych przez dostawców usług płatniczych mających siedzibę w Europejskim Obszarze Gospo</w:t>
            </w:r>
            <w:r w:rsidRPr="003746B8">
              <w:t xml:space="preserve">darczym, zgodnie z Porozumieniem o Europejskim Obszarze Gospodarczym, z zastrzeżeniem ewentualnych ograniczeń czasowych w odniesieniu do posiadania przez te osoby miejsca zamieszkania lub siedziby, które </w:t>
            </w:r>
            <w:r w:rsidRPr="003746B8">
              <w:lastRenderedPageBreak/>
              <w:t xml:space="preserve">może określić Europejski Bank Centralny. </w:t>
            </w:r>
            <w:r w:rsidRPr="003746B8">
              <w:rPr>
                <w:b/>
                <w:i/>
              </w:rPr>
              <w:t>Do tych cel</w:t>
            </w:r>
            <w:r w:rsidRPr="003746B8">
              <w:rPr>
                <w:b/>
                <w:i/>
              </w:rPr>
              <w:t>ów Urząd ds. Przeciwdziałania Praniu Pieniędzy i Europejski Urząd Nadzoru Bankowego wspólnie wydają wytyczne określające interakcję między wymogami dotyczącymi AML/CFT a świadczeniem podstawowych usług płatniczych związanych z cyfrowym euro. Wytyczne nie w</w:t>
            </w:r>
            <w:r w:rsidRPr="003746B8">
              <w:rPr>
                <w:b/>
                <w:i/>
              </w:rPr>
              <w:t>ymagają rejestracji statusu potencjalnych użytkowników cyfrowego euro przez dostawców usług płatniczych, w tym jako osoby ubiegającej się o azyl lub korzystającej z ochrony międzynarodowej lub nieposiadającej stałego adresu albo jako obywatela państwa trze</w:t>
            </w:r>
            <w:r w:rsidRPr="003746B8">
              <w:rPr>
                <w:b/>
                <w:i/>
              </w:rPr>
              <w:t>ciego, któremu nie przyznano dokumentu pobytowego.</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31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(31)</w:t>
            </w:r>
            <w:r w:rsidRPr="003746B8">
              <w:tab/>
              <w:t xml:space="preserve">Zgodnie ze swoimi </w:t>
            </w:r>
            <w:r w:rsidRPr="003746B8">
              <w:t>uprawnieniami wynikającymi z Traktatów i zgodnie z przepisami niniejszego rozporządzenia Europejski Bank Centralny powinien mieć możliwość określania ograniczeń w korzystaniu z cyfrowego euro jako środka przechowywania wartości. Skuteczne korzystanie z cyf</w:t>
            </w:r>
            <w:r w:rsidRPr="003746B8">
              <w:t>rowego euro jako prawnego środka płatniczego należy utrzymać przez określenie limitu wysokości opłat pobieranych w ramach rozliczeń między dostawcami usług płatniczych lub opłat ponoszonych przez akceptantów.</w:t>
            </w:r>
          </w:p>
        </w:tc>
        <w:tc>
          <w:tcPr>
            <w:tcW w:w="4876" w:type="dxa"/>
            <w:hideMark/>
          </w:tcPr>
          <w:p w:rsidR="002F7FE1" w:rsidRPr="003746B8" w:rsidRDefault="00B029A7" w:rsidP="000462E9">
            <w:pPr>
              <w:pStyle w:val="Normal6"/>
              <w:rPr>
                <w:szCs w:val="24"/>
              </w:rPr>
            </w:pPr>
            <w:r w:rsidRPr="003746B8">
              <w:t>(31)</w:t>
            </w:r>
            <w:r w:rsidRPr="003746B8">
              <w:tab/>
              <w:t>Zgodnie ze swoimi uprawnieniami wynikający</w:t>
            </w:r>
            <w:r w:rsidRPr="003746B8">
              <w:t xml:space="preserve">mi z Traktatów i zgodnie z przepisami niniejszego rozporządzenia Europejski Bank Centralny powinien mieć możliwość określania ograniczeń w korzystaniu z cyfrowego euro jako środka przechowywania wartości. </w:t>
            </w:r>
            <w:r w:rsidRPr="003746B8">
              <w:rPr>
                <w:b/>
                <w:i/>
              </w:rPr>
              <w:t>Takie ograniczenia powinny uwzględniać wpływ na sta</w:t>
            </w:r>
            <w:r w:rsidRPr="003746B8">
              <w:rPr>
                <w:b/>
                <w:i/>
              </w:rPr>
              <w:t>bilność finansową UE i sektor bankowy, a także wpływ na interesy klientów.</w:t>
            </w:r>
            <w:r w:rsidRPr="003746B8">
              <w:t xml:space="preserve"> Skuteczne korzystanie z cyfrowego euro jako prawnego środka płatniczego należy utrzymać przez określenie limitu wysokości opłat pobieranych w ramach rozliczeń między dostawcami usłu</w:t>
            </w:r>
            <w:r w:rsidRPr="003746B8">
              <w:t>g płatniczych lub opłat ponoszonych przez akceptantów.</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lastRenderedPageBreak/>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32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(32)</w:t>
            </w:r>
            <w:r w:rsidRPr="003746B8">
              <w:tab/>
              <w:t xml:space="preserve">Brak ograniczeń </w:t>
            </w:r>
            <w:r w:rsidRPr="003746B8">
              <w:t>w korzystaniu z cyfrowego euro jako środka przechowywania wartości mógłby zagrozić stabilności finansowej w strefie euro, co wpłynęłoby niekorzystnie na udzielanie kredytów podmiotom gospodarczym przez instytucje kredytowe. W związku z tym w celu zapewnien</w:t>
            </w:r>
            <w:r w:rsidRPr="003746B8">
              <w:t xml:space="preserve">ia stabilności systemu finansowego i zgodnie z zasadą proporcjonalności Europejski Bank Centralny może wprowadzić ograniczenia w korzystaniu z cyfrowego euro jako środka przechowywania wartości. Narzędzia polityczne, które można by wykorzystać w tym celu, </w:t>
            </w:r>
            <w:r w:rsidRPr="003746B8">
              <w:t>obejmują między innymi ograniczenia ilościowe dotyczące indywidualnych zasobów cyfrowego euro oraz ograniczenia dotyczące wymiany innych kategorii środków pieniężnych na cyfrowe euro w określonym czasie. Przy podejmowaniu decyzji o parametrach i wykorzysta</w:t>
            </w:r>
            <w:r w:rsidRPr="003746B8">
              <w:t>niu instrumentów, o których mowa w ust. 1, Europejski Bank Centralny powinien przestrzegać zasady otwartej gospodarki rynkowej z wolną konkurencją zgodnie z art. 127 ust. 1 TFUE.</w:t>
            </w:r>
          </w:p>
        </w:tc>
        <w:tc>
          <w:tcPr>
            <w:tcW w:w="4876" w:type="dxa"/>
            <w:hideMark/>
          </w:tcPr>
          <w:p w:rsidR="002F7FE1" w:rsidRPr="003746B8" w:rsidRDefault="00B029A7" w:rsidP="000462E9">
            <w:pPr>
              <w:pStyle w:val="Normal6"/>
              <w:rPr>
                <w:szCs w:val="24"/>
              </w:rPr>
            </w:pPr>
            <w:r w:rsidRPr="003746B8">
              <w:t>(32)</w:t>
            </w:r>
            <w:r w:rsidRPr="003746B8">
              <w:tab/>
              <w:t>Brak ograniczeń w korzystaniu z cyfrowego euro jako środka przechowywani</w:t>
            </w:r>
            <w:r w:rsidRPr="003746B8">
              <w:t>a wartości mógłby zagrozić stabilności finansowej w strefie euro, co wpłynęłoby niekorzystnie na udzielanie kredytów podmiotom gospodarczym przez instytucje kredytowe. W związku z tym w celu zapewnienia stabilności systemu finansowego i zgodnie z zasadą pr</w:t>
            </w:r>
            <w:r w:rsidRPr="003746B8">
              <w:t xml:space="preserve">oporcjonalności Europejski Bank Centralny może wprowadzić ograniczenia w korzystaniu z cyfrowego euro jako środka przechowywania wartości. Narzędzia polityczne, które można by wykorzystać w tym celu, obejmują między innymi ograniczenia ilościowe dotyczące </w:t>
            </w:r>
            <w:r w:rsidRPr="003746B8">
              <w:t>indywidualnych zasobów cyfrowego euro oraz ograniczenia dotyczące wymiany innych kategorii środków pieniężnych na cyfrowe euro w określonym czasie. Przy podejmowaniu decyzji o parametrach i wykorzystaniu instrumentów, o których mowa w ust. 1, Europejski Ba</w:t>
            </w:r>
            <w:r w:rsidRPr="003746B8">
              <w:t xml:space="preserve">nk Centralny powinien przestrzegać zasady otwartej gospodarki rynkowej z wolną konkurencją zgodnie z art. 127 ust. 1 TFUE. </w:t>
            </w:r>
            <w:r w:rsidRPr="003746B8">
              <w:rPr>
                <w:b/>
                <w:i/>
              </w:rPr>
              <w:t>Wymiana cyfrowego euro na inne formy euro, w tym gotówkę, powinna zawsze odbywać się bez ograniczeń.</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8</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32 a (nowy)</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(32a)</w:t>
            </w:r>
            <w:r w:rsidRPr="003746B8">
              <w:rPr>
                <w:b/>
                <w:i/>
              </w:rPr>
              <w:tab/>
              <w:t xml:space="preserve">W celu ochrony prywatności użytkowników cyfrowego euro w trybie offline w największym możliwym </w:t>
            </w:r>
            <w:r w:rsidRPr="003746B8">
              <w:rPr>
                <w:b/>
                <w:i/>
              </w:rPr>
              <w:t xml:space="preserve">zakresie Europejski Bank Centralny może rozważyć wprowadzenie limitów utrzymywanej kwoty na rachunkach </w:t>
            </w:r>
            <w:r w:rsidRPr="003746B8">
              <w:rPr>
                <w:b/>
                <w:i/>
              </w:rPr>
              <w:lastRenderedPageBreak/>
              <w:t>płatniczych w cyfrowym euro dla zasobów offline i online, niezależnych od siebie. Oba limity mogłyby być obliczane indywidualnie na podstawie specyfiki k</w:t>
            </w:r>
            <w:r w:rsidRPr="003746B8">
              <w:rPr>
                <w:b/>
                <w:i/>
              </w:rPr>
              <w:t>ażdej formy cyfrowego euro. W ten sposób użytkownicy cyfrowego euro nie znajdowaliby się w sytuacji, w której obniżenie limitu utrzymywanej kwoty cyfrowego euro w trybie offline umożliwiłoby im posiadanie większych zasobów cyfrowego euro online i odwrotnie</w:t>
            </w:r>
            <w:r w:rsidRPr="003746B8">
              <w:rPr>
                <w:b/>
                <w:i/>
              </w:rPr>
              <w:t>. Taka sytuacja naraża na szwank ochronę prywatności cyfrowego euro offline, ponieważ zmiana limitu utrzymywanej w nim kwoty po stronie użytkownika skutkowałaby ujawnieniem kwoty, jaką faktycznie utrzymuje lub chce utrzymywać. Podważa to także podobieństwo</w:t>
            </w:r>
            <w:r w:rsidRPr="003746B8">
              <w:rPr>
                <w:b/>
                <w:i/>
              </w:rPr>
              <w:t xml:space="preserve"> cyfrowego euro w trybie offline do gotówki, w przypadku której nie istnieje limit utrzymywanej kwoty, a ilość gotówki, którą posiada użytkownik, nie zależy od kwoty utrzymywanej na rachunku bankowym.</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9</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34 a (nowy)</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(34a)</w:t>
            </w:r>
            <w:r w:rsidRPr="003746B8">
              <w:rPr>
                <w:b/>
                <w:i/>
              </w:rPr>
              <w:tab/>
              <w:t xml:space="preserve">Zasadnicze znaczenie ma to, by utworzenie cyfrowego euro w trybie offline nie dawało podstaw do śledzenia lub kontrolowania </w:t>
            </w:r>
            <w:r w:rsidRPr="003746B8">
              <w:rPr>
                <w:b/>
                <w:i/>
              </w:rPr>
              <w:t>sposobu jego wydawania w porównaniu z gotówką.</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10</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40</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(40)</w:t>
            </w:r>
            <w:r w:rsidRPr="003746B8">
              <w:tab/>
              <w:t xml:space="preserve">Aby zapewnić szeroki dostęp do </w:t>
            </w:r>
            <w:r w:rsidRPr="003746B8">
              <w:lastRenderedPageBreak/>
              <w:t>cyfrowego euro i korzystanie z niego zgodnie z jego statusem prawnego środka płatniczego oraz aby wesprzeć jego rolę jako monetarnego oparcia w strefie euro, osoby fizyczne mające miejsce zamieszkania w strefie euro, osoby fizyczne, które otworzyły rachune</w:t>
            </w:r>
            <w:r w:rsidRPr="003746B8">
              <w:t>k w cyfrowym euro w czasie, gdy miały miejsce zamieszkania w strefie euro, ale już go nie mają, a także osoby odwiedzające, nie powinny być obciążane opłatami za podstawowe usługi płatnicze związane z cyfrowym euro. Oznacza to, że tacy użytkownicy cyfroweg</w:t>
            </w:r>
            <w:r w:rsidRPr="003746B8">
              <w:t>o euro nie powinni ponosić żadnych bezpośrednich opłat za podstawowy dostęp do cyfrowego euro i podstawowe korzystanie z niego, w tym nie powinni być obciążani opłatami transakcyjnymi ani żadnymi innymi opłatami, które są bezpośrednio powiązane ze świadcze</w:t>
            </w:r>
            <w:r w:rsidRPr="003746B8">
              <w:t>niem usług związanych z podstawowym korzystaniem z cyfrowego euro. Użytkownicy cyfrowego euro nie powinni być zobowiązani do posiadania lub otwierania rachunku płatniczego w niecyfrowym euro ani do akceptowania innych produktów w niecyfrowym euro. Jeżeli u</w:t>
            </w:r>
            <w:r w:rsidRPr="003746B8">
              <w:t xml:space="preserve">żytkownik cyfrowego euro wyraża zgodę na korzystanie z pakietu usług obejmującego usługi związane z niecyfrowym euro i podstawowe usługi płatnicze związane z cyfrowym euro, </w:t>
            </w:r>
            <w:r w:rsidRPr="003746B8">
              <w:rPr>
                <w:b/>
                <w:i/>
              </w:rPr>
              <w:t>dostawca</w:t>
            </w:r>
            <w:r w:rsidRPr="003746B8">
              <w:t xml:space="preserve"> usług </w:t>
            </w:r>
            <w:r w:rsidRPr="003746B8">
              <w:rPr>
                <w:b/>
                <w:i/>
              </w:rPr>
              <w:t>płatniczych powinien</w:t>
            </w:r>
            <w:r w:rsidRPr="003746B8">
              <w:t xml:space="preserve"> mieć </w:t>
            </w:r>
            <w:r w:rsidRPr="003746B8">
              <w:rPr>
                <w:b/>
                <w:i/>
              </w:rPr>
              <w:t>możliwość naliczania opłat za ten pakiet</w:t>
            </w:r>
            <w:r w:rsidRPr="003746B8">
              <w:t xml:space="preserve"> u</w:t>
            </w:r>
            <w:r w:rsidRPr="003746B8">
              <w:t>sług</w:t>
            </w:r>
            <w:r w:rsidRPr="003746B8">
              <w:rPr>
                <w:b/>
                <w:i/>
              </w:rPr>
              <w:t xml:space="preserve"> według swojego uznania</w:t>
            </w:r>
            <w:r w:rsidRPr="003746B8">
              <w:t>.</w:t>
            </w:r>
            <w:r w:rsidRPr="003746B8">
              <w:rPr>
                <w:b/>
                <w:i/>
              </w:rPr>
              <w:t xml:space="preserve"> W takim przypadku</w:t>
            </w:r>
            <w:r w:rsidRPr="003746B8">
              <w:t xml:space="preserve"> opłaty za usługi związane z niecyfrowym euro nie powinny być różnicowane w zależności od tego, czy są one oferowane oddzielnie czy jako część pakietu obejmującego podstawowe usługi płatnicze związane z cyfrowy</w:t>
            </w:r>
            <w:r w:rsidRPr="003746B8">
              <w:t>m euro. Jeżeli użytkownik cyfrowego euro chce korzystać wyłącznie z podstawowych usług płatniczych związanych z cyfrowym euro świadczonych przez danego dostawcę usług płatniczych i gdy ten użytkownik cyfrowego euro posiada również rachunek płatniczy w niec</w:t>
            </w:r>
            <w:r w:rsidRPr="003746B8">
              <w:t xml:space="preserve">yfrowym euro u innego dostawcy usług płatniczych, usługi </w:t>
            </w:r>
            <w:r w:rsidRPr="003746B8">
              <w:lastRenderedPageBreak/>
              <w:t>płatnicze związane z cyfrowym euro nie powinny być objęte opłatami, w tym opłatami za funkcje kaskady i odwróconej kaskady. Dostawcy usług płatniczych powinni mieć możliwość naliczania opłat od użytk</w:t>
            </w:r>
            <w:r w:rsidRPr="003746B8">
              <w:t>owników cyfrowego euro za dodatkowe usługi płatnicze związane z cyfrowym euro wykraczające poza podstawowe usługi płatnicze związane z cyfrowym euro.</w:t>
            </w:r>
          </w:p>
        </w:tc>
        <w:tc>
          <w:tcPr>
            <w:tcW w:w="4876" w:type="dxa"/>
            <w:hideMark/>
          </w:tcPr>
          <w:p w:rsidR="002F7FE1" w:rsidRPr="003746B8" w:rsidRDefault="00B029A7" w:rsidP="000462E9">
            <w:pPr>
              <w:pStyle w:val="Normal6"/>
              <w:rPr>
                <w:szCs w:val="24"/>
              </w:rPr>
            </w:pPr>
            <w:r w:rsidRPr="003746B8">
              <w:lastRenderedPageBreak/>
              <w:t>(40)</w:t>
            </w:r>
            <w:r w:rsidRPr="003746B8">
              <w:tab/>
              <w:t xml:space="preserve">Aby zapewnić szeroki dostęp do </w:t>
            </w:r>
            <w:r w:rsidRPr="003746B8">
              <w:lastRenderedPageBreak/>
              <w:t xml:space="preserve">cyfrowego euro i korzystanie z niego zgodnie z jego statusem prawnego </w:t>
            </w:r>
            <w:r w:rsidRPr="003746B8">
              <w:t>środka płatniczego oraz aby wesprzeć jego rolę jako monetarnego oparcia w strefie euro, osoby fizyczne mające miejsce zamieszkania w strefie euro, osoby fizyczne, które otworzyły rachunek w cyfrowym euro w czasie, gdy miały miejsce zamieszkania w strefie e</w:t>
            </w:r>
            <w:r w:rsidRPr="003746B8">
              <w:t>uro, ale już go nie mają, a także osoby odwiedzające, nie powinny być obciążane opłatami za podstawowe usługi płatnicze związane z cyfrowym euro. Oznacza to, że tacy użytkownicy cyfrowego euro nie powinni ponosić żadnych bezpośrednich opłat za podstawowy d</w:t>
            </w:r>
            <w:r w:rsidRPr="003746B8">
              <w:t>ostęp do cyfrowego euro i podstawowe korzystanie z niego, w tym nie powinni być obciążani opłatami transakcyjnymi ani żadnymi innymi opłatami, które są bezpośrednio powiązane ze świadczeniem usług związanych z podstawowym korzystaniem z cyfrowego euro. Uży</w:t>
            </w:r>
            <w:r w:rsidRPr="003746B8">
              <w:t>tkownicy cyfrowego euro nie powinni być zobowiązani do posiadania lub otwierania rachunku płatniczego w niecyfrowym euro ani do akceptowania innych produktów w niecyfrowym euro. Jeżeli użytkownik cyfrowego euro wyraża zgodę na korzystanie z pakietu usług o</w:t>
            </w:r>
            <w:r w:rsidRPr="003746B8">
              <w:t xml:space="preserve">bejmującego usługi związane z niecyfrowym euro i podstawowe usługi płatnicze związane z cyfrowym euro, </w:t>
            </w:r>
            <w:r w:rsidRPr="003746B8">
              <w:rPr>
                <w:b/>
                <w:i/>
              </w:rPr>
              <w:t>włączenie tego drugiego rodzaju</w:t>
            </w:r>
            <w:r w:rsidRPr="003746B8">
              <w:t xml:space="preserve"> usług </w:t>
            </w:r>
            <w:r w:rsidRPr="003746B8">
              <w:rPr>
                <w:b/>
                <w:i/>
              </w:rPr>
              <w:t>nie powinno</w:t>
            </w:r>
            <w:r w:rsidRPr="003746B8">
              <w:t xml:space="preserve"> mieć </w:t>
            </w:r>
            <w:r w:rsidRPr="003746B8">
              <w:rPr>
                <w:b/>
                <w:i/>
              </w:rPr>
              <w:t>wpływu na cenę pakietu</w:t>
            </w:r>
            <w:r w:rsidRPr="003746B8">
              <w:t xml:space="preserve"> usług.</w:t>
            </w:r>
            <w:r w:rsidRPr="003746B8">
              <w:rPr>
                <w:b/>
                <w:i/>
              </w:rPr>
              <w:t xml:space="preserve"> Innymi słowy,</w:t>
            </w:r>
            <w:r w:rsidRPr="003746B8">
              <w:t xml:space="preserve"> opłaty za usługi związane z niecyfrowym euro nie powin</w:t>
            </w:r>
            <w:r w:rsidRPr="003746B8">
              <w:t>ny być różnicowane w zależności od tego, czy są one oferowane oddzielnie czy jako część pakietu obejmującego podstawowe usługi płatnicze związane z cyfrowym euro. Jeżeli użytkownik cyfrowego euro chce korzystać wyłącznie z podstawowych usług płatniczych zw</w:t>
            </w:r>
            <w:r w:rsidRPr="003746B8">
              <w:t xml:space="preserve">iązanych z cyfrowym euro świadczonych przez danego dostawcę usług płatniczych i gdy ten użytkownik cyfrowego euro posiada również rachunek płatniczy w niecyfrowym euro u innego dostawcy usług płatniczych, usługi płatnicze związane z cyfrowym euro nie </w:t>
            </w:r>
            <w:r w:rsidRPr="003746B8">
              <w:lastRenderedPageBreak/>
              <w:t>powin</w:t>
            </w:r>
            <w:r w:rsidRPr="003746B8">
              <w:t>ny być objęte opłatami, w tym opłatami za funkcje kaskady i odwróconej kaskady. Dostawcy usług płatniczych powinni mieć możliwość naliczania opłat od użytkowników cyfrowego euro za dodatkowe usługi płatnicze związane z cyfrowym euro wykraczające poza podst</w:t>
            </w:r>
            <w:r w:rsidRPr="003746B8">
              <w:t>awowe usługi płatnicze związane z cyfrowym euro.</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41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(41)</w:t>
            </w:r>
            <w:r w:rsidRPr="003746B8">
              <w:tab/>
              <w:t xml:space="preserve">Europejski Bank Centralny ani </w:t>
            </w:r>
            <w:r w:rsidRPr="003746B8">
              <w:t>Eurosystem nie obciążają dostawców usług płatniczych kosztami ponoszonymi w związku ze świadczeniem przez nich usług związanych z cyfrowym euro na rzecz użytkowników cyfrowego euro.</w:t>
            </w:r>
          </w:p>
        </w:tc>
        <w:tc>
          <w:tcPr>
            <w:tcW w:w="4876" w:type="dxa"/>
            <w:hideMark/>
          </w:tcPr>
          <w:p w:rsidR="002F7FE1" w:rsidRPr="003746B8" w:rsidRDefault="00B029A7" w:rsidP="000462E9">
            <w:pPr>
              <w:pStyle w:val="Normal6"/>
              <w:rPr>
                <w:szCs w:val="24"/>
              </w:rPr>
            </w:pPr>
            <w:r w:rsidRPr="003746B8">
              <w:t>(41)</w:t>
            </w:r>
            <w:r w:rsidRPr="003746B8">
              <w:tab/>
              <w:t>Europejski Bank Centralny ani Eurosystem nie obciążają dostawców usłu</w:t>
            </w:r>
            <w:r w:rsidRPr="003746B8">
              <w:t xml:space="preserve">g płatniczych kosztami ponoszonymi w związku ze świadczeniem przez nich usług związanych z cyfrowym euro na rzecz użytkowników cyfrowego euro. </w:t>
            </w:r>
            <w:r w:rsidRPr="003746B8">
              <w:rPr>
                <w:b/>
                <w:i/>
              </w:rPr>
              <w:t>Podobnie dostawcy usług płatniczych nie powinni obciążać użytkowników kosztami ponoszonymi w związku z korzystani</w:t>
            </w:r>
            <w:r w:rsidRPr="003746B8">
              <w:rPr>
                <w:b/>
                <w:i/>
              </w:rPr>
              <w:t>em z podstawowych usług w cyfrowym euro.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47</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(47)</w:t>
            </w:r>
            <w:r w:rsidRPr="003746B8">
              <w:tab/>
              <w:t xml:space="preserve">Nadmierna dystrybucja cyfrowego euro </w:t>
            </w:r>
            <w:r w:rsidRPr="003746B8">
              <w:t>poza strefą euro mogłaby mieć niepożądany wpływ na wielkość i strukturę bilansu skonsolidowanego Europejskiego Banku Centralnego i krajowych banków centralnych. Wpływ na suwerenność monetarną i stabilność finansową państw spoza strefy euro może się również</w:t>
            </w:r>
            <w:r w:rsidRPr="003746B8">
              <w:t xml:space="preserve"> różnić w zależności od korzystania z cyfrowego euro poza strefą euro. Skutki te mogą być </w:t>
            </w:r>
            <w:r w:rsidRPr="003746B8">
              <w:lastRenderedPageBreak/>
              <w:t>niekorzystne, w przypadku gdy cyfrowe euro zastąpi walutę krajową w dużej liczbie transakcji krajowych. W szczególności sytuacja, w której cyfrowe euro zaczyna odgryw</w:t>
            </w:r>
            <w:r w:rsidRPr="003746B8">
              <w:t>ać wiodącą rolę w państwie członkowskim, którego walutą nie jest euro, faktycznie zastępując walutę krajową, może kolidować z kryteriami i procesem przyjęcia do strefy euro określonymi w art. 140 TFUE. Aby uniknąć niepożądanych skutków i zapobiec zagrożeni</w:t>
            </w:r>
            <w:r w:rsidRPr="003746B8">
              <w:t>om dla suwerenności monetarnej i stabilności finansowej zarówno w strefie euro, jak i poza nią, należy zapewnić Unii możliwość zawierania umów z państwami trzecimi</w:t>
            </w:r>
            <w:r w:rsidRPr="003746B8">
              <w:rPr>
                <w:b/>
                <w:i/>
              </w:rPr>
              <w:t>, a Europejskiemu Bankowi Centralnemu możliwość</w:t>
            </w:r>
            <w:r w:rsidRPr="003746B8">
              <w:t xml:space="preserve"> zawierania porozumień z</w:t>
            </w:r>
            <w:r w:rsidRPr="003746B8">
              <w:rPr>
                <w:b/>
                <w:i/>
              </w:rPr>
              <w:t> </w:t>
            </w:r>
            <w:r w:rsidRPr="003746B8">
              <w:t>krajowymi bankami cen</w:t>
            </w:r>
            <w:r w:rsidRPr="003746B8">
              <w:t xml:space="preserve">tralnymi państw członkowskich, których walutą nie jest euro, </w:t>
            </w:r>
            <w:r w:rsidRPr="003746B8">
              <w:rPr>
                <w:b/>
                <w:i/>
              </w:rPr>
              <w:t xml:space="preserve">oraz z krajowymi bankami centralnymi państw trzecich </w:t>
            </w:r>
            <w:r w:rsidRPr="003746B8">
              <w:t xml:space="preserve">w celu określenia warunków regularnego świadczenia usług płatniczych związanych z cyfrowym euro na rzecz użytkowników cyfrowego euro mających </w:t>
            </w:r>
            <w:r w:rsidRPr="003746B8">
              <w:t>miejsce zamieszkania lub siedzibę poza strefą euro. Takie umowy i porozumienia nie powinny obejmować osób odwiedzających strefę euro, na rzecz których dostawcy usług płatniczych mający siedzibę w Europejskim Obszarze Gospodarczym</w:t>
            </w:r>
            <w:r w:rsidRPr="003746B8">
              <w:rPr>
                <w:vertAlign w:val="superscript"/>
              </w:rPr>
              <w:t>31</w:t>
            </w:r>
            <w:r w:rsidRPr="003746B8">
              <w:t xml:space="preserve"> mogą bezpośrednio świadc</w:t>
            </w:r>
            <w:r w:rsidRPr="003746B8">
              <w:t>zyć usługi płatnicze związane z cyfrowym euro zgodnie z Porozumieniem o Europejskim Obszarze Gospodarczym.</w:t>
            </w:r>
          </w:p>
        </w:tc>
        <w:tc>
          <w:tcPr>
            <w:tcW w:w="4876" w:type="dxa"/>
            <w:hideMark/>
          </w:tcPr>
          <w:p w:rsidR="002F7FE1" w:rsidRPr="003746B8" w:rsidRDefault="00B029A7" w:rsidP="000462E9">
            <w:pPr>
              <w:pStyle w:val="Normal6"/>
              <w:rPr>
                <w:szCs w:val="24"/>
              </w:rPr>
            </w:pPr>
            <w:r w:rsidRPr="003746B8">
              <w:lastRenderedPageBreak/>
              <w:t>(47)</w:t>
            </w:r>
            <w:r w:rsidRPr="003746B8">
              <w:tab/>
              <w:t>Nadmierna dystrybucja cyfrowego euro poza strefą euro mogłaby mieć niepożądany wpływ na wielkość i strukturę bilansu skonsolidowanego Europejski</w:t>
            </w:r>
            <w:r w:rsidRPr="003746B8">
              <w:t xml:space="preserve">ego Banku Centralnego i krajowych banków centralnych. Wpływ na suwerenność monetarną i stabilność finansową państw spoza strefy euro może się również różnić w zależności od korzystania z cyfrowego euro poza strefą euro. Skutki te mogą być </w:t>
            </w:r>
            <w:r w:rsidRPr="003746B8">
              <w:lastRenderedPageBreak/>
              <w:t>niekorzystne, w p</w:t>
            </w:r>
            <w:r w:rsidRPr="003746B8">
              <w:t>rzypadku gdy cyfrowe euro zastąpi walutę krajową w dużej liczbie transakcji krajowych. W szczególności sytuacja, w której cyfrowe euro zaczyna odgrywać wiodącą rolę w państwie członkowskim, którego walutą nie jest euro, faktycznie zastępując walutę krajową</w:t>
            </w:r>
            <w:r w:rsidRPr="003746B8">
              <w:t>, może kolidować z kryteriami i procesem przyjęcia do strefy euro określonymi w art. 140 TFUE. Aby uniknąć niepożądanych skutków i zapobiec zagrożeniom dla suwerenności monetarnej i stabilności finansowej zarówno w strefie euro, jak i poza nią, należy zape</w:t>
            </w:r>
            <w:r w:rsidRPr="003746B8">
              <w:t>wnić Unii możliwość zawierania umów z państwami trzecimi</w:t>
            </w:r>
            <w:r w:rsidRPr="003746B8">
              <w:rPr>
                <w:b/>
                <w:i/>
              </w:rPr>
              <w:t>.</w:t>
            </w:r>
            <w:r w:rsidRPr="003746B8">
              <w:t xml:space="preserve"> </w:t>
            </w:r>
            <w:r w:rsidRPr="003746B8">
              <w:rPr>
                <w:b/>
                <w:i/>
              </w:rPr>
              <w:t>Należy zachęcać Europejski Bank Centralny do</w:t>
            </w:r>
            <w:r w:rsidRPr="003746B8">
              <w:t xml:space="preserve"> zawierania porozumień z</w:t>
            </w:r>
            <w:r w:rsidRPr="003746B8">
              <w:rPr>
                <w:b/>
                <w:i/>
              </w:rPr>
              <w:t xml:space="preserve"> </w:t>
            </w:r>
            <w:r w:rsidRPr="003746B8">
              <w:t xml:space="preserve">krajowymi bankami centralnymi państw członkowskich, których walutą nie jest euro, w celu określenia warunków regularnego </w:t>
            </w:r>
            <w:r w:rsidRPr="003746B8">
              <w:t>świadczenia usług płatniczych związanych z cyfrowym euro na rzecz użytkowników cyfrowego euro mających miejsce zamieszkania lub siedzibę poza strefą euro</w:t>
            </w:r>
            <w:r w:rsidRPr="003746B8">
              <w:rPr>
                <w:b/>
                <w:i/>
              </w:rPr>
              <w:t>. Podobne porozumienia mogą być zawierane z krajowymi bankami centralnymi państw trzecich</w:t>
            </w:r>
            <w:r w:rsidRPr="003746B8">
              <w:t xml:space="preserve">. Takie umowy </w:t>
            </w:r>
            <w:r w:rsidRPr="003746B8">
              <w:t>i porozumienia nie powinny obejmować osób odwiedzających strefę euro, na rzecz których dostawcy usług płatniczych mający siedzibę w Europejskim Obszarze Gospodarczym</w:t>
            </w:r>
            <w:r w:rsidRPr="003746B8">
              <w:rPr>
                <w:vertAlign w:val="superscript"/>
              </w:rPr>
              <w:t>31</w:t>
            </w:r>
            <w:r w:rsidRPr="003746B8">
              <w:t xml:space="preserve"> mogą bezpośrednio świadczyć usługi płatnicze związane z cyfrowym euro zgodnie z Porozumi</w:t>
            </w:r>
            <w:r w:rsidRPr="003746B8">
              <w:t>eniem o Europejskim Obszarze Gospodarczym.</w:t>
            </w:r>
          </w:p>
        </w:tc>
      </w:tr>
      <w:tr w:rsidR="002859E2" w:rsidRPr="003746B8" w:rsidTr="000462E9">
        <w:trPr>
          <w:jc w:val="center"/>
        </w:trPr>
        <w:tc>
          <w:tcPr>
            <w:tcW w:w="4876" w:type="dxa"/>
            <w:hideMark/>
          </w:tcPr>
          <w:p w:rsidR="002F7FE1" w:rsidRPr="003746B8" w:rsidRDefault="00B029A7" w:rsidP="000462E9">
            <w:pPr>
              <w:pStyle w:val="Normal6"/>
            </w:pPr>
            <w:r w:rsidRPr="003746B8">
              <w:lastRenderedPageBreak/>
              <w:t>__________________</w:t>
            </w:r>
          </w:p>
        </w:tc>
        <w:tc>
          <w:tcPr>
            <w:tcW w:w="4876" w:type="dxa"/>
            <w:hideMark/>
          </w:tcPr>
          <w:p w:rsidR="002F7FE1" w:rsidRPr="003746B8" w:rsidRDefault="00B029A7" w:rsidP="000462E9">
            <w:pPr>
              <w:pStyle w:val="Normal6"/>
              <w:rPr>
                <w:szCs w:val="24"/>
              </w:rPr>
            </w:pPr>
            <w:r w:rsidRPr="003746B8">
              <w:t>__________________</w:t>
            </w:r>
          </w:p>
        </w:tc>
      </w:tr>
      <w:tr w:rsidR="002859E2" w:rsidRPr="003746B8" w:rsidTr="000462E9">
        <w:trPr>
          <w:jc w:val="center"/>
        </w:trPr>
        <w:tc>
          <w:tcPr>
            <w:tcW w:w="4876" w:type="dxa"/>
            <w:hideMark/>
          </w:tcPr>
          <w:p w:rsidR="002F7FE1" w:rsidRPr="003746B8" w:rsidRDefault="00B029A7" w:rsidP="000462E9">
            <w:pPr>
              <w:pStyle w:val="Normal6"/>
            </w:pPr>
            <w:r w:rsidRPr="003746B8">
              <w:rPr>
                <w:vertAlign w:val="superscript"/>
              </w:rPr>
              <w:t>31</w:t>
            </w:r>
            <w:r w:rsidRPr="003746B8">
              <w:t xml:space="preserve"> Porozumienie o Europejskim Obszarze Gospodarczym (Dz.U. L 1 z 3.1.1994, s. 3).</w:t>
            </w:r>
          </w:p>
        </w:tc>
        <w:tc>
          <w:tcPr>
            <w:tcW w:w="4876" w:type="dxa"/>
            <w:hideMark/>
          </w:tcPr>
          <w:p w:rsidR="002F7FE1" w:rsidRPr="003746B8" w:rsidRDefault="00B029A7" w:rsidP="000462E9">
            <w:pPr>
              <w:pStyle w:val="Normal6"/>
              <w:rPr>
                <w:szCs w:val="24"/>
              </w:rPr>
            </w:pPr>
            <w:r w:rsidRPr="003746B8">
              <w:rPr>
                <w:vertAlign w:val="superscript"/>
              </w:rPr>
              <w:t>31</w:t>
            </w:r>
            <w:r w:rsidRPr="003746B8">
              <w:t xml:space="preserve"> Porozumienie o Europejskim Obszarze Gospodarczym (Dz.U. L 1 z 3.1.1994, s. 3).</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48</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(48)</w:t>
            </w:r>
            <w:r w:rsidRPr="003746B8">
              <w:tab/>
              <w:t>Świadczenie usług płatniczych związanych z cyfrowym euro na rzecz użytkowników cyfrowego</w:t>
            </w:r>
            <w:r w:rsidRPr="003746B8">
              <w:t xml:space="preserve"> euro mających miejsce zamieszkania lub siedzibę w państwie członkowskim, którego walutą nie jest euro, powinno </w:t>
            </w:r>
            <w:r w:rsidRPr="003746B8">
              <w:rPr>
                <w:b/>
                <w:i/>
              </w:rPr>
              <w:t>podlegać porozumieniu zawartemu</w:t>
            </w:r>
            <w:r w:rsidRPr="003746B8">
              <w:t xml:space="preserve"> uprzednio między Europejskim Bankiem Centralnym a krajowym bankiem centralnym państwa członkowskiego, którego wa</w:t>
            </w:r>
            <w:r w:rsidRPr="003746B8">
              <w:t>lutą nie jest euro, na wniosek państwa członkowskiego, którego walutą nie jest euro. Zgodnie z Porozumieniem o Europejskim Obszarze Gospodarczym użytkownicy cyfrowego euro mający miejsce zamieszkania lub siedzibę w państwach członkowskich spoza strefy euro</w:t>
            </w:r>
            <w:r w:rsidRPr="003746B8">
              <w:t xml:space="preserve"> mogą korzystać z usług płatniczych związanych z cyfrowym euro świadczonych przez dostawców usług płatniczych mających siedzibę w Europejskim Obszarze Gospodarczym.</w:t>
            </w:r>
          </w:p>
        </w:tc>
        <w:tc>
          <w:tcPr>
            <w:tcW w:w="4876" w:type="dxa"/>
            <w:hideMark/>
          </w:tcPr>
          <w:p w:rsidR="002F7FE1" w:rsidRPr="003746B8" w:rsidRDefault="00B029A7" w:rsidP="000462E9">
            <w:pPr>
              <w:pStyle w:val="Normal6"/>
              <w:rPr>
                <w:szCs w:val="24"/>
              </w:rPr>
            </w:pPr>
            <w:r w:rsidRPr="003746B8">
              <w:t>(48)</w:t>
            </w:r>
            <w:r w:rsidRPr="003746B8">
              <w:tab/>
            </w:r>
            <w:r w:rsidRPr="003746B8">
              <w:rPr>
                <w:b/>
                <w:i/>
              </w:rPr>
              <w:t xml:space="preserve">Pierwotne wdrożenie cyfrowego euro w strefie euro nie powinno prowadzić do </w:t>
            </w:r>
            <w:r w:rsidRPr="003746B8">
              <w:rPr>
                <w:b/>
                <w:i/>
              </w:rPr>
              <w:t>dyskryminacji obywateli i przedsiębiorstw w państwach członkowskich, których walutą nie jest euro, ani do powstania w inny niezamierzony sposób podwójnych standardów na jednolitym rynku. Potencjalni użytkownicy cyfrowego euro w takich państwach członkowski</w:t>
            </w:r>
            <w:r w:rsidRPr="003746B8">
              <w:rPr>
                <w:b/>
                <w:i/>
              </w:rPr>
              <w:t>ch powinni mieć możliwość dobrowolnego przyjęcia cyfrowego euro w miarę możliwości.</w:t>
            </w:r>
            <w:r w:rsidRPr="003746B8">
              <w:t xml:space="preserve"> Świadczenie usług płatniczych związanych z cyfrowym euro na rzecz użytkowników cyfrowego euro mających miejsce zamieszkania lub siedzibę w państwie członkowskim, którego wa</w:t>
            </w:r>
            <w:r w:rsidRPr="003746B8">
              <w:t xml:space="preserve">lutą nie jest euro, powinno </w:t>
            </w:r>
            <w:r w:rsidRPr="003746B8">
              <w:rPr>
                <w:b/>
                <w:i/>
              </w:rPr>
              <w:t>być możliwe na podstawie porozumienia zawartego</w:t>
            </w:r>
            <w:r w:rsidRPr="003746B8">
              <w:t xml:space="preserve"> uprzednio między Europejskim Bankiem Centralnym a krajowym bankiem centralnym państwa członkowskiego, którego walutą nie jest euro, na wniosek państwa członkowskiego, którego walut</w:t>
            </w:r>
            <w:r w:rsidRPr="003746B8">
              <w:t>ą nie jest euro</w:t>
            </w:r>
            <w:r w:rsidRPr="003746B8">
              <w:rPr>
                <w:b/>
                <w:i/>
              </w:rPr>
              <w:t>. Takie rozwiązanie powinno zapewniać, aby osoby fizyczne i prawne stające się użytkownikami cyfrowego euro w państwie członkowskim, którego walutą nie jest euro, korzystały z tych samych warunków i możliwości korzystania z cyfrowego euro, c</w:t>
            </w:r>
            <w:r w:rsidRPr="003746B8">
              <w:rPr>
                <w:b/>
                <w:i/>
              </w:rPr>
              <w:t>o użytkownicy cyfrowego euro w państwach członkowskich, których walutą jest euro, w szczególności w odniesieniu do limitów utrzymywanej kwoty, zakresu podstawowych usług, zwolnienia z opłat itp., bez uszczerbku dla prerogatywy Europejskiego Banku Centralne</w:t>
            </w:r>
            <w:r w:rsidRPr="003746B8">
              <w:rPr>
                <w:b/>
                <w:i/>
              </w:rPr>
              <w:t>go, jaką jest ochrona celów jego polityki pieniężnej</w:t>
            </w:r>
            <w:r w:rsidRPr="003746B8">
              <w:t>. Zgodnie z Porozumieniem o Europejskim Obszarze Gospodarczym użytkownicy cyfrowego euro mający miejsce zamieszkania lub siedzibę w państwach członkowskich spoza strefy euro mogą korzystać z usług płatnic</w:t>
            </w:r>
            <w:r w:rsidRPr="003746B8">
              <w:t xml:space="preserve">zych związanych z cyfrowym euro </w:t>
            </w:r>
            <w:r w:rsidRPr="003746B8">
              <w:lastRenderedPageBreak/>
              <w:t>świadczonych przez dostawców usług płatniczych mających siedzibę w Europejskim Obszarze Gospodarczym.</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53</w:t>
      </w:r>
      <w:r w:rsidRPr="003746B8">
        <w:rPr>
          <w:rStyle w:val="HideTWBExt"/>
          <w:b w:val="0"/>
        </w:rPr>
        <w:t>&lt;/Art</w:t>
      </w:r>
      <w:r w:rsidRPr="003746B8">
        <w:rPr>
          <w:rStyle w:val="HideTWBExt"/>
          <w:b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(53)</w:t>
            </w:r>
            <w:r w:rsidRPr="003746B8">
              <w:tab/>
              <w:t>Umowy i porozumienia dotyczące świadczenia usług płatniczych związanych z cyfrowym euro lub płatności w różnych walutach z wykorzystaniem cyfrowego euro powinny być zawierane na zasadzie dobrowolności,</w:t>
            </w:r>
            <w:r w:rsidRPr="003746B8">
              <w:t xml:space="preserve"> w pierwszej kolejności z państwami członkowskimi spoza strefy euro. Europejski Bank Centralny powinien współpracować z krajowymi bankami centralnymi państw członkowskich, których walutą nie jest euro, w celu dokonywania płatności w różnych walutach z wyko</w:t>
            </w:r>
            <w:r w:rsidRPr="003746B8">
              <w:t>rzystaniem cyfrowego euro.</w:t>
            </w:r>
          </w:p>
        </w:tc>
        <w:tc>
          <w:tcPr>
            <w:tcW w:w="4876" w:type="dxa"/>
            <w:hideMark/>
          </w:tcPr>
          <w:p w:rsidR="002F7FE1" w:rsidRPr="003746B8" w:rsidRDefault="00B029A7" w:rsidP="000462E9">
            <w:pPr>
              <w:pStyle w:val="Normal6"/>
              <w:rPr>
                <w:szCs w:val="24"/>
              </w:rPr>
            </w:pPr>
            <w:r w:rsidRPr="003746B8">
              <w:t>(53)</w:t>
            </w:r>
            <w:r w:rsidRPr="003746B8">
              <w:tab/>
              <w:t>Umowy i porozumienia dotyczące świadczenia usług płatniczych związanych z cyfrowym euro lub płatności w różnych walutach z wykorzystaniem cyfrowego euro powinny być zawierane na zasadzie dobrowolności, w pierwszej kolejności</w:t>
            </w:r>
            <w:r w:rsidRPr="003746B8">
              <w:t xml:space="preserve"> z państwami członkowskimi spoza strefy euro. Europejski Bank Centralny powinien </w:t>
            </w:r>
            <w:r w:rsidRPr="003746B8">
              <w:rPr>
                <w:b/>
                <w:i/>
              </w:rPr>
              <w:t xml:space="preserve">aktywnie </w:t>
            </w:r>
            <w:r w:rsidRPr="003746B8">
              <w:t>współpracować z krajowymi bankami centralnymi państw członkowskich, których walutą nie jest euro, w celu dokonywania płatności w różnych walutach z wykorzystaniem cyf</w:t>
            </w:r>
            <w:r w:rsidRPr="003746B8">
              <w:t>rowego euro.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59</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(59)</w:t>
            </w:r>
            <w:r w:rsidRPr="003746B8">
              <w:tab/>
              <w:t xml:space="preserve">Aby zapewnić jednolity poziom obsługi użytkowników, przepisy, </w:t>
            </w:r>
            <w:r w:rsidRPr="003746B8">
              <w:t>normy i procesy dotyczące cyfrowego euro, które Europejski Bank Centralny może przyjąć w ramach własnych kompetencji, powinny gwarantować każdemu użytkownikowi cyfrowego euro możliwość dokonywania transakcji płatniczych w cyfrowym euro z innymi użytkownika</w:t>
            </w:r>
            <w:r w:rsidRPr="003746B8">
              <w:t xml:space="preserve">mi cyfrowego euro w całej strefie euro, niezależnie od tego, którzy dostawcy usług płatniczych biorą udział w transakcji i z jakich usług typu front-end korzysta użytkownik. Aby </w:t>
            </w:r>
            <w:r w:rsidRPr="003746B8">
              <w:lastRenderedPageBreak/>
              <w:t>ograniczyć fragmentację europejskiego rynku płatności detalicznych oraz wspier</w:t>
            </w:r>
            <w:r w:rsidRPr="003746B8">
              <w:t>ać konkurencję, efektywność i innowacje na tym rynku, a także rozwój instrumentów płatniczych w całej Unii zgodnie z celem strategii Komisji w zakresie płatności detalicznych, cyfrowe euro powinno, w miarę możliwości, być kompatybilne z prywatnymi rozwiąza</w:t>
            </w:r>
            <w:r w:rsidRPr="003746B8">
              <w:t>niami w zakresie płatności cyfrowych oraz wykorzystywać synergie funkcjonalne i techniczne z tymi rozwiązaniami. W szczególności Europejski Bank Centralny powinien dążyć do zapewnienia kompatybilności cyfrowego euro z prywatnymi rozwiązaniami w zakresie pł</w:t>
            </w:r>
            <w:r w:rsidRPr="003746B8">
              <w:t>atności cyfrowych w punkcie interakcji oraz w zakresie transferów środków pieniężnych między osobami, w których to obszarach występuje obecnie znaczna fragmentacja unijnego rynku płatności detalicznych. W zapewnianiu takiej kompatybilności przydatne może b</w:t>
            </w:r>
            <w:r w:rsidRPr="003746B8">
              <w:t>yć korzystanie ze standardów otwartych, wspólnych reguł i procesów oraz ewentualnie współdzielonej infrastruktury. O ile możliwe jest korzystanie z istniejących rozwiązań, jeżeli zostaną one uznane za odpowiednie do zapewnienia kompatybilności, w szczególn</w:t>
            </w:r>
            <w:r w:rsidRPr="003746B8">
              <w:t>ości w celu zminimalizowania ogólnych kosztów dostosowania, o tyle takie istniejące rozwiązania nie powinny tworzyć nadmiernych zależności, które mogłyby uniemożliwić dostosowanie cyfrowego euro do nowych technologii lub byłyby niezgodne z cechami cyfroweg</w:t>
            </w:r>
            <w:r w:rsidRPr="003746B8">
              <w:t>o euro. Aby osiągnąć te cele i bez przyznawania jakichkolwiek możliwych do wyegzekwowania praw operatorom rynku, Europejski Bank Centralny powinien dążyć do zapewnienia kompatybilności cyfrowego euro z prywatnymi rozwiązaniami w zakresie płatności cyfrowyc</w:t>
            </w:r>
            <w:r w:rsidRPr="003746B8">
              <w:t>h, z zachowaniem najwyższej staranności i w przypadkach, gdy uzna to za stosowne.</w:t>
            </w:r>
          </w:p>
        </w:tc>
        <w:tc>
          <w:tcPr>
            <w:tcW w:w="4876" w:type="dxa"/>
            <w:hideMark/>
          </w:tcPr>
          <w:p w:rsidR="002F7FE1" w:rsidRPr="003746B8" w:rsidRDefault="00B029A7" w:rsidP="000462E9">
            <w:pPr>
              <w:pStyle w:val="Normal6"/>
              <w:rPr>
                <w:szCs w:val="24"/>
              </w:rPr>
            </w:pPr>
            <w:r w:rsidRPr="003746B8">
              <w:lastRenderedPageBreak/>
              <w:t>(59)</w:t>
            </w:r>
            <w:r w:rsidRPr="003746B8">
              <w:tab/>
              <w:t>Aby zapewnić jednolity poziom obsługi użytkowników, przepisy, normy i procesy dotyczące cyfrowego euro, które Europejski Bank Centralny może przyjąć w ramach własnych ko</w:t>
            </w:r>
            <w:r w:rsidRPr="003746B8">
              <w:t>mpetencji, powinny gwarantować każdemu użytkownikowi cyfrowego euro możliwość dokonywania transakcji płatniczych w cyfrowym euro z innymi użytkownikami cyfrowego euro w całej strefie euro, niezależnie od tego, którzy dostawcy usług płatniczych biorą udział</w:t>
            </w:r>
            <w:r w:rsidRPr="003746B8">
              <w:t xml:space="preserve"> w transakcji i z jakich usług typu front-end korzysta użytkownik. Aby </w:t>
            </w:r>
            <w:r w:rsidRPr="003746B8">
              <w:lastRenderedPageBreak/>
              <w:t xml:space="preserve">ograniczyć fragmentację europejskiego rynku płatności detalicznych oraz wspierać konkurencję, efektywność i innowacje na tym rynku, a także rozwój instrumentów płatniczych w całej Unii </w:t>
            </w:r>
            <w:r w:rsidRPr="003746B8">
              <w:t>zgodnie z celem strategii Komisji w zakresie płatności detalicznych, cyfrowe euro powinno, w miarę możliwości, być kompatybilne z prywatnymi rozwiązaniami w zakresie płatności cyfrowych oraz wykorzystywać synergie funkcjonalne i techniczne z tymi rozwiązan</w:t>
            </w:r>
            <w:r w:rsidRPr="003746B8">
              <w:t>iami. W szczególności Europejski Bank Centralny powinien dążyć do zapewnienia kompatybilności cyfrowego euro z prywatnymi rozwiązaniami w zakresie płatności cyfrowych w punkcie interakcji oraz w zakresie transferów środków pieniężnych między osobami, w któ</w:t>
            </w:r>
            <w:r w:rsidRPr="003746B8">
              <w:t>rych to obszarach występuje obecnie znaczna fragmentacja unijnego rynku płatności detalicznych. W zapewnianiu takiej kompatybilności przydatne może być korzystanie ze standardów otwartych, wspólnych reguł i procesów oraz ewentualnie współdzielonej infrastr</w:t>
            </w:r>
            <w:r w:rsidRPr="003746B8">
              <w:t xml:space="preserve">uktury. </w:t>
            </w:r>
            <w:r w:rsidRPr="003746B8">
              <w:rPr>
                <w:b/>
                <w:i/>
              </w:rPr>
              <w:t>W szczególności Europejski Bank Centralny powinien dać pierwszeństwo stosowaniu otwartych norm, jeśli takie normy są dostępne.</w:t>
            </w:r>
            <w:r w:rsidRPr="003746B8">
              <w:t xml:space="preserve"> O ile możliwe jest korzystanie z istniejących rozwiązań, jeżeli zostaną one uznane za odpowiednie do zapewnienia kompatyb</w:t>
            </w:r>
            <w:r w:rsidRPr="003746B8">
              <w:t>ilności, w szczególności w celu zminimalizowania ogólnych kosztów dostosowania, o tyle takie istniejące rozwiązania nie powinny tworzyć nadmiernych zależności, które mogłyby uniemożliwić dostosowanie cyfrowego euro do nowych technologii lub byłyby niezgodn</w:t>
            </w:r>
            <w:r w:rsidRPr="003746B8">
              <w:t>e z cechami cyfrowego euro. Aby osiągnąć te cele i bez przyznawania jakichkolwiek możliwych do wyegzekwowania praw operatorom rynku, Europejski Bank Centralny powinien dążyć do zapewnienia kompatybilności cyfrowego euro z prywatnymi rozwiązaniami w zakresi</w:t>
            </w:r>
            <w:r w:rsidRPr="003746B8">
              <w:t xml:space="preserve">e płatności cyfrowych, z zachowaniem najwyższej staranności i w przypadkach, gdy uzna to </w:t>
            </w:r>
            <w:r w:rsidRPr="003746B8">
              <w:lastRenderedPageBreak/>
              <w:t>za stosowne.</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61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 xml:space="preserve">Tekst proponowany przez </w:t>
            </w:r>
            <w:r w:rsidRPr="003746B8">
              <w:t>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(61)</w:t>
            </w:r>
            <w:r w:rsidRPr="003746B8">
              <w:tab/>
              <w:t xml:space="preserve">Aby umożliwić użytkownikom cyfrowego euro dostęp do cyfrowego euro i korzystanie z niego w ramach usług płatniczych związanych z cyfrowym euro, należy zapewnić im usługi typu front-end. Użytkownicy ci powinni mieć możliwość dostępu </w:t>
            </w:r>
            <w:r w:rsidRPr="003746B8">
              <w:t>do usług płatniczych związanych z cyfrowym euro i korzystania z nich za pośrednictwem usług typu front-end świadczonych przez dostawców usług płatniczych i Europejski Bank Centralny. Dostawcy usług płatniczych powinni mieć możliwość podjęcia decyzji o korz</w:t>
            </w:r>
            <w:r w:rsidRPr="003746B8">
              <w:t xml:space="preserve">ystaniu z usług typu front-end świadczonych przez inne zainteresowane strony, w tym Europejski Bank Centralny, w szczególności w przypadku, gdy koszty opracowania i obsługi usług typu front-end, w tym aplikacji, są niewspółmiernie wysokie. W przypadku gdy </w:t>
            </w:r>
            <w:r w:rsidRPr="003746B8">
              <w:t>użytkownicy cyfrowego euro mogą wybierać pomiędzy różnymi usługami typu front-end, decyzja o wyborze danej usługi typu front-end powinna ostatecznie należeć do tych użytkowników i nie powinni jej narzucać dostawcy usług płatniczych ani Europejski Bank Cent</w:t>
            </w:r>
            <w:r w:rsidRPr="003746B8">
              <w:t>ralny. W związku z tym dostawcy usług płatniczych powinni być w stanie zapewnić użytkownikom cyfrowego euro możliwość dostępu do usług płatniczych związanych z cyfrowym euro i korzystania z nich za pośrednictwem usług typu front-end świadczonych przez Euro</w:t>
            </w:r>
            <w:r w:rsidRPr="003746B8">
              <w:t xml:space="preserve">pejski Bank Centralny. Europejski Bank Centralny i dostawcy usług płatniczych powinni wdrożyć odpowiednie środki techniczne i organizacyjne, w tym najnowocześniejsze środki bezpieczeństwa i ochrony prywatności, </w:t>
            </w:r>
            <w:r w:rsidRPr="003746B8">
              <w:rPr>
                <w:b/>
                <w:i/>
              </w:rPr>
              <w:t xml:space="preserve">w celu </w:t>
            </w:r>
            <w:r w:rsidRPr="003746B8">
              <w:rPr>
                <w:b/>
                <w:i/>
              </w:rPr>
              <w:lastRenderedPageBreak/>
              <w:t>zapewnienia,</w:t>
            </w:r>
            <w:r w:rsidRPr="003746B8">
              <w:t xml:space="preserve"> aby </w:t>
            </w:r>
            <w:r w:rsidRPr="003746B8">
              <w:rPr>
                <w:b/>
                <w:i/>
              </w:rPr>
              <w:t>EBC nie mógł uzyskać</w:t>
            </w:r>
            <w:r w:rsidRPr="003746B8">
              <w:t xml:space="preserve"> </w:t>
            </w:r>
            <w:r w:rsidRPr="003746B8">
              <w:t xml:space="preserve">dostępu do tożsamości poszczególnych użytkowników cyfrowego euro </w:t>
            </w:r>
            <w:r w:rsidRPr="003746B8">
              <w:rPr>
                <w:b/>
                <w:i/>
              </w:rPr>
              <w:t>za pośrednictwem swojego rozwiązania typu front-end</w:t>
            </w:r>
            <w:r w:rsidRPr="003746B8">
              <w:t>.</w:t>
            </w:r>
          </w:p>
        </w:tc>
        <w:tc>
          <w:tcPr>
            <w:tcW w:w="4876" w:type="dxa"/>
            <w:hideMark/>
          </w:tcPr>
          <w:p w:rsidR="002F7FE1" w:rsidRPr="003746B8" w:rsidRDefault="00B029A7" w:rsidP="000462E9">
            <w:pPr>
              <w:pStyle w:val="Normal6"/>
              <w:rPr>
                <w:szCs w:val="24"/>
              </w:rPr>
            </w:pPr>
            <w:r w:rsidRPr="003746B8">
              <w:lastRenderedPageBreak/>
              <w:t>(61)</w:t>
            </w:r>
            <w:r w:rsidRPr="003746B8">
              <w:tab/>
              <w:t>Aby umożliwić użytkownikom cyfrowego euro dostęp do cyfrowego euro i korzystanie z niego w ramach usług płatniczych związanych z cyfr</w:t>
            </w:r>
            <w:r w:rsidRPr="003746B8">
              <w:t>owym euro, należy zapewnić im usługi typu front-end. Użytkownicy ci powinni mieć możliwość dostępu do usług płatniczych związanych z cyfrowym euro i korzystania z nich za pośrednictwem usług typu front-end świadczonych przez dostawców usług płatniczych i E</w:t>
            </w:r>
            <w:r w:rsidRPr="003746B8">
              <w:t>uropejski Bank Centralny. Dostawcy usług płatniczych powinni mieć możliwość podjęcia decyzji o korzystaniu z usług typu front-end świadczonych przez inne zainteresowane strony, w tym Europejski Bank Centralny, w szczególności w przypadku, gdy koszty opraco</w:t>
            </w:r>
            <w:r w:rsidRPr="003746B8">
              <w:t xml:space="preserve">wania i obsługi usług typu front-end, w tym aplikacji, są niewspółmiernie wysokie. W przypadku gdy użytkownicy cyfrowego euro mogą wybierać pomiędzy różnymi usługami typu front-end, decyzja o wyborze danej usługi typu front-end powinna ostatecznie należeć </w:t>
            </w:r>
            <w:r w:rsidRPr="003746B8">
              <w:t>do tych użytkowników i nie powinni jej narzucać dostawcy usług płatniczych ani Europejski Bank Centralny. W związku z tym dostawcy usług płatniczych powinni być w stanie zapewnić użytkownikom cyfrowego euro możliwość dostępu do usług płatniczych związanych</w:t>
            </w:r>
            <w:r w:rsidRPr="003746B8">
              <w:t xml:space="preserve"> z cyfrowym euro i korzystania z nich za pośrednictwem usług typu front-end świadczonych przez Europejski Bank Centralny. Europejski Bank Centralny i dostawcy usług płatniczych powinni wdrożyć odpowiednie środki techniczne i organizacyjne, w tym najnowocze</w:t>
            </w:r>
            <w:r w:rsidRPr="003746B8">
              <w:t xml:space="preserve">śniejsze środki bezpieczeństwa i ochrony prywatności, </w:t>
            </w:r>
            <w:r w:rsidRPr="003746B8">
              <w:rPr>
                <w:b/>
                <w:i/>
              </w:rPr>
              <w:t>tak</w:t>
            </w:r>
            <w:r w:rsidRPr="003746B8">
              <w:t xml:space="preserve"> aby </w:t>
            </w:r>
            <w:r w:rsidRPr="003746B8">
              <w:rPr>
                <w:b/>
                <w:i/>
              </w:rPr>
              <w:t>uzyskanie</w:t>
            </w:r>
            <w:r w:rsidRPr="003746B8">
              <w:t xml:space="preserve"> </w:t>
            </w:r>
            <w:r w:rsidRPr="003746B8">
              <w:lastRenderedPageBreak/>
              <w:t xml:space="preserve">dostępu do tożsamości poszczególnych użytkowników cyfrowego euro </w:t>
            </w:r>
            <w:r w:rsidRPr="003746B8">
              <w:rPr>
                <w:b/>
                <w:i/>
              </w:rPr>
              <w:t>przez EBC było technicznie niemożliwe</w:t>
            </w:r>
            <w:r w:rsidRPr="003746B8">
              <w:t>.</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 xml:space="preserve">Wniosek dotyczący </w:t>
      </w:r>
      <w:r w:rsidRPr="003746B8">
        <w:t>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62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(62)</w:t>
            </w:r>
            <w:r w:rsidRPr="003746B8">
              <w:tab/>
              <w:t xml:space="preserve">Aby uniknąć ingerencji w relacje z klientami dostawców usług płatniczych i ich rolę w dystrybucji cyfrowego euro, rozwiązania typu front-end dostarczane </w:t>
            </w:r>
            <w:r w:rsidRPr="003746B8">
              <w:t>przez Europejski Bank Centralny powinny ograniczać się do zapewnienia interfejsu między użytkownikami cyfrowego euro a infrastrukturą płatniczą dostawców usług płatniczych. W szczególności Eurosystem nie nawiązywałby stosunków umownych z użytkownikami cyfr</w:t>
            </w:r>
            <w:r w:rsidRPr="003746B8">
              <w:t>owego euro, nawet jeśli użytkownicy ci korzystaliby z usług typu front-end świadczonych przez Europejski Bank Centralny. EBC i dostawcy usług płatniczych powinni wdrożyć odpowiednie środki techniczne i organizacyjne, w tym najnowocześniejsze środki bezpiec</w:t>
            </w:r>
            <w:r w:rsidRPr="003746B8">
              <w:t xml:space="preserve">zeństwa i ochrony prywatności, </w:t>
            </w:r>
            <w:r w:rsidRPr="003746B8">
              <w:rPr>
                <w:b/>
                <w:i/>
              </w:rPr>
              <w:t>w celu zapewnienia,</w:t>
            </w:r>
            <w:r w:rsidRPr="003746B8">
              <w:t xml:space="preserve"> aby </w:t>
            </w:r>
            <w:r w:rsidRPr="003746B8">
              <w:rPr>
                <w:b/>
                <w:i/>
              </w:rPr>
              <w:t>EBC nie mógł uzyskać</w:t>
            </w:r>
            <w:r w:rsidRPr="003746B8">
              <w:t xml:space="preserve"> dostępu do tożsamości poszczególnych użytkowników cyfrowego euro </w:t>
            </w:r>
            <w:r w:rsidRPr="003746B8">
              <w:rPr>
                <w:b/>
                <w:i/>
              </w:rPr>
              <w:t>za pośrednictwem swojego rozwiązania typu front-end</w:t>
            </w:r>
            <w:r w:rsidRPr="003746B8">
              <w:t>.</w:t>
            </w:r>
          </w:p>
        </w:tc>
        <w:tc>
          <w:tcPr>
            <w:tcW w:w="4876" w:type="dxa"/>
            <w:hideMark/>
          </w:tcPr>
          <w:p w:rsidR="002F7FE1" w:rsidRPr="003746B8" w:rsidRDefault="00B029A7" w:rsidP="000462E9">
            <w:pPr>
              <w:pStyle w:val="Normal6"/>
              <w:rPr>
                <w:szCs w:val="24"/>
              </w:rPr>
            </w:pPr>
            <w:r w:rsidRPr="003746B8">
              <w:t>(62)</w:t>
            </w:r>
            <w:r w:rsidRPr="003746B8">
              <w:tab/>
              <w:t>Aby uniknąć ingerencji w relacje z klientami dostawców us</w:t>
            </w:r>
            <w:r w:rsidRPr="003746B8">
              <w:t xml:space="preserve">ług płatniczych i ich rolę w dystrybucji cyfrowego euro, rozwiązania typu front-end dostarczane przez Europejski Bank Centralny powinny ograniczać się do zapewnienia interfejsu między użytkownikami cyfrowego euro a infrastrukturą płatniczą dostawców usług </w:t>
            </w:r>
            <w:r w:rsidRPr="003746B8">
              <w:t>płatniczych. W szczególności Eurosystem nie nawiązywałby stosunków umownych z użytkownikami cyfrowego euro, nawet jeśli użytkownicy ci korzystaliby z usług typu front-end świadczonych przez Europejski Bank Centralny. EBC i dostawcy usług płatniczych powinn</w:t>
            </w:r>
            <w:r w:rsidRPr="003746B8">
              <w:t xml:space="preserve">i wdrożyć odpowiednie środki techniczne i organizacyjne, w tym najnowocześniejsze środki bezpieczeństwa i ochrony prywatności, </w:t>
            </w:r>
            <w:r w:rsidRPr="003746B8">
              <w:rPr>
                <w:b/>
                <w:i/>
              </w:rPr>
              <w:t>tak</w:t>
            </w:r>
            <w:r w:rsidRPr="003746B8">
              <w:t xml:space="preserve"> aby </w:t>
            </w:r>
            <w:r w:rsidRPr="003746B8">
              <w:rPr>
                <w:b/>
                <w:i/>
              </w:rPr>
              <w:t>uzyskanie</w:t>
            </w:r>
            <w:r w:rsidRPr="003746B8">
              <w:t xml:space="preserve"> dostępu do tożsamości poszczególnych użytkowników cyfrowego euro </w:t>
            </w:r>
            <w:r w:rsidRPr="003746B8">
              <w:rPr>
                <w:b/>
                <w:i/>
              </w:rPr>
              <w:t>przez EBC było technicznie niemożliwe</w:t>
            </w:r>
            <w:r w:rsidRPr="003746B8">
              <w:t>.</w:t>
            </w:r>
          </w:p>
        </w:tc>
      </w:tr>
    </w:tbl>
    <w:p w:rsidR="002F7FE1" w:rsidRPr="003746B8" w:rsidRDefault="00B029A7" w:rsidP="002F7FE1">
      <w:r w:rsidRPr="003746B8">
        <w:rPr>
          <w:rStyle w:val="HideTWBExt"/>
        </w:rPr>
        <w:t>&lt;/Amen</w:t>
      </w:r>
      <w:r w:rsidRPr="003746B8">
        <w:rPr>
          <w:rStyle w:val="HideTWBExt"/>
        </w:rPr>
        <w:t>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18</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64</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(64)</w:t>
            </w:r>
            <w:r w:rsidRPr="003746B8">
              <w:tab/>
              <w:t xml:space="preserve">Aby zapewnić możliwość natychmiastowego rozliczania, transakcje </w:t>
            </w:r>
            <w:r w:rsidRPr="003746B8">
              <w:lastRenderedPageBreak/>
              <w:t xml:space="preserve">w cyfrowym euro, </w:t>
            </w:r>
            <w:r w:rsidRPr="003746B8">
              <w:t>zarówno dokonywane w trybie online, jak i offline, w tym w kontekście finansowania i definansowania, a także funkcje kaskady i odwróconej kaskady, powinny być w normalnych okolicznościach rozliczane natychmiast, w ciągu zaledwie kilku sekund. Rozliczanie t</w:t>
            </w:r>
            <w:r w:rsidRPr="003746B8">
              <w:t>ransakcji płatniczych w cyfrowym euro dokonywanych w trybie online powinno następować w ramach ustanowionej przez Eurosystem infrastruktury rozrachunkowej służącej do obsługi cyfrowego euro. Transakcje płatnicze w cyfrowym euro dokonywane w trybie online p</w:t>
            </w:r>
            <w:r w:rsidRPr="003746B8">
              <w:t>owinny być rozliczane w ciągu kilku sekund, zgodnie z wymogami funkcjonalnymi i technicznymi przyjętymi przez Europejski Bank Centralny. Ostateczne rozliczenie transakcji płatniczych w cyfrowym euro dokonywanych w trybie online powinno następować w momenci</w:t>
            </w:r>
            <w:r w:rsidRPr="003746B8">
              <w:t>e zarejestrowania danej kwoty cyfrowych euro płatnika i odbiorcy w zatwierdzonej przez Europejski Bank Centralny infrastrukturze rozrachunkowej służącej do obsługi cyfrowego euro, niezależnie od tego, czy cyfrowe euro są rejestrowane jako salda posiadanych</w:t>
            </w:r>
            <w:r w:rsidRPr="003746B8">
              <w:t xml:space="preserve"> zasobów czy jako jednostki wartości, i niezależnie od zastosowanej technologii. Przy tworzeniu infrastruktury rozrachunkowej służącej do obsługi cyfrowego euro należy dążyć do zapewnienia dostosowania do nowych technologii, w tym technologii rozproszonego</w:t>
            </w:r>
            <w:r w:rsidRPr="003746B8">
              <w:t xml:space="preserve"> rejestru.</w:t>
            </w:r>
          </w:p>
        </w:tc>
        <w:tc>
          <w:tcPr>
            <w:tcW w:w="4876" w:type="dxa"/>
            <w:hideMark/>
          </w:tcPr>
          <w:p w:rsidR="002F7FE1" w:rsidRPr="003746B8" w:rsidRDefault="00B029A7" w:rsidP="000462E9">
            <w:pPr>
              <w:pStyle w:val="Normal6"/>
              <w:rPr>
                <w:szCs w:val="24"/>
              </w:rPr>
            </w:pPr>
            <w:r w:rsidRPr="003746B8">
              <w:lastRenderedPageBreak/>
              <w:t>(64)</w:t>
            </w:r>
            <w:r w:rsidRPr="003746B8">
              <w:tab/>
              <w:t xml:space="preserve">Aby zapewnić możliwość natychmiastowego rozliczania, transakcje </w:t>
            </w:r>
            <w:r w:rsidRPr="003746B8">
              <w:lastRenderedPageBreak/>
              <w:t xml:space="preserve">w cyfrowym euro, zarówno dokonywane w trybie online, jak i offline, w tym w kontekście finansowania i definansowania, a także funkcje kaskady i odwróconej kaskady, powinny być </w:t>
            </w:r>
            <w:r w:rsidRPr="003746B8">
              <w:t>w normalnych okolicznościach rozliczane natychmiast, w ciągu zaledwie kilku sekund. Rozliczanie transakcji płatniczych w cyfrowym euro dokonywanych w trybie online powinno następować w ramach ustanowionej przez Eurosystem infrastruktury rozrachunkowej służ</w:t>
            </w:r>
            <w:r w:rsidRPr="003746B8">
              <w:t>ącej do obsługi cyfrowego euro. Transakcje płatnicze w cyfrowym euro dokonywane w trybie online powinny być rozliczane w ciągu kilku sekund, zgodnie z wymogami funkcjonalnymi i technicznymi przyjętymi przez Europejski Bank Centralny. Ostateczne rozliczenie</w:t>
            </w:r>
            <w:r w:rsidRPr="003746B8">
              <w:t xml:space="preserve"> transakcji płatniczych w cyfrowym euro dokonywanych w trybie online powinno następować w momencie zarejestrowania danej kwoty cyfrowych euro płatnika i odbiorcy w zatwierdzonej przez Europejski Bank Centralny infrastrukturze rozrachunkowej służącej do obs</w:t>
            </w:r>
            <w:r w:rsidRPr="003746B8">
              <w:t>ługi cyfrowego euro, niezależnie od tego, czy cyfrowe euro są rejestrowane jako salda posiadanych zasobów czy jako jednostki wartości, i niezależnie od zastosowanej technologii. Przy tworzeniu infrastruktury rozrachunkowej służącej do obsługi cyfrowego eur</w:t>
            </w:r>
            <w:r w:rsidRPr="003746B8">
              <w:t xml:space="preserve">o należy dążyć do zapewnienia dostosowania do nowych technologii, w tym technologii rozproszonego rejestru. </w:t>
            </w:r>
            <w:r w:rsidRPr="003746B8">
              <w:rPr>
                <w:b/>
                <w:i/>
              </w:rPr>
              <w:t>Biorąc pod uwagę wrażliwość danych, które mają być przechowywane w infrastrukturze rozrachunkowej, zasady uwzględniania ochrony danych w fazie proje</w:t>
            </w:r>
            <w:r w:rsidRPr="003746B8">
              <w:rPr>
                <w:b/>
                <w:i/>
              </w:rPr>
              <w:t>ktowania i domyślnej ochrony danych określone w rozporządzeniu (UE) 2016/679 powinny być należycie odzwierciedlone w jej rozwoju, a także we wdrażaniu odpowiednich zabezpieczeń w tym zakresie.</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lastRenderedPageBreak/>
        <w:t>&lt;Amend&gt;</w:t>
      </w:r>
      <w:r w:rsidRPr="003746B8">
        <w:t>Poprawka</w:t>
      </w:r>
      <w:r w:rsidRPr="003746B8">
        <w:tab/>
      </w:r>
      <w:r w:rsidRPr="003746B8">
        <w:tab/>
      </w:r>
      <w:r w:rsidRPr="003746B8">
        <w:rPr>
          <w:rStyle w:val="HideTWBExt"/>
          <w:b w:val="0"/>
        </w:rPr>
        <w:t>&lt;NumAm&gt;</w:t>
      </w:r>
      <w:r w:rsidRPr="003746B8">
        <w:t>19</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w:t>
      </w:r>
      <w:r w:rsidRPr="003746B8">
        <w:t xml:space="preserve">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67</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(67)</w:t>
            </w:r>
            <w:r w:rsidRPr="003746B8">
              <w:tab/>
              <w:t xml:space="preserve">Ze względu na swobodę umów i w celu zapewnienia konkurencji użytkownicy cyfrowego euro powinni mieć możliwość przenoszenia rachunków </w:t>
            </w:r>
            <w:r w:rsidRPr="003746B8">
              <w:t>płatniczych w cyfrowym euro do różnych dostawców usług płatniczych. Na wniosek użytkowników cyfrowego euro dostawcy usług płatniczych powinni następnie umożliwiać przeniesienie rachunków płatniczych w cyfrowym euro, przy zachowaniu tych samych identyfikato</w:t>
            </w:r>
            <w:r w:rsidRPr="003746B8">
              <w:t>rów rachunków. W wyjątkowych okolicznościach, gdy dostawca usług płatniczych nie jest w stanie wykonać tego zadania, w tym z powodu utraty odpowiednich danych dotyczących rachunku płatniczego w cyfrowym euro, Europejski Bank Centralny powinien być w stanie</w:t>
            </w:r>
            <w:r w:rsidRPr="003746B8">
              <w:t xml:space="preserve"> zatwierdzić przeniesienie rachunków płatniczych w cyfrowym euro, tak aby nowy dostawca usług płatniczych wskazany przez użytkownika cyfrowego euro mógł pobrać informacje o zasobach cyfrowego euro tego użytkownika cyfrowego euro i dokończyć przeniesienie r</w:t>
            </w:r>
            <w:r w:rsidRPr="003746B8">
              <w:t>achunku bez udziału niedostępnego dostawcy usług płatniczych. Proces ten powinien umożliwić użytkownikowi cyfrowego euro utrzymanie dostępu do posiadanych zasobów cyfrowego euro za pośrednictwem nowego wskazanego dostawcy usług płatniczych. Europejski Bank</w:t>
            </w:r>
            <w:r w:rsidRPr="003746B8">
              <w:t xml:space="preserve"> Centralny nie odgrywałby żadnej roli operacyjnej w przeniesieniu rachunku zarówno w przypadku kontynuacji działalności, jak i w wyjątkowych okolicznościach.</w:t>
            </w:r>
          </w:p>
        </w:tc>
        <w:tc>
          <w:tcPr>
            <w:tcW w:w="4876" w:type="dxa"/>
            <w:hideMark/>
          </w:tcPr>
          <w:p w:rsidR="002F7FE1" w:rsidRPr="003746B8" w:rsidRDefault="00B029A7" w:rsidP="000462E9">
            <w:pPr>
              <w:pStyle w:val="Normal6"/>
              <w:rPr>
                <w:szCs w:val="24"/>
              </w:rPr>
            </w:pPr>
            <w:r w:rsidRPr="003746B8">
              <w:t>(67)</w:t>
            </w:r>
            <w:r w:rsidRPr="003746B8">
              <w:tab/>
              <w:t>Ze względu na swobodę umów i w celu zapewnienia konkurencji użytkownicy cyfrowego euro powinn</w:t>
            </w:r>
            <w:r w:rsidRPr="003746B8">
              <w:t xml:space="preserve">i mieć możliwość </w:t>
            </w:r>
            <w:r w:rsidRPr="003746B8">
              <w:rPr>
                <w:b/>
                <w:i/>
              </w:rPr>
              <w:t xml:space="preserve">bezpłatnego </w:t>
            </w:r>
            <w:r w:rsidRPr="003746B8">
              <w:t>przenoszenia rachunków płatniczych w cyfrowym euro do różnych dostawców usług płatniczych. Na wniosek użytkowników cyfrowego euro dostawcy usług płatniczych powinni następnie umożliwiać przeniesienie rachunków płatniczych w cyf</w:t>
            </w:r>
            <w:r w:rsidRPr="003746B8">
              <w:t>rowym euro, przy zachowaniu tych samych identyfikatorów rachunków. W wyjątkowych okolicznościach, gdy dostawca usług płatniczych nie jest w stanie wykonać tego zadania, w tym z powodu utraty odpowiednich danych dotyczących rachunku płatniczego w cyfrowym e</w:t>
            </w:r>
            <w:r w:rsidRPr="003746B8">
              <w:t>uro, Europejski Bank Centralny powinien być w stanie zatwierdzić przeniesienie rachunków płatniczych w cyfrowym euro, tak aby nowy dostawca usług płatniczych wskazany przez użytkownika cyfrowego euro mógł pobrać informacje o zasobach cyfrowego euro tego uż</w:t>
            </w:r>
            <w:r w:rsidRPr="003746B8">
              <w:t>ytkownika cyfrowego euro i dokończyć przeniesienie rachunku bez udziału niedostępnego dostawcy usług płatniczych. Proces ten powinien umożliwić użytkownikowi cyfrowego euro utrzymanie dostępu do posiadanych zasobów cyfrowego euro za pośrednictwem nowego ws</w:t>
            </w:r>
            <w:r w:rsidRPr="003746B8">
              <w:t>kazanego dostawcy usług płatniczych. Europejski Bank Centralny nie odgrywałby żadnej roli operacyjnej w przeniesieniu rachunku zarówno w przypadku kontynuacji działalności, jak i w wyjątkowych okolicznościach.</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20</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lastRenderedPageBreak/>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68</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(68)</w:t>
            </w:r>
            <w:r w:rsidRPr="003746B8">
              <w:tab/>
              <w:t>Zasadnicze znaczenie dla ochrony obywateli korzystających z cyfrowego euro, dla integralności danych osobowych przetwarzanych</w:t>
            </w:r>
            <w:r w:rsidRPr="003746B8">
              <w:t xml:space="preserve"> w związku z realizacją płatności w cyfrowym euro oraz dla zapewnienia sprawnego i skutecznego funkcjonowania cyfrowego euro ma zapobieganie oszustwom przez dostawców usług płatniczych. Zapobieganie oszustwom odgrywa kluczową rolę w utrzymaniu zaufania do </w:t>
            </w:r>
            <w:r w:rsidRPr="003746B8">
              <w:t xml:space="preserve">jednej waluty. Aby to zapewnić, Europejski Bank Centralny może ustanowić ogólny mechanizm wykrywania oszustw i zapobiegania im, który wspomoże działania w zakresie zwalczania oszustw prowadzone przez dostawców usług płatniczych w odniesieniu do transakcji </w:t>
            </w:r>
            <w:r w:rsidRPr="003746B8">
              <w:t>płatniczych w cyfrowym euro dokonywanych w trybie online. W ramach ogólnego mechanizmu wykrywania oszustw i zapobiegania im dostępnych jest szereg funkcji niezbędnych do wykrywania schematów oszukańczego działania, których pojedynczy dostawca usług płatnic</w:t>
            </w:r>
            <w:r w:rsidRPr="003746B8">
              <w:t>zych nie byłby w stanie wykryć samodzielnie. Jeden dostawca usług płatniczych często nie ma pełnego oglądu wszystkich elementów, które mogą prowadzić do szybkiego wykrycia oszustwa. Skuteczność wykrywania oszustw można jednak zwiększyć dzięki informacjom o</w:t>
            </w:r>
            <w:r w:rsidRPr="003746B8">
              <w:t> potencjalnie oszukańczych działaniach, pochodzącym od innych dostawców usług płatniczych. Taka ogólna funkcja wykrywania oszustw występuje w porównywalnych systemach płatności i jest niezbędna do osiągnięcia wyraźnie niskiej liczby oszustw, a tym samym do</w:t>
            </w:r>
            <w:r w:rsidRPr="003746B8">
              <w:t xml:space="preserve"> zagwarantowania bezpieczeństwa cyfrowego euro zarówno konsumentom, jak i akceptantom. Przekazywanie informacji między dostawcami usług płatniczych a mechanizmem wykrywania </w:t>
            </w:r>
            <w:r w:rsidRPr="003746B8">
              <w:lastRenderedPageBreak/>
              <w:t>oszustw i zapobiegania im powinno być objęte najnowocześniejszymi środkami bezpiecz</w:t>
            </w:r>
            <w:r w:rsidRPr="003746B8">
              <w:t>eństwa i ochrony prywatności, które zapewnią, aby poszczególni użytkownicy cyfrowego euro nie mogli zostać zidentyfikowani przez centralny mechanizm wykrywania oszustw i zapobiegania im.</w:t>
            </w:r>
          </w:p>
        </w:tc>
        <w:tc>
          <w:tcPr>
            <w:tcW w:w="4876" w:type="dxa"/>
            <w:hideMark/>
          </w:tcPr>
          <w:p w:rsidR="002F7FE1" w:rsidRPr="003746B8" w:rsidRDefault="00B029A7" w:rsidP="000462E9">
            <w:pPr>
              <w:pStyle w:val="Normal6"/>
              <w:rPr>
                <w:szCs w:val="24"/>
              </w:rPr>
            </w:pPr>
            <w:r w:rsidRPr="003746B8">
              <w:lastRenderedPageBreak/>
              <w:t>(68)</w:t>
            </w:r>
            <w:r w:rsidRPr="003746B8">
              <w:tab/>
              <w:t>Zasadnicze znaczenie dla ochrony obywateli korzystających z cyfr</w:t>
            </w:r>
            <w:r w:rsidRPr="003746B8">
              <w:t>owego euro, dla integralności danych osobowych przetwarzanych w związku z realizacją płatności w cyfrowym euro oraz dla zapewnienia sprawnego i skutecznego funkcjonowania cyfrowego euro ma zapobieganie oszustwom przez dostawców usług płatniczych. Zapobiega</w:t>
            </w:r>
            <w:r w:rsidRPr="003746B8">
              <w:t>nie oszustwom odgrywa kluczową rolę w utrzymaniu zaufania do jednej waluty. Aby to zapewnić, Europejski Bank Centralny może ustanowić ogólny mechanizm wykrywania oszustw i zapobiegania im, który wspomoże działania w zakresie zwalczania oszustw prowadzone p</w:t>
            </w:r>
            <w:r w:rsidRPr="003746B8">
              <w:t>rzez dostawców usług płatniczych w odniesieniu do transakcji płatniczych w cyfrowym euro dokonywanych w trybie online. W ramach ogólnego mechanizmu wykrywania oszustw i zapobiegania im dostępnych jest szereg funkcji niezbędnych do wykrywania schematów oszu</w:t>
            </w:r>
            <w:r w:rsidRPr="003746B8">
              <w:t>kańczego działania, których pojedynczy dostawca usług płatniczych nie byłby w stanie wykryć samodzielnie. Jeden dostawca usług płatniczych często nie ma pełnego oglądu wszystkich elementów, które mogą prowadzić do szybkiego wykrycia oszustwa. Skuteczność w</w:t>
            </w:r>
            <w:r w:rsidRPr="003746B8">
              <w:t>ykrywania oszustw można jednak zwiększyć dzięki informacjom o potencjalnie oszukańczych działaniach, pochodzącym od innych dostawców usług płatniczych. Taka ogólna funkcja wykrywania oszustw występuje w porównywalnych systemach płatności i jest niezbędna d</w:t>
            </w:r>
            <w:r w:rsidRPr="003746B8">
              <w:t xml:space="preserve">o osiągnięcia wyraźnie niskiej liczby oszustw, a tym samym do zagwarantowania bezpieczeństwa cyfrowego euro zarówno konsumentom, jak i akceptantom. Przekazywanie informacji między dostawcami usług płatniczych a mechanizmem wykrywania </w:t>
            </w:r>
            <w:r w:rsidRPr="003746B8">
              <w:lastRenderedPageBreak/>
              <w:t>oszustw i zapobiegania</w:t>
            </w:r>
            <w:r w:rsidRPr="003746B8">
              <w:t xml:space="preserve"> im powinno być objęte najnowocześniejszymi środkami bezpieczeństwa i ochrony prywatności, które zapewnią, aby poszczególni użytkownicy cyfrowego euro nie mogli zostać zidentyfikowani przez centralny mechanizm wykrywania oszustw i zapobiegania im</w:t>
            </w:r>
            <w:r w:rsidRPr="003746B8">
              <w:rPr>
                <w:b/>
                <w:i/>
              </w:rPr>
              <w:t xml:space="preserve">, a także </w:t>
            </w:r>
            <w:r w:rsidRPr="003746B8">
              <w:rPr>
                <w:b/>
                <w:i/>
              </w:rPr>
              <w:t>odpowiednimi zabezpieczeniami zapobiegającymi stronniczości algorytmicznej</w:t>
            </w:r>
            <w:r w:rsidRPr="003746B8">
              <w:t>.</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21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70</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(70)</w:t>
            </w:r>
            <w:r w:rsidRPr="003746B8">
              <w:tab/>
            </w:r>
            <w:r w:rsidRPr="003746B8">
              <w:t>Prawa do prywatności i ochrony danych osobowych są prawami podstawowymi zapisanymi w art. 7 i 8 Karty praw podstawowych Unii Europejskiej. Jak podkreśliła Europejska Rada Ochrony Danych</w:t>
            </w:r>
            <w:r w:rsidRPr="003746B8">
              <w:rPr>
                <w:vertAlign w:val="superscript"/>
              </w:rPr>
              <w:t>34</w:t>
            </w:r>
            <w:r w:rsidRPr="003746B8">
              <w:t>, wysoki poziom prywatności i ochrony danych jest niezbędny, aby zape</w:t>
            </w:r>
            <w:r w:rsidRPr="003746B8">
              <w:t>wnić zaufanie Europejczyków do przyszłego cyfrowego euro. Opinia ta jest też zgodna z zasadami porządku publicznego grupy G-7 dotyczącymi detalicznych cyfrowych walut banku centralnego. Przetwarzanie danych osobowych w celu zapewnienia zgodności i w kontek</w:t>
            </w:r>
            <w:r w:rsidRPr="003746B8">
              <w:t>ście niniejszego rozporządzenia odbywałoby się zgodnie z rozporządzeniem (UE) 2016/679</w:t>
            </w:r>
            <w:r w:rsidRPr="003746B8">
              <w:rPr>
                <w:vertAlign w:val="superscript"/>
              </w:rPr>
              <w:t>35</w:t>
            </w:r>
            <w:r w:rsidRPr="003746B8">
              <w:t xml:space="preserve"> i rozporządzeniem (UE) 2018/</w:t>
            </w:r>
            <w:r w:rsidRPr="003746B8">
              <w:rPr>
                <w:b/>
                <w:i/>
              </w:rPr>
              <w:t>1715</w:t>
            </w:r>
            <w:r w:rsidRPr="003746B8">
              <w:rPr>
                <w:b/>
                <w:i/>
                <w:vertAlign w:val="superscript"/>
              </w:rPr>
              <w:t>36</w:t>
            </w:r>
            <w:r w:rsidRPr="003746B8">
              <w:t>, a także, w stosownych przypadkach, zgodnie z dyrektywą 2002/58/WE</w:t>
            </w:r>
            <w:r w:rsidRPr="003746B8">
              <w:rPr>
                <w:vertAlign w:val="superscript"/>
              </w:rPr>
              <w:t>37</w:t>
            </w:r>
            <w:r w:rsidRPr="003746B8">
              <w:t>.</w:t>
            </w:r>
          </w:p>
        </w:tc>
        <w:tc>
          <w:tcPr>
            <w:tcW w:w="4876" w:type="dxa"/>
            <w:hideMark/>
          </w:tcPr>
          <w:p w:rsidR="002F7FE1" w:rsidRPr="003746B8" w:rsidRDefault="00B029A7" w:rsidP="000462E9">
            <w:pPr>
              <w:pStyle w:val="Normal6"/>
              <w:rPr>
                <w:szCs w:val="24"/>
              </w:rPr>
            </w:pPr>
            <w:r w:rsidRPr="003746B8">
              <w:t>(70)</w:t>
            </w:r>
            <w:r w:rsidRPr="003746B8">
              <w:tab/>
              <w:t>Prawa do prywatności i ochrony danych osobowych są prawam</w:t>
            </w:r>
            <w:r w:rsidRPr="003746B8">
              <w:t>i podstawowymi zapisanymi w art. 7 i 8 Karty praw podstawowych Unii Europejskiej. Jak podkreśliła Europejska Rada Ochrony Danych</w:t>
            </w:r>
            <w:r w:rsidRPr="003746B8">
              <w:rPr>
                <w:vertAlign w:val="superscript"/>
              </w:rPr>
              <w:t>34</w:t>
            </w:r>
            <w:r w:rsidRPr="003746B8">
              <w:t>, wysoki poziom prywatności i ochrony danych jest niezbędny, aby zapewnić zaufanie Europejczyków do przyszłego cyfrowego euro.</w:t>
            </w:r>
            <w:r w:rsidRPr="003746B8">
              <w:t xml:space="preserve"> Opinia ta jest też zgodna z zasadami porządku publicznego grupy G-7 dotyczącymi detalicznych cyfrowych walut banku centralnego. Przetwarzanie danych osobowych w celu zapewnienia zgodności i w kontekście niniejszego rozporządzenia odbywałoby się zgodnie z </w:t>
            </w:r>
            <w:r w:rsidRPr="003746B8">
              <w:t>rozporządzeniem (UE) 2016/679</w:t>
            </w:r>
            <w:r w:rsidRPr="003746B8">
              <w:rPr>
                <w:vertAlign w:val="superscript"/>
              </w:rPr>
              <w:t>35</w:t>
            </w:r>
            <w:r w:rsidRPr="003746B8">
              <w:t xml:space="preserve"> i rozporządzeniem (UE) 2018/</w:t>
            </w:r>
            <w:r w:rsidRPr="003746B8">
              <w:rPr>
                <w:b/>
                <w:i/>
              </w:rPr>
              <w:t>1725</w:t>
            </w:r>
            <w:r w:rsidRPr="003746B8">
              <w:rPr>
                <w:b/>
                <w:i/>
                <w:vertAlign w:val="superscript"/>
              </w:rPr>
              <w:t>36</w:t>
            </w:r>
            <w:r w:rsidRPr="003746B8">
              <w:t>, a także, w stosownych przypadkach, zgodnie z dyrektywą 2002/58/WE</w:t>
            </w:r>
            <w:r w:rsidRPr="003746B8">
              <w:rPr>
                <w:vertAlign w:val="superscript"/>
              </w:rPr>
              <w:t>37</w:t>
            </w:r>
            <w:r w:rsidRPr="003746B8">
              <w:rPr>
                <w:b/>
                <w:i/>
              </w:rPr>
              <w:t>, w szczególności z zasadami uwzględniania ochrony danych w fazie projektowania i domyślnej ochrony danych</w:t>
            </w:r>
            <w:r w:rsidRPr="003746B8">
              <w:t>.</w:t>
            </w:r>
          </w:p>
        </w:tc>
      </w:tr>
      <w:tr w:rsidR="002859E2" w:rsidRPr="003746B8" w:rsidTr="000462E9">
        <w:trPr>
          <w:jc w:val="center"/>
        </w:trPr>
        <w:tc>
          <w:tcPr>
            <w:tcW w:w="4876" w:type="dxa"/>
            <w:hideMark/>
          </w:tcPr>
          <w:p w:rsidR="002F7FE1" w:rsidRPr="003746B8" w:rsidRDefault="00B029A7" w:rsidP="000462E9">
            <w:pPr>
              <w:pStyle w:val="Normal6"/>
            </w:pPr>
            <w:r w:rsidRPr="003746B8">
              <w:t>__________________</w:t>
            </w:r>
          </w:p>
        </w:tc>
        <w:tc>
          <w:tcPr>
            <w:tcW w:w="4876" w:type="dxa"/>
            <w:hideMark/>
          </w:tcPr>
          <w:p w:rsidR="002F7FE1" w:rsidRPr="003746B8" w:rsidRDefault="00B029A7" w:rsidP="000462E9">
            <w:pPr>
              <w:pStyle w:val="Normal6"/>
              <w:rPr>
                <w:szCs w:val="24"/>
              </w:rPr>
            </w:pPr>
            <w:r w:rsidRPr="003746B8">
              <w:t>__________________</w:t>
            </w:r>
          </w:p>
        </w:tc>
      </w:tr>
      <w:tr w:rsidR="002859E2" w:rsidRPr="003746B8" w:rsidTr="000462E9">
        <w:trPr>
          <w:jc w:val="center"/>
        </w:trPr>
        <w:tc>
          <w:tcPr>
            <w:tcW w:w="4876" w:type="dxa"/>
            <w:hideMark/>
          </w:tcPr>
          <w:p w:rsidR="002F7FE1" w:rsidRPr="003746B8" w:rsidRDefault="00B029A7" w:rsidP="000462E9">
            <w:pPr>
              <w:pStyle w:val="Normal6"/>
            </w:pPr>
            <w:r w:rsidRPr="003746B8">
              <w:rPr>
                <w:vertAlign w:val="superscript"/>
              </w:rPr>
              <w:t>34</w:t>
            </w:r>
            <w:r w:rsidRPr="003746B8">
              <w:t xml:space="preserve"> Oświadczenie w sprawie wariantów konstrukcji cyfrowego euro z perspektywy prywatności i ochrony danych przyjęte 10 października 2022 r.</w:t>
            </w:r>
          </w:p>
        </w:tc>
        <w:tc>
          <w:tcPr>
            <w:tcW w:w="4876" w:type="dxa"/>
            <w:hideMark/>
          </w:tcPr>
          <w:p w:rsidR="002F7FE1" w:rsidRPr="003746B8" w:rsidRDefault="00B029A7" w:rsidP="000462E9">
            <w:pPr>
              <w:pStyle w:val="Normal6"/>
              <w:rPr>
                <w:szCs w:val="24"/>
              </w:rPr>
            </w:pPr>
            <w:r w:rsidRPr="003746B8">
              <w:rPr>
                <w:vertAlign w:val="superscript"/>
              </w:rPr>
              <w:t>34</w:t>
            </w:r>
            <w:r w:rsidRPr="003746B8">
              <w:t xml:space="preserve"> Oświadczenie w sprawie wariantów konstrukcji cyfrowego euro z perspektywy prywatności i ochrony danych przyjęte 10 października 2022 r.</w:t>
            </w:r>
          </w:p>
        </w:tc>
      </w:tr>
      <w:tr w:rsidR="002859E2" w:rsidRPr="003746B8" w:rsidTr="000462E9">
        <w:trPr>
          <w:jc w:val="center"/>
        </w:trPr>
        <w:tc>
          <w:tcPr>
            <w:tcW w:w="4876" w:type="dxa"/>
            <w:hideMark/>
          </w:tcPr>
          <w:p w:rsidR="002F7FE1" w:rsidRPr="003746B8" w:rsidRDefault="00B029A7" w:rsidP="000462E9">
            <w:pPr>
              <w:pStyle w:val="Normal6"/>
            </w:pPr>
            <w:r w:rsidRPr="003746B8">
              <w:rPr>
                <w:vertAlign w:val="superscript"/>
              </w:rPr>
              <w:lastRenderedPageBreak/>
              <w:t>35</w:t>
            </w:r>
            <w:r w:rsidRPr="003746B8">
              <w:t xml:space="preserve"> Rozporządzenie Parlamentu Europejskiego i Rady (UE) 2016/679 z dnia 27 kwietnia 2016 r. w sprawie ochrony osób fizy</w:t>
            </w:r>
            <w:r w:rsidRPr="003746B8">
              <w:t>cznych w związku z przetwarzaniem danych osobowych i w sprawie swobodnego przepływu takich danych oraz uchylenia dyrektywy 95/46/WE (ogólne rozporządzenie o ochronie danych), Dz.U. L 119 z 4.5.2016, s. 1.</w:t>
            </w:r>
          </w:p>
        </w:tc>
        <w:tc>
          <w:tcPr>
            <w:tcW w:w="4876" w:type="dxa"/>
            <w:hideMark/>
          </w:tcPr>
          <w:p w:rsidR="002F7FE1" w:rsidRPr="003746B8" w:rsidRDefault="00B029A7" w:rsidP="000462E9">
            <w:pPr>
              <w:pStyle w:val="Normal6"/>
              <w:rPr>
                <w:szCs w:val="24"/>
              </w:rPr>
            </w:pPr>
            <w:r w:rsidRPr="003746B8">
              <w:rPr>
                <w:vertAlign w:val="superscript"/>
              </w:rPr>
              <w:t>35</w:t>
            </w:r>
            <w:r w:rsidRPr="003746B8">
              <w:t xml:space="preserve"> Rozporządzenie Parlamentu Europejskiego i Rady (</w:t>
            </w:r>
            <w:r w:rsidRPr="003746B8">
              <w:t>UE) 2016/679 z dnia 27 kwietnia 2016 r. w sprawie ochrony osób fizycznych w związku z przetwarzaniem danych osobowych i w sprawie swobodnego przepływu takich danych oraz uchylenia dyrektywy 95/46/WE (ogólne rozporządzenie o ochronie danych), Dz.U. L 119 z </w:t>
            </w:r>
            <w:r w:rsidRPr="003746B8">
              <w:t>4.5.2016, s. 1.</w:t>
            </w:r>
          </w:p>
        </w:tc>
      </w:tr>
      <w:tr w:rsidR="002859E2" w:rsidRPr="003746B8" w:rsidTr="000462E9">
        <w:trPr>
          <w:jc w:val="center"/>
        </w:trPr>
        <w:tc>
          <w:tcPr>
            <w:tcW w:w="4876" w:type="dxa"/>
            <w:hideMark/>
          </w:tcPr>
          <w:p w:rsidR="002F7FE1" w:rsidRPr="003746B8" w:rsidRDefault="00B029A7" w:rsidP="000462E9">
            <w:pPr>
              <w:pStyle w:val="Normal6"/>
            </w:pPr>
            <w:r w:rsidRPr="003746B8">
              <w:rPr>
                <w:vertAlign w:val="superscript"/>
              </w:rPr>
              <w:t>36</w:t>
            </w:r>
            <w:r w:rsidRPr="003746B8">
              <w:t xml:space="preserve"> Rozporządzenie Parlamentu Europejskiego i Rady (UE) 2018/1725 z dnia 23 października 2018 r. w sprawie ochrony osób fizycznych w związku z przetwarzaniem danych osobowych przez instytucje, organy i jednostki organizacyjne Unii i swobodn</w:t>
            </w:r>
            <w:r w:rsidRPr="003746B8">
              <w:t>ego przepływu takich danych oraz uchylenia rozporządzenia (WE) nr 45/2001 i decyzji nr 1247/2002/WE (Dz.U. L 295 z 21.11.2018, s. 39).</w:t>
            </w:r>
          </w:p>
        </w:tc>
        <w:tc>
          <w:tcPr>
            <w:tcW w:w="4876" w:type="dxa"/>
            <w:hideMark/>
          </w:tcPr>
          <w:p w:rsidR="002F7FE1" w:rsidRPr="003746B8" w:rsidRDefault="00B029A7" w:rsidP="000462E9">
            <w:pPr>
              <w:pStyle w:val="Normal6"/>
              <w:rPr>
                <w:szCs w:val="24"/>
              </w:rPr>
            </w:pPr>
            <w:r w:rsidRPr="003746B8">
              <w:rPr>
                <w:vertAlign w:val="superscript"/>
              </w:rPr>
              <w:t>36</w:t>
            </w:r>
            <w:r w:rsidRPr="003746B8">
              <w:t xml:space="preserve"> Rozporządzenie Parlamentu Europejskiego i Rady (UE) 2018/1725 z dnia 23 października 2018 r. w sprawie ochrony osób fi</w:t>
            </w:r>
            <w:r w:rsidRPr="003746B8">
              <w:t>zycznych w związku z przetwarzaniem danych osobowych przez instytucje, organy i jednostki organizacyjne Unii i swobodnego przepływu takich danych oraz uchylenia rozporządzenia (WE) nr 45/2001 i decyzji nr 1247/2002/WE (Dz.U. L 295 z 21.11.2018, s. 39).</w:t>
            </w:r>
          </w:p>
        </w:tc>
      </w:tr>
      <w:tr w:rsidR="002859E2" w:rsidRPr="003746B8" w:rsidTr="000462E9">
        <w:trPr>
          <w:jc w:val="center"/>
        </w:trPr>
        <w:tc>
          <w:tcPr>
            <w:tcW w:w="4876" w:type="dxa"/>
            <w:hideMark/>
          </w:tcPr>
          <w:p w:rsidR="002F7FE1" w:rsidRPr="003746B8" w:rsidRDefault="00B029A7" w:rsidP="000462E9">
            <w:pPr>
              <w:pStyle w:val="Normal6"/>
            </w:pPr>
            <w:r w:rsidRPr="003746B8">
              <w:rPr>
                <w:vertAlign w:val="superscript"/>
              </w:rPr>
              <w:t>37</w:t>
            </w:r>
            <w:r w:rsidRPr="003746B8">
              <w:t xml:space="preserve"> Dyrektywa 2002/58/WE Parlamentu Europejskiego i Rady z dnia 12 lipca 2002 r. dotycząca przetwarzania danych osobowych i ochrony prywatności w sektorze łączności elektronicznej, Dz.U. L 201 z 31.7.2002, s. 37.</w:t>
            </w:r>
          </w:p>
        </w:tc>
        <w:tc>
          <w:tcPr>
            <w:tcW w:w="4876" w:type="dxa"/>
            <w:hideMark/>
          </w:tcPr>
          <w:p w:rsidR="002F7FE1" w:rsidRPr="003746B8" w:rsidRDefault="00B029A7" w:rsidP="000462E9">
            <w:pPr>
              <w:pStyle w:val="Normal6"/>
              <w:rPr>
                <w:szCs w:val="24"/>
              </w:rPr>
            </w:pPr>
            <w:r w:rsidRPr="003746B8">
              <w:rPr>
                <w:vertAlign w:val="superscript"/>
              </w:rPr>
              <w:t>37</w:t>
            </w:r>
            <w:r w:rsidRPr="003746B8">
              <w:t xml:space="preserve"> Dyrektywa 2002/58/WE Parlamentu Europejskie</w:t>
            </w:r>
            <w:r w:rsidRPr="003746B8">
              <w:t>go i Rady z dnia 12 lipca 2002 r. dotycząca przetwarzania danych osobowych i ochrony prywatności w sektorze łączności elektronicznej, Dz.U. L 201 z 31.7.2002, s. 37.</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22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w:t>
      </w:r>
      <w:r w:rsidRPr="003746B8">
        <w:rPr>
          <w:rStyle w:val="HideTWBExt"/>
          <w:b w:val="0"/>
        </w:rPr>
        <w:t>DocAmend&gt;</w:t>
      </w:r>
    </w:p>
    <w:p w:rsidR="002F7FE1" w:rsidRPr="003746B8" w:rsidRDefault="00B029A7" w:rsidP="002F7FE1">
      <w:pPr>
        <w:pStyle w:val="NormalBold"/>
      </w:pPr>
      <w:r w:rsidRPr="003746B8">
        <w:rPr>
          <w:rStyle w:val="HideTWBExt"/>
          <w:b w:val="0"/>
        </w:rPr>
        <w:t>&lt;Article&gt;</w:t>
      </w:r>
      <w:r w:rsidRPr="003746B8">
        <w:t>Motyw 71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(71)</w:t>
            </w:r>
            <w:r w:rsidRPr="003746B8">
              <w:tab/>
              <w:t xml:space="preserve">Cyfrowe euro należy zatem skonstruować w taki sposób, aby zminimalizować przetwarzanie danych osobowych przez dostawców usług płatniczych i Europejski Bank Centralny do </w:t>
            </w:r>
            <w:r w:rsidRPr="003746B8">
              <w:t>tego, co jest konieczne do zapewnienia prawidłowego funkcjonowania cyfrowego euro. Cyfrowe euro powinno być dostępne w trybie offline, przy zachowaniu poziomu prywatności wobec dostawców usług płatniczych, który będzie porównywalny z poziomem prywatności p</w:t>
            </w:r>
            <w:r w:rsidRPr="003746B8">
              <w:t xml:space="preserve">rzy wypłatach </w:t>
            </w:r>
            <w:r w:rsidRPr="003746B8">
              <w:lastRenderedPageBreak/>
              <w:t>banknotów w bankomatach. Rozliczanie transakcji w cyfrowym euro powinno odbywać się w taki sposób, aby ani Europejski Bank Centralny, ani krajowe banki centralne nie mogły przypisać danych do zidentyfikowanego lub możliwego do zidentyfikowani</w:t>
            </w:r>
            <w:r w:rsidRPr="003746B8">
              <w:t>a użytkownika cyfrowego euro.</w:t>
            </w:r>
          </w:p>
        </w:tc>
        <w:tc>
          <w:tcPr>
            <w:tcW w:w="4876" w:type="dxa"/>
            <w:hideMark/>
          </w:tcPr>
          <w:p w:rsidR="002F7FE1" w:rsidRPr="003746B8" w:rsidRDefault="00B029A7" w:rsidP="000462E9">
            <w:pPr>
              <w:pStyle w:val="Normal6"/>
              <w:rPr>
                <w:szCs w:val="24"/>
              </w:rPr>
            </w:pPr>
            <w:r w:rsidRPr="003746B8">
              <w:lastRenderedPageBreak/>
              <w:t>(71)</w:t>
            </w:r>
            <w:r w:rsidRPr="003746B8">
              <w:tab/>
              <w:t xml:space="preserve">Cyfrowe euro należy zatem skonstruować w taki sposób, aby zminimalizować przetwarzanie danych osobowych przez dostawców usług płatniczych i Europejski Bank Centralny do tego, co jest konieczne do zapewnienia prawidłowego </w:t>
            </w:r>
            <w:r w:rsidRPr="003746B8">
              <w:t>funkcjonowania cyfrowego euro</w:t>
            </w:r>
            <w:r w:rsidRPr="003746B8">
              <w:rPr>
                <w:b/>
                <w:i/>
              </w:rPr>
              <w:t>, o którym mowa w art. 5 ust. 1 lit. c) RODO</w:t>
            </w:r>
            <w:r w:rsidRPr="003746B8">
              <w:t xml:space="preserve">. Cyfrowe euro powinno być dostępne w trybie offline, przy zachowaniu poziomu prywatności wobec dostawców usług płatniczych, który będzie </w:t>
            </w:r>
            <w:r w:rsidRPr="003746B8">
              <w:lastRenderedPageBreak/>
              <w:t>porównywalny z poziomem prywatności przy wypł</w:t>
            </w:r>
            <w:r w:rsidRPr="003746B8">
              <w:t>atach banknotów w bankomatach. Rozliczanie transakcji w cyfrowym euro powinno odbywać się w taki sposób, aby ani Europejski Bank Centralny, ani krajowe banki centralne nie mogły przypisać danych do zidentyfikowanego lub możliwego do zidentyfikowania użytko</w:t>
            </w:r>
            <w:r w:rsidRPr="003746B8">
              <w:t xml:space="preserve">wnika cyfrowego euro. </w:t>
            </w:r>
            <w:r w:rsidRPr="003746B8">
              <w:rPr>
                <w:b/>
                <w:i/>
              </w:rPr>
              <w:t>Ponadto do celów uwierzytelniania i identyfikacji oraz zgodnie z zasadami minimalizacji danych i uwzględniania ochrony prywatności już w fazie projektowania i domyślnej ochrony prywatności określonymi w rozporządzeniu (UE) 2016/679 do</w:t>
            </w:r>
            <w:r w:rsidRPr="003746B8">
              <w:rPr>
                <w:b/>
                <w:i/>
              </w:rPr>
              <w:t>stawcy usług płatniczych domyślnie powinni zapewniać metody uwierzytelniania i identyfikacji, które nie opierają się na danych biometrycznych.</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23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72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(72)</w:t>
            </w:r>
            <w:r w:rsidRPr="003746B8">
              <w:tab/>
              <w:t>Uwzględnienie ochrony danych już w fazie projektowania i domyślna ochrona danych powinny być wbudowane we wszystkie systemy przetwarzania danych opracowywane i używane w ramach niniejszego</w:t>
            </w:r>
            <w:r w:rsidRPr="003746B8">
              <w:t xml:space="preserve"> rozporządzenia. Przetwarzanie danych osobowych powinno podlegać odpowiednim zabezpieczeniom praw i wolności osoby, której dane dotyczą. Zabezpieczenia te powinny polegać na wdrożeniu środków technicznych i organizacyjnych, w szczególności zapewniających p</w:t>
            </w:r>
            <w:r w:rsidRPr="003746B8">
              <w:t>oszanowanie zasad ochrony danych określonych w rozporządzeniu (UE) 2016/679 i rozporządzeniu (UE) 2018/</w:t>
            </w:r>
            <w:r w:rsidRPr="003746B8">
              <w:rPr>
                <w:b/>
                <w:i/>
              </w:rPr>
              <w:t>1715</w:t>
            </w:r>
            <w:r w:rsidRPr="003746B8">
              <w:t>, w tym zasady minimalizacji danych i zasady celowości.</w:t>
            </w:r>
          </w:p>
        </w:tc>
        <w:tc>
          <w:tcPr>
            <w:tcW w:w="4876" w:type="dxa"/>
            <w:hideMark/>
          </w:tcPr>
          <w:p w:rsidR="002F7FE1" w:rsidRPr="003746B8" w:rsidRDefault="00B029A7" w:rsidP="000462E9">
            <w:pPr>
              <w:pStyle w:val="Normal6"/>
              <w:rPr>
                <w:szCs w:val="24"/>
              </w:rPr>
            </w:pPr>
            <w:r w:rsidRPr="003746B8">
              <w:t>(72)</w:t>
            </w:r>
            <w:r w:rsidRPr="003746B8">
              <w:tab/>
              <w:t>Uwzględnienie ochrony danych już w fazie projektowania i domyślna ochrona danych powinny</w:t>
            </w:r>
            <w:r w:rsidRPr="003746B8">
              <w:t xml:space="preserve"> być wbudowane we wszystkie systemy przetwarzania danych opracowywane i używane w ramach niniejszego rozporządzenia. Przetwarzanie danych osobowych powinno podlegać odpowiednim zabezpieczeniom praw i wolności osoby, której dane dotyczą. Zabezpieczenia te p</w:t>
            </w:r>
            <w:r w:rsidRPr="003746B8">
              <w:t>owinny polegać na wdrożeniu środków technicznych i organizacyjnych, w szczególności zapewniających poszanowanie zasad ochrony danych określonych w rozporządzeniu (UE) 2016/679 i rozporządzeniu (UE) 2018/</w:t>
            </w:r>
            <w:r w:rsidRPr="003746B8">
              <w:rPr>
                <w:b/>
                <w:i/>
              </w:rPr>
              <w:t>1725</w:t>
            </w:r>
            <w:r w:rsidRPr="003746B8">
              <w:t>, w tym zasady minimalizacji danych i zasady celo</w:t>
            </w:r>
            <w:r w:rsidRPr="003746B8">
              <w:t xml:space="preserve">wości. </w:t>
            </w:r>
            <w:r w:rsidRPr="003746B8">
              <w:rPr>
                <w:b/>
                <w:i/>
              </w:rPr>
              <w:t xml:space="preserve">Europejska Rada Ochrony Danych, po konsultacji z Europejskim Bankiem Centralnym, może wydać </w:t>
            </w:r>
            <w:r w:rsidRPr="003746B8">
              <w:rPr>
                <w:b/>
                <w:i/>
              </w:rPr>
              <w:lastRenderedPageBreak/>
              <w:t>wytyczne dotyczące wdrażania odpowiednich środków technicznych i organizacyjnych, w tym technik pseudonimizacji do celów cyfrowego euro.</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w:t>
      </w:r>
      <w:r w:rsidRPr="003746B8">
        <w:t>rawka</w:t>
      </w:r>
      <w:r w:rsidRPr="003746B8">
        <w:tab/>
      </w:r>
      <w:r w:rsidRPr="003746B8">
        <w:tab/>
      </w:r>
      <w:r w:rsidRPr="003746B8">
        <w:rPr>
          <w:rStyle w:val="HideTWBExt"/>
          <w:b w:val="0"/>
        </w:rPr>
        <w:t>&lt;NumAm&gt;</w:t>
      </w:r>
      <w:r w:rsidRPr="003746B8">
        <w:t>24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73</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(73)</w:t>
            </w:r>
            <w:r w:rsidRPr="003746B8">
              <w:tab/>
              <w:t xml:space="preserve">Dostawcy usług płatniczych powinni mieć możliwość przetwarzania danych osobowych w zakresie, </w:t>
            </w:r>
            <w:r w:rsidRPr="003746B8">
              <w:t>w jakim jest to konieczne do realizacji zadań, które są niezbędne do prawidłowego funkcjonowania cyfrowego euro. Zgodnie z art. 6 ust. 1 lit. c) rozporządzenia (UE) 2016/679 czynności przetwarzania należy uznać za zgodne z prawem w odniesieniu do cyfrowego</w:t>
            </w:r>
            <w:r w:rsidRPr="003746B8">
              <w:t xml:space="preserve"> euro w przypadkach, gdy – i w takim zakresie, w jakim – są one niezbędne do wypełnienia obowiązku prawnego ciążącego na administratorze zgodnie z niniejszym rozporządzeniem. W ramach niniejszego rozporządzenia przetwarza się dane osobowe do celów następuj</w:t>
            </w:r>
            <w:r w:rsidRPr="003746B8">
              <w:t>ących zadań: egzekwowanie limitów utrzymywanej kwoty, inicjowanie finansowania i definansowania zasobów użytkownika oraz zarządzanie lokalnymi urządzeniami pamięciowymi na potrzeby płatności w cyfrowym euro dokonywanych w trybie offline, które to zadania l</w:t>
            </w:r>
            <w:r w:rsidRPr="003746B8">
              <w:t>eżą w interesie publicznym i mają zasadnicze znaczenie dla ochrony obywateli korzystających z cyfrowego euro, a także dla stabilności i integralności unijnego systemu finansowego. Administratorami danych osobowych w odniesieniu do tych zadań są dostawcy us</w:t>
            </w:r>
            <w:r w:rsidRPr="003746B8">
              <w:t xml:space="preserve">ług płatniczych. Ponadto dostawcy usług płatniczych mogą przetwarzać dane osobowe w celu </w:t>
            </w:r>
            <w:r w:rsidRPr="003746B8">
              <w:rPr>
                <w:b/>
                <w:i/>
              </w:rPr>
              <w:t xml:space="preserve">wykonywania dotychczasowych zadań leżących w interesie publicznym lub w celu </w:t>
            </w:r>
            <w:r w:rsidRPr="003746B8">
              <w:t xml:space="preserve">wypełnienia zobowiązania prawnego ustanowionego w prawie Unii, </w:t>
            </w:r>
            <w:r w:rsidRPr="003746B8">
              <w:lastRenderedPageBreak/>
              <w:t xml:space="preserve">które mają zastosowanie do </w:t>
            </w:r>
            <w:r w:rsidRPr="003746B8">
              <w:t>środków pieniężnych określonych w dyrektywie (UE) 2015/2366. Zadania te dotyczą świadczenia usług płatniczych oraz zapobiegania oszustwom i ich wykrywania zgodnie z dyrektywą (UE) 2015/2366, zwalczania prania pieniędzy i finansowania terroryzmu zgodnie z d</w:t>
            </w:r>
            <w:r w:rsidRPr="003746B8">
              <w:t>yrektywą (UE) 2015/849, wypełniania obowiązków związanych z opodatkowaniem i unikaniem opodatkowania oraz zarządzania ryzykiem operacyjnym i ryzykiem dla bezpieczeństwa zgodnie z rozporządzeniem (UE) 2022/255.</w:t>
            </w:r>
          </w:p>
        </w:tc>
        <w:tc>
          <w:tcPr>
            <w:tcW w:w="4876" w:type="dxa"/>
            <w:hideMark/>
          </w:tcPr>
          <w:p w:rsidR="002F7FE1" w:rsidRPr="003746B8" w:rsidRDefault="00B029A7" w:rsidP="000462E9">
            <w:pPr>
              <w:pStyle w:val="Normal6"/>
              <w:rPr>
                <w:szCs w:val="24"/>
              </w:rPr>
            </w:pPr>
            <w:r w:rsidRPr="003746B8">
              <w:lastRenderedPageBreak/>
              <w:t>(73)</w:t>
            </w:r>
            <w:r w:rsidRPr="003746B8">
              <w:tab/>
              <w:t>Dostawcy usług płatniczych powinni mieć m</w:t>
            </w:r>
            <w:r w:rsidRPr="003746B8">
              <w:t>ożliwość przetwarzania danych osobowych w zakresie, w jakim jest to konieczne do realizacji zadań, które są niezbędne do prawidłowego funkcjonowania cyfrowego euro. Zgodnie z art. 6 ust. 1 lit. c) rozporządzenia (UE) 2016/679 czynności przetwarzania należy</w:t>
            </w:r>
            <w:r w:rsidRPr="003746B8">
              <w:t xml:space="preserve"> uznać za zgodne z prawem w odniesieniu do cyfrowego euro w przypadkach, gdy – i w takim zakresie, w jakim – są one niezbędne do wypełnienia obowiązku prawnego ciążącego na administratorze zgodnie z niniejszym rozporządzeniem. W ramach niniejszego rozporzą</w:t>
            </w:r>
            <w:r w:rsidRPr="003746B8">
              <w:t>dzenia przetwarza się dane osobowe do celów następujących zadań: egzekwowanie limitów utrzymywanej kwoty, inicjowanie finansowania i definansowania zasobów użytkownika oraz zarządzanie lokalnymi urządzeniami pamięciowymi na potrzeby płatności w cyfrowym eu</w:t>
            </w:r>
            <w:r w:rsidRPr="003746B8">
              <w:t xml:space="preserve">ro dokonywanych w trybie offline, które to zadania leżą w interesie publicznym i mają zasadnicze znaczenie dla ochrony obywateli korzystających z cyfrowego euro, a także dla stabilności i integralności unijnego systemu finansowego. Administratorami danych </w:t>
            </w:r>
            <w:r w:rsidRPr="003746B8">
              <w:t>osobowych w odniesieniu do tych zadań są dostawcy usług płatniczych. Ponadto dostawcy usług płatniczych mogą przetwarzać dane osobowe w celu wypełnienia zobowiązania prawnego ustanowionego w prawie Unii, które mają zastosowanie do środków pieniężnych okreś</w:t>
            </w:r>
            <w:r w:rsidRPr="003746B8">
              <w:t xml:space="preserve">lonych w dyrektywie (UE) </w:t>
            </w:r>
            <w:r w:rsidRPr="003746B8">
              <w:lastRenderedPageBreak/>
              <w:t>2015/2366. Zadania te dotyczą świadczenia usług płatniczych oraz zapobiegania oszustwom i ich wykrywania zgodnie z dyrektywą (UE) 2015/2366, zwalczania prania pieniędzy i finansowania terroryzmu zgodnie z dyrektywą (UE) 2015/849, w</w:t>
            </w:r>
            <w:r w:rsidRPr="003746B8">
              <w:t>ypełniania obowiązków związanych z opodatkowaniem i unikaniem opodatkowania oraz zarządzania ryzykiem operacyjnym i ryzykiem dla bezpieczeństwa zgodnie z rozporządzeniem (UE) 2022/255.</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25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 xml:space="preserve">Wniosek </w:t>
      </w:r>
      <w:r w:rsidRPr="003746B8">
        <w:t>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75</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(75)</w:t>
            </w:r>
            <w:r w:rsidRPr="003746B8">
              <w:tab/>
              <w:t>Transakcje płatnicze w cyfrowym euro dokonywane w trybie offline to płatności dokonywane w niewielkiej odległości fizycznej („twarzą w twarz”).</w:t>
            </w:r>
            <w:r w:rsidRPr="003746B8">
              <w:t xml:space="preserve"> Są one podobne do transakcji gotówkowych i powinny być traktowane w podobny sposób pod względem prywatności. Dostawcy usług płatniczych nie powinni zatem przetwarzać danych osobowych związanych z transakcjami płatniczymi w cyfrowym euro dokonywanymi w try</w:t>
            </w:r>
            <w:r w:rsidRPr="003746B8">
              <w:t>bie offline, a jedynie dane osobowe związane z deponowaniem lub wypłacaniem cyfrowych euro z rachunków płatniczych w cyfrowym euro w celu załadowania ich na lokalne urządzenia pamięciowe lub z lokalnych urządzeń pamięciowych na rachunki płatnicze w cyfrowy</w:t>
            </w:r>
            <w:r w:rsidRPr="003746B8">
              <w:t>m euro. Obejmuje to identyfikator lokalnych urządzeń pamięciowych, który dostawcy usług płatniczych przypisują do użytkownika cyfrowego euro posiadającego cyfrowe euro w trybie offline. Ten poziom prywatności byłby porównywalny do wypłat banknotów w bankom</w:t>
            </w:r>
            <w:r w:rsidRPr="003746B8">
              <w:t xml:space="preserve">atach, w przypadku których </w:t>
            </w:r>
            <w:r w:rsidRPr="003746B8">
              <w:lastRenderedPageBreak/>
              <w:t>dostawcy usług płatniczych przetwarzają dane osobowe związane z tożsamością użytkownika oraz dane dotyczące sposobu realizacji transakcji finansowania i definansowania. Oznacza to, że w przypadku transakcji płatniczych w cyfrowym</w:t>
            </w:r>
            <w:r w:rsidRPr="003746B8">
              <w:t xml:space="preserve"> euro dokonywanych w trybie offline nie powinno mieć miejsca monitorowanie danych dotyczących transakcji.</w:t>
            </w:r>
          </w:p>
        </w:tc>
        <w:tc>
          <w:tcPr>
            <w:tcW w:w="4876" w:type="dxa"/>
            <w:hideMark/>
          </w:tcPr>
          <w:p w:rsidR="002F7FE1" w:rsidRPr="003746B8" w:rsidRDefault="00B029A7" w:rsidP="000462E9">
            <w:pPr>
              <w:pStyle w:val="Normal6"/>
              <w:rPr>
                <w:szCs w:val="24"/>
              </w:rPr>
            </w:pPr>
            <w:r w:rsidRPr="003746B8">
              <w:lastRenderedPageBreak/>
              <w:t>(75)</w:t>
            </w:r>
            <w:r w:rsidRPr="003746B8">
              <w:tab/>
              <w:t>Transakcje płatnicze w cyfrowym euro dokonywane w trybie offline to płatności dokonywane w niewielkiej odległości fizycznej („twarzą w twarz”). S</w:t>
            </w:r>
            <w:r w:rsidRPr="003746B8">
              <w:t>ą one podobne do transakcji gotówkowych i powinny być traktowane w podobny sposób pod względem prywatności.</w:t>
            </w:r>
            <w:r w:rsidRPr="003746B8">
              <w:rPr>
                <w:b/>
                <w:i/>
              </w:rPr>
              <w:t xml:space="preserve"> W tym sensie zasadnicze znaczenie ma to, by utworzenie cyfrowego euro w trybie offline nie dawało podstaw do śledzenia lub kontrolowania sposobu wyd</w:t>
            </w:r>
            <w:r w:rsidRPr="003746B8">
              <w:rPr>
                <w:b/>
                <w:i/>
              </w:rPr>
              <w:t>awania tego rodzaju waluty w porównaniu z gotówką.</w:t>
            </w:r>
            <w:r w:rsidRPr="003746B8">
              <w:t xml:space="preserve"> Dostawcy usług płatniczych nie powinni zatem przetwarzać danych osobowych związanych z transakcjami płatniczymi w cyfrowym euro dokonywanymi w trybie offline, a jedynie dane osobowe związane z deponowaniem</w:t>
            </w:r>
            <w:r w:rsidRPr="003746B8">
              <w:t xml:space="preserve"> lub wypłacaniem cyfrowych euro z rachunków płatniczych w cyfrowym euro w celu załadowania ich na lokalne urządzenia pamięciowe lub z lokalnych urządzeń pamięciowych na rachunki płatnicze w cyfrowym euro. Obejmuje to identyfikator lokalnych urządzeń pamięc</w:t>
            </w:r>
            <w:r w:rsidRPr="003746B8">
              <w:t xml:space="preserve">iowych, który dostawcy usług </w:t>
            </w:r>
            <w:r w:rsidRPr="003746B8">
              <w:lastRenderedPageBreak/>
              <w:t>płatniczych przypisują do użytkownika cyfrowego euro posiadającego cyfrowe euro w trybie offline. Ten poziom prywatności byłby porównywalny do wypłat banknotów w bankomatach, w przypadku których dostawcy usług płatniczych przet</w:t>
            </w:r>
            <w:r w:rsidRPr="003746B8">
              <w:t>warzają dane osobowe związane z tożsamością użytkownika oraz dane dotyczące sposobu realizacji transakcji finansowania i definansowania. Oznacza to, że w przypadku transakcji płatniczych w cyfrowym euro dokonywanych w trybie offline nie powinno mieć miejsc</w:t>
            </w:r>
            <w:r w:rsidRPr="003746B8">
              <w:t>a monitorowanie danych dotyczących transakcji.</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26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76</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(76)</w:t>
            </w:r>
            <w:r w:rsidRPr="003746B8">
              <w:tab/>
              <w:t xml:space="preserve">Europejski Bank Centralny </w:t>
            </w:r>
            <w:r w:rsidRPr="003746B8">
              <w:t>i krajowe banki centralne mogą przetwarzać dane osobowe w zakresie, w jakim jest to konieczne do realizacji zadań, które są niezbędne do prawidłowego funkcjonowania cyfrowego euro. W ramach niniejszego rozporządzenia przetwarza się dane osobowe do celów na</w:t>
            </w:r>
            <w:r w:rsidRPr="003746B8">
              <w:t>stępujących zadań: rozliczanie transakcji płatniczych w cyfrowym euro oraz zarządzanie bezpieczeństwem i integralnością infrastruktury do obsługi cyfrowego euro, które to zadania leżą w interesie publicznym i mają zasadnicze znaczenie dla ochrony obywateli</w:t>
            </w:r>
            <w:r w:rsidRPr="003746B8">
              <w:t xml:space="preserve"> korzystających z cyfrowego euro, a także dla stabilności i integralności unijnego systemu finansowego. Zadanie związane z utrzymaniem bezpieczeństwa i integralności cyfrowej infrastruktury do obsługi cyfrowego euro obejmuje działania związane z zapewnieni</w:t>
            </w:r>
            <w:r w:rsidRPr="003746B8">
              <w:t xml:space="preserve">em stabilności i odporności operacyjnej cyfrowego euro. Administratorami danych osobowych </w:t>
            </w:r>
            <w:r w:rsidRPr="003746B8">
              <w:lastRenderedPageBreak/>
              <w:t>w odniesieniu do tych zadań byłyby Europejski Bank Centralny i krajowe banki centralne. Europejski Bank Centralny i krajowe banki centralne przetwarzałyby dane osobow</w:t>
            </w:r>
            <w:r w:rsidRPr="003746B8">
              <w:t>e do celów wykonywania tych zadań przy użyciu najnowocześniejszych środków bezpieczeństwa i ochrony prywatności, takich jak pseudonimizacja lub szyfrowanie, aby zapewnić, by dane nie mogły być wykorzystane do bezpośredniej identyfikacji konkretnego użytkow</w:t>
            </w:r>
            <w:r w:rsidRPr="003746B8">
              <w:t>nika cyfrowego euro.</w:t>
            </w:r>
          </w:p>
        </w:tc>
        <w:tc>
          <w:tcPr>
            <w:tcW w:w="4876" w:type="dxa"/>
            <w:hideMark/>
          </w:tcPr>
          <w:p w:rsidR="002F7FE1" w:rsidRPr="003746B8" w:rsidRDefault="00B029A7" w:rsidP="000462E9">
            <w:pPr>
              <w:pStyle w:val="Normal6"/>
              <w:rPr>
                <w:szCs w:val="24"/>
              </w:rPr>
            </w:pPr>
            <w:r w:rsidRPr="003746B8">
              <w:lastRenderedPageBreak/>
              <w:t>(76)</w:t>
            </w:r>
            <w:r w:rsidRPr="003746B8">
              <w:tab/>
              <w:t>Europejski Bank Centralny i krajowe banki centralne mogą przetwarzać dane osobowe w zakresie, w jakim jest to konieczne do realizacji zadań, które są niezbędne do prawidłowego funkcjonowania cyfrowego euro. W ramach niniejszego ro</w:t>
            </w:r>
            <w:r w:rsidRPr="003746B8">
              <w:t>zporządzenia przetwarza się dane osobowe do celów następujących zadań: rozliczanie transakcji płatniczych w cyfrowym euro oraz zarządzanie bezpieczeństwem i integralnością infrastruktury do obsługi cyfrowego euro, które to zadania leżą w interesie publiczn</w:t>
            </w:r>
            <w:r w:rsidRPr="003746B8">
              <w:t xml:space="preserve">ym i mają zasadnicze znaczenie dla ochrony obywateli korzystających z cyfrowego euro, a także dla stabilności i integralności unijnego systemu finansowego. </w:t>
            </w:r>
            <w:r w:rsidRPr="003746B8">
              <w:rPr>
                <w:b/>
                <w:i/>
              </w:rPr>
              <w:t>Podstawę prawną przetwarzania danych osobowych przewidziano zatem w art. 6 ust. 1 lit. e) rozporządz</w:t>
            </w:r>
            <w:r w:rsidRPr="003746B8">
              <w:rPr>
                <w:b/>
                <w:i/>
              </w:rPr>
              <w:t xml:space="preserve">enia (UE) 2016/679 w odniesieniu do banków krajowych oraz w art. 5 ust. 1 lit. a) rozporządzenia (UE) 2018/1725 w odniesieniu do </w:t>
            </w:r>
            <w:r w:rsidRPr="003746B8">
              <w:rPr>
                <w:b/>
                <w:i/>
              </w:rPr>
              <w:lastRenderedPageBreak/>
              <w:t xml:space="preserve">Europejskiego Banku Centralnego. </w:t>
            </w:r>
            <w:r w:rsidRPr="003746B8">
              <w:t>Zadanie związane z utrzymaniem bezpieczeństwa i integralności cyfrowej infrastruktury do obsłu</w:t>
            </w:r>
            <w:r w:rsidRPr="003746B8">
              <w:t>gi cyfrowego euro obejmuje działania związane z zapewnieniem stabilności i odporności operacyjnej cyfrowego euro. Administratorami danych osobowych w odniesieniu do tych zadań byłyby Europejski Bank Centralny i krajowe banki centralne. Europejski Bank Cent</w:t>
            </w:r>
            <w:r w:rsidRPr="003746B8">
              <w:t>ralny i krajowe banki centralne przetwarzałyby dane osobowe do celów wykonywania tych zadań przy użyciu najnowocześniejszych środków bezpieczeństwa i ochrony prywatności, takich jak pseudonimizacja lub szyfrowanie, aby zapewnić, by dane nie mogły być wykor</w:t>
            </w:r>
            <w:r w:rsidRPr="003746B8">
              <w:t>zystane do bezpośredniej identyfikacji konkretnego użytkownika cyfrowego euro.</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27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77</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(77)</w:t>
            </w:r>
            <w:r w:rsidRPr="003746B8">
              <w:tab/>
            </w:r>
            <w:r w:rsidRPr="003746B8">
              <w:t>W celu egzekwowania limitów utrzymywanej kwoty i zapewnienia przenoszenia rachunków płatniczych w cyfrowym euro w wyjątkowych okolicznościach i sytuacjach awaryjnych na wniosek użytkownika cyfrowego euro pojedynczy punkt dostępu do identyfikatorów użytkown</w:t>
            </w:r>
            <w:r w:rsidRPr="003746B8">
              <w:t>ików cyfrowego euro i powiązanych limitów utrzymywanej kwoty cyfrowego euro jest niezbędny do zapewnienia sprawnego funkcjonowania cyfrowego euro w całej strefie euro, ponieważ użytkownicy cyfrowego euro mogą posiadać rachunki płatnicze w cyfrowym euro w r</w:t>
            </w:r>
            <w:r w:rsidRPr="003746B8">
              <w:t xml:space="preserve">óżnych państwach członkowskich. Przy ustanawianiu pojedynczego punktu dostępu Europejski Bank Centralny i krajowe banki centralne powinny zapewnić, aby przetwarzanie danych osobowych było zminimalizowane </w:t>
            </w:r>
            <w:r w:rsidRPr="003746B8">
              <w:lastRenderedPageBreak/>
              <w:t>do tego, co jest bezwzględnie niezbędne, oraz aby w </w:t>
            </w:r>
            <w:r w:rsidRPr="003746B8">
              <w:t>procesie tym uwzględniono ochronę danych w fazie projektowania i domyślną ochronę danych. Europejski Bank Centralny i krajowe banki centralne powinny rozważyć, w stosownych przypadkach i w celu zminimalizowania ryzyka naruszenia danych, wykorzystanie zdece</w:t>
            </w:r>
            <w:r w:rsidRPr="003746B8">
              <w:t>ntralizowanego przechowywania danych.</w:t>
            </w:r>
          </w:p>
        </w:tc>
        <w:tc>
          <w:tcPr>
            <w:tcW w:w="4876" w:type="dxa"/>
            <w:hideMark/>
          </w:tcPr>
          <w:p w:rsidR="002F7FE1" w:rsidRPr="003746B8" w:rsidRDefault="00B029A7" w:rsidP="000462E9">
            <w:pPr>
              <w:pStyle w:val="Normal6"/>
              <w:rPr>
                <w:szCs w:val="24"/>
              </w:rPr>
            </w:pPr>
            <w:r w:rsidRPr="003746B8">
              <w:lastRenderedPageBreak/>
              <w:t>(77)</w:t>
            </w:r>
            <w:r w:rsidRPr="003746B8">
              <w:tab/>
              <w:t>W celu egzekwowania limitów utrzymywanej kwoty i zapewnienia przenoszenia rachunków płatniczych w cyfrowym euro w wyjątkowych okolicznościach i sytuacjach awaryjnych na wniosek użytkownika cyfrowego euro pojedyncz</w:t>
            </w:r>
            <w:r w:rsidRPr="003746B8">
              <w:t>y punkt dostępu do identyfikatorów użytkowników cyfrowego euro i powiązanych limitów utrzymywanej kwoty cyfrowego euro jest niezbędny do zapewnienia sprawnego funkcjonowania cyfrowego euro w całej strefie euro, ponieważ użytkownicy cyfrowego euro mogą posi</w:t>
            </w:r>
            <w:r w:rsidRPr="003746B8">
              <w:t xml:space="preserve">adać rachunki płatnicze w cyfrowym euro w różnych państwach członkowskich. Przy ustanawianiu pojedynczego punktu dostępu Europejski Bank Centralny i krajowe banki centralne powinny zapewnić, aby przetwarzanie danych osobowych było zminimalizowane </w:t>
            </w:r>
            <w:r w:rsidRPr="003746B8">
              <w:lastRenderedPageBreak/>
              <w:t xml:space="preserve">do tego, </w:t>
            </w:r>
            <w:r w:rsidRPr="003746B8">
              <w:t>co jest bezwzględnie niezbędne</w:t>
            </w:r>
            <w:r w:rsidRPr="003746B8">
              <w:rPr>
                <w:b/>
                <w:i/>
              </w:rPr>
              <w:t xml:space="preserve"> i proporcjonalne</w:t>
            </w:r>
            <w:r w:rsidRPr="003746B8">
              <w:t>, oraz aby w procesie tym uwzględniono ochronę danych w fazie projektowania i domyślną ochronę danych. Europejski Bank Centralny i krajowe banki centralne powinny rozważyć, w stosownych przypadkach i w celu zm</w:t>
            </w:r>
            <w:r w:rsidRPr="003746B8">
              <w:t xml:space="preserve">inimalizowania ryzyka naruszenia danych, wykorzystanie zdecentralizowanego przechowywania danych. </w:t>
            </w:r>
            <w:r w:rsidRPr="003746B8">
              <w:rPr>
                <w:b/>
                <w:i/>
              </w:rPr>
              <w:t>Mogą także rozważyć przyjęcie środków w celu zapewnienia, aby salda rachunków mogły być spłacane bezpośrednio przez użytkowników za pomocą kodu rezerwowego.</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28</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78</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(78)</w:t>
            </w:r>
            <w:r w:rsidRPr="003746B8">
              <w:tab/>
              <w:t xml:space="preserve">W pakiecie dotyczącym przeciwdziałania korzystaniu z systemu finansowego do </w:t>
            </w:r>
            <w:r w:rsidRPr="003746B8">
              <w:t>prania pieniędzy i finansowania terroryzmu, przyjętym przez Komisję 21 lipca 2021 r.</w:t>
            </w:r>
            <w:r w:rsidRPr="003746B8">
              <w:rPr>
                <w:vertAlign w:val="superscript"/>
              </w:rPr>
              <w:t>38</w:t>
            </w:r>
            <w:r w:rsidRPr="003746B8">
              <w:t xml:space="preserve"> („pakiet dotyczący AML”), Komisja zaproponowała znaczne wzmocnienie przepisów dotyczących przeciwdziałania praniu pieniędzy (</w:t>
            </w:r>
            <w:r w:rsidRPr="003746B8">
              <w:rPr>
                <w:b/>
                <w:i/>
              </w:rPr>
              <w:t>„AML”</w:t>
            </w:r>
            <w:r w:rsidRPr="003746B8">
              <w:t>) w całej Unii. Zgodnie z tym celem ora</w:t>
            </w:r>
            <w:r w:rsidRPr="003746B8">
              <w:t>z z myślą o zapewnieniu skutecznego stosowania wymogów dotyczących AML/CFT w odniesieniu do cyfrowego euro niniejsze rozporządzenie powinno stanowić, że transakcje płatnicze w cyfrowym euro dokonywane w trybie online podlegają wymogom dotyczącym AML/CFT ok</w:t>
            </w:r>
            <w:r w:rsidRPr="003746B8">
              <w:t>reślonym w dyrektywie (UE) 2015/849.</w:t>
            </w:r>
          </w:p>
        </w:tc>
        <w:tc>
          <w:tcPr>
            <w:tcW w:w="4876" w:type="dxa"/>
            <w:hideMark/>
          </w:tcPr>
          <w:p w:rsidR="002F7FE1" w:rsidRPr="003746B8" w:rsidRDefault="00B029A7" w:rsidP="000462E9">
            <w:pPr>
              <w:pStyle w:val="Normal6"/>
              <w:rPr>
                <w:szCs w:val="24"/>
              </w:rPr>
            </w:pPr>
            <w:r w:rsidRPr="003746B8">
              <w:t>(78)</w:t>
            </w:r>
            <w:r w:rsidRPr="003746B8">
              <w:tab/>
              <w:t>W pakiecie dotyczącym przeciwdziałania korzystaniu z systemu finansowego do prania pieniędzy i finansowania terroryzmu, przyjętym przez Komisję 21 lipca 2021 r.</w:t>
            </w:r>
            <w:r w:rsidRPr="003746B8">
              <w:rPr>
                <w:vertAlign w:val="superscript"/>
              </w:rPr>
              <w:t>38</w:t>
            </w:r>
            <w:r w:rsidRPr="003746B8">
              <w:t xml:space="preserve"> („pakiet dotyczący AML”), Komisja zaproponowała zna</w:t>
            </w:r>
            <w:r w:rsidRPr="003746B8">
              <w:t xml:space="preserve">czne wzmocnienie przepisów dotyczących przeciwdziałania praniu pieniędzy </w:t>
            </w:r>
            <w:r w:rsidRPr="003746B8">
              <w:rPr>
                <w:b/>
                <w:i/>
              </w:rPr>
              <w:t xml:space="preserve">i finansowaniu terroryzmu </w:t>
            </w:r>
            <w:r w:rsidRPr="003746B8">
              <w:t>(</w:t>
            </w:r>
            <w:r w:rsidRPr="003746B8">
              <w:rPr>
                <w:b/>
                <w:i/>
              </w:rPr>
              <w:t>„AML/CFT”</w:t>
            </w:r>
            <w:r w:rsidRPr="003746B8">
              <w:t>) w całej Unii. Zgodnie z tym celem oraz z myślą o zapewnieniu skutecznego stosowania wymogów dotyczących AML/CFT w odniesieniu do cyfrowego euro n</w:t>
            </w:r>
            <w:r w:rsidRPr="003746B8">
              <w:t>iniejsze rozporządzenie powinno stanowić, że transakcje płatnicze w cyfrowym euro dokonywane w trybie online podlegają wymogom dotyczącym AML/CFT określonym w dyrektywie (UE) 2015/849.</w:t>
            </w:r>
            <w:r w:rsidRPr="003746B8">
              <w:rPr>
                <w:vertAlign w:val="superscript"/>
              </w:rPr>
              <w:t xml:space="preserve"> </w:t>
            </w:r>
          </w:p>
        </w:tc>
      </w:tr>
      <w:tr w:rsidR="002859E2" w:rsidRPr="003746B8" w:rsidTr="000462E9">
        <w:trPr>
          <w:jc w:val="center"/>
        </w:trPr>
        <w:tc>
          <w:tcPr>
            <w:tcW w:w="4876" w:type="dxa"/>
            <w:hideMark/>
          </w:tcPr>
          <w:p w:rsidR="002F7FE1" w:rsidRPr="003746B8" w:rsidRDefault="00B029A7" w:rsidP="000462E9">
            <w:pPr>
              <w:pStyle w:val="Normal6"/>
            </w:pPr>
            <w:r w:rsidRPr="003746B8">
              <w:t>__________________</w:t>
            </w:r>
          </w:p>
        </w:tc>
        <w:tc>
          <w:tcPr>
            <w:tcW w:w="4876" w:type="dxa"/>
            <w:hideMark/>
          </w:tcPr>
          <w:p w:rsidR="002F7FE1" w:rsidRPr="003746B8" w:rsidRDefault="00B029A7" w:rsidP="000462E9">
            <w:pPr>
              <w:pStyle w:val="Normal6"/>
              <w:rPr>
                <w:szCs w:val="24"/>
              </w:rPr>
            </w:pPr>
            <w:r w:rsidRPr="003746B8">
              <w:t>__________________</w:t>
            </w:r>
          </w:p>
        </w:tc>
      </w:tr>
      <w:tr w:rsidR="002859E2" w:rsidRPr="003746B8" w:rsidTr="000462E9">
        <w:trPr>
          <w:jc w:val="center"/>
        </w:trPr>
        <w:tc>
          <w:tcPr>
            <w:tcW w:w="4876" w:type="dxa"/>
            <w:hideMark/>
          </w:tcPr>
          <w:p w:rsidR="002F7FE1" w:rsidRPr="003746B8" w:rsidRDefault="00B029A7" w:rsidP="000462E9">
            <w:pPr>
              <w:pStyle w:val="Normal6"/>
            </w:pPr>
            <w:r w:rsidRPr="003746B8">
              <w:rPr>
                <w:vertAlign w:val="superscript"/>
              </w:rPr>
              <w:t>38</w:t>
            </w:r>
            <w:r w:rsidRPr="003746B8">
              <w:t xml:space="preserve"> Wniosek dotyczący rozporządzenia w sprawie przeciwdziałania korzystaniu z systemu finansowego w celu prania pieniędzy lub finansowania terroryzmu </w:t>
            </w:r>
            <w:r w:rsidRPr="003746B8">
              <w:lastRenderedPageBreak/>
              <w:t xml:space="preserve">(COM(2021) 420 final); wniosek dotyczący dyrektywy w sprawie mechanizmów, które państwa członkowskie powinny </w:t>
            </w:r>
            <w:r w:rsidRPr="003746B8">
              <w:t>wprowadzić, mających na celu zapobieganie wykorzystywaniu systemu finansowego do prania pieniędzy lub finansowania terroryzmu oraz uchylającej dyrektywę (UE) 2015/849 (COM(2021) 423 final); wniosek dotyczący rozporządzenia ustanawiającego Urząd ds. Przeciw</w:t>
            </w:r>
            <w:r w:rsidRPr="003746B8">
              <w:t>działania Praniu Pieniędzy i Finansowaniu Terroryzmu („AMLA”) (COM(2021) 421 final); wniosek dotyczący przekształcenia rozporządzenia (UE) 2015/847 rozszerzający wymogi dotyczące identyfikowalności na kryptoaktywa (COM(2021) 422 final).</w:t>
            </w:r>
          </w:p>
        </w:tc>
        <w:tc>
          <w:tcPr>
            <w:tcW w:w="4876" w:type="dxa"/>
            <w:hideMark/>
          </w:tcPr>
          <w:p w:rsidR="002F7FE1" w:rsidRPr="003746B8" w:rsidRDefault="00B029A7" w:rsidP="000462E9">
            <w:pPr>
              <w:pStyle w:val="Normal6"/>
              <w:rPr>
                <w:szCs w:val="24"/>
              </w:rPr>
            </w:pPr>
            <w:r w:rsidRPr="003746B8">
              <w:rPr>
                <w:vertAlign w:val="superscript"/>
              </w:rPr>
              <w:lastRenderedPageBreak/>
              <w:t>38</w:t>
            </w:r>
            <w:r w:rsidRPr="003746B8">
              <w:t xml:space="preserve"> Wniosek dotycząc</w:t>
            </w:r>
            <w:r w:rsidRPr="003746B8">
              <w:t xml:space="preserve">y rozporządzenia w sprawie przeciwdziałania korzystaniu z systemu finansowego w celu prania pieniędzy lub finansowania terroryzmu </w:t>
            </w:r>
            <w:r w:rsidRPr="003746B8">
              <w:lastRenderedPageBreak/>
              <w:t>(COM(2021) 420 final); wniosek dotyczący dyrektywy w sprawie mechanizmów, które państwa członkowskie powinny wprowadzić, mając</w:t>
            </w:r>
            <w:r w:rsidRPr="003746B8">
              <w:t xml:space="preserve">ych na celu zapobieganie wykorzystywaniu systemu finansowego do prania pieniędzy lub finansowania terroryzmu oraz uchylającej dyrektywę (UE) 2015/849 (COM(2021) 423 final); wniosek dotyczący rozporządzenia ustanawiającego Urząd ds. Przeciwdziałania Praniu </w:t>
            </w:r>
            <w:r w:rsidRPr="003746B8">
              <w:t>Pieniędzy i Finansowaniu Terroryzmu („AMLA”) (COM(2021) 421 final); wniosek dotyczący przekształcenia rozporządzenia (UE) 2015/847 rozszerzający wymogi dotyczące identyfikowalności na kryptoaktywa (COM(2021) 422 final).</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29</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Motyw 79</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(79)</w:t>
            </w:r>
            <w:r w:rsidRPr="003746B8">
              <w:tab/>
              <w:t xml:space="preserve">Aby ułatwić powszechne wprowadzenie cyfrowego euro, potencjalnym użytkownikom cyfrowego euro należy zapewnić </w:t>
            </w:r>
            <w:r w:rsidRPr="003746B8">
              <w:t>w sposób zharmonizowany w całej strefie euro łatwy dostęp do usług płatniczych związanych z cyfrowym euro świadczonych przez dostawców usług płatniczych. W związku z tym właściwe jest, bez uszczerbku dla podejścia opartego na ocenie ryzyka leżącego u podst</w:t>
            </w:r>
            <w:r w:rsidRPr="003746B8">
              <w:t>aw pakietu dotyczącego AML, aby unijny Urząd ds. Przeciwdziałania Praniu Pieniędzy („AMLA”) uwzględnił kwestię otwierania rachunków płatniczych w cyfrowym euro w swoich regulacyjnych standardach technicznych dotyczących należytej staranności wobec klienta.</w:t>
            </w:r>
            <w:r w:rsidRPr="003746B8">
              <w:t xml:space="preserve"> W przypadku transakcji lub stosunków biznesowych obarczonych niskim ryzykiem AMLA powinien określić odpowiednie uproszczone środki należytej staranności, </w:t>
            </w:r>
            <w:r w:rsidRPr="003746B8">
              <w:lastRenderedPageBreak/>
              <w:t>które dostawcy usług płatniczych powinni stosować. Opracowanie tych regulacyjnych standardów technicz</w:t>
            </w:r>
            <w:r w:rsidRPr="003746B8">
              <w:t>nych powinno zostać potraktowane priorytetowo przez AMLA.</w:t>
            </w:r>
          </w:p>
        </w:tc>
        <w:tc>
          <w:tcPr>
            <w:tcW w:w="4876" w:type="dxa"/>
            <w:hideMark/>
          </w:tcPr>
          <w:p w:rsidR="002F7FE1" w:rsidRPr="003746B8" w:rsidRDefault="00B029A7" w:rsidP="000462E9">
            <w:pPr>
              <w:pStyle w:val="Normal6"/>
              <w:rPr>
                <w:szCs w:val="24"/>
              </w:rPr>
            </w:pPr>
            <w:r w:rsidRPr="003746B8">
              <w:lastRenderedPageBreak/>
              <w:t>(79)</w:t>
            </w:r>
            <w:r w:rsidRPr="003746B8">
              <w:tab/>
              <w:t>Aby ułatwić powszechne wprowadzenie cyfrowego euro, potencjalnym użytkownikom cyfrowego euro należy zapewnić w sposób zharmonizowany w całej strefie euro łatwy dostęp do usług płatniczych związ</w:t>
            </w:r>
            <w:r w:rsidRPr="003746B8">
              <w:t xml:space="preserve">anych z cyfrowym euro świadczonych przez dostawców usług płatniczych. W związku z tym właściwe jest, bez uszczerbku dla podejścia opartego na ocenie ryzyka leżącego u podstaw pakietu </w:t>
            </w:r>
            <w:r w:rsidRPr="003746B8">
              <w:rPr>
                <w:b/>
                <w:i/>
              </w:rPr>
              <w:t xml:space="preserve">legislacyjnego </w:t>
            </w:r>
            <w:r w:rsidRPr="003746B8">
              <w:t>dotyczącego AML, aby unijny Urząd ds. Przeciwdziałania Pra</w:t>
            </w:r>
            <w:r w:rsidRPr="003746B8">
              <w:t>niu Pieniędzy („AMLA”) uwzględnił kwestię otwierania rachunków płatniczych w cyfrowym euro w swoich regulacyjnych standardach technicznych dotyczących należytej staranności wobec klienta</w:t>
            </w:r>
            <w:r w:rsidRPr="003746B8">
              <w:rPr>
                <w:b/>
                <w:i/>
              </w:rPr>
              <w:t xml:space="preserve"> opracowanych zgodnie z art. 22 rozporządzenia w sprawie przeciwdziała</w:t>
            </w:r>
            <w:r w:rsidRPr="003746B8">
              <w:rPr>
                <w:b/>
                <w:i/>
              </w:rPr>
              <w:t xml:space="preserve">nia praniu pieniędzy [wniosek dotyczący ROZPORZĄDZENIA PARLAMENTU EUROPEJSKIEGO I </w:t>
            </w:r>
            <w:r w:rsidRPr="003746B8">
              <w:rPr>
                <w:b/>
                <w:i/>
              </w:rPr>
              <w:lastRenderedPageBreak/>
              <w:t>RADY w sprawie przeciwdziałania korzystaniu z systemu finansowego w celu prania pieniędzy lub finansowania terroryzmu]</w:t>
            </w:r>
            <w:r w:rsidRPr="003746B8">
              <w:t>. W przypadku transakcji lub stosunków biznesowych obarc</w:t>
            </w:r>
            <w:r w:rsidRPr="003746B8">
              <w:t>zonych niskim ryzykiem AMLA powinien określić odpowiednie uproszczone środki należytej staranności, które dostawcy usług płatniczych powinni stosować. Opracowanie tych regulacyjnych standardów technicznych powinno zostać potraktowane priorytetowo przez AML</w:t>
            </w:r>
            <w:r w:rsidRPr="003746B8">
              <w:t>A.</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30</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2 – akapit 1 – punkt 5</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5)</w:t>
            </w:r>
            <w:r w:rsidRPr="003746B8">
              <w:tab/>
            </w:r>
            <w:r w:rsidRPr="003746B8">
              <w:t>„rachunek płatniczy w cyfrowym euro” oznacza rachunek, który co najmniej jeden użytkownik cyfrowego euro posiada u dostawcy usług płatniczych w celu uzyskania dostępu do cyfrowego euro zarejestrowanego w infrastrukturze rozrachunkowej służącej do obsługi c</w:t>
            </w:r>
            <w:r w:rsidRPr="003746B8">
              <w:t xml:space="preserve">yfrowego euro lub na </w:t>
            </w:r>
            <w:r w:rsidRPr="003746B8">
              <w:rPr>
                <w:b/>
                <w:i/>
              </w:rPr>
              <w:t>urządzeniu służącym do obsługi cyfrowego euro działającym w trybie offline</w:t>
            </w:r>
            <w:r w:rsidRPr="003746B8">
              <w:t xml:space="preserve"> oraz w celu inicjowania lub otrzymywania transakcji płatniczych w cyfrowym euro, zarówno w trybie offline, jak i online, niezależnie od technologii i struktury </w:t>
            </w:r>
            <w:r w:rsidRPr="003746B8">
              <w:t>danych;</w:t>
            </w:r>
          </w:p>
        </w:tc>
        <w:tc>
          <w:tcPr>
            <w:tcW w:w="4876" w:type="dxa"/>
            <w:hideMark/>
          </w:tcPr>
          <w:p w:rsidR="002F7FE1" w:rsidRPr="003746B8" w:rsidRDefault="00B029A7" w:rsidP="000462E9">
            <w:pPr>
              <w:pStyle w:val="Normal6"/>
              <w:rPr>
                <w:szCs w:val="24"/>
              </w:rPr>
            </w:pPr>
            <w:r w:rsidRPr="003746B8">
              <w:t>5)</w:t>
            </w:r>
            <w:r w:rsidRPr="003746B8">
              <w:tab/>
              <w:t>„rachunek płatniczy w cyfrowym euro” oznacza rachunek, który co najmniej jeden użytkownik cyfrowego euro posiada u dostawcy usług płatniczych w celu uzyskania dostępu do cyfrowego euro zarejestrowanego w infrastrukturze rozrachunkowej służącej d</w:t>
            </w:r>
            <w:r w:rsidRPr="003746B8">
              <w:t xml:space="preserve">o obsługi cyfrowego euro lub na </w:t>
            </w:r>
            <w:r w:rsidRPr="003746B8">
              <w:rPr>
                <w:b/>
                <w:i/>
              </w:rPr>
              <w:t>lokalnym urządzeniu pamięciowym</w:t>
            </w:r>
            <w:r w:rsidRPr="003746B8">
              <w:t xml:space="preserve"> oraz w celu inicjowania lub otrzymywania transakcji płatniczych w cyfrowym euro, zarówno w trybie offline, jak i online, niezależnie od technologii i struktury danych;</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w:t>
      </w:r>
      <w:r w:rsidRPr="003746B8">
        <w:t>a</w:t>
      </w:r>
      <w:r w:rsidRPr="003746B8">
        <w:tab/>
      </w:r>
      <w:r w:rsidRPr="003746B8">
        <w:tab/>
      </w:r>
      <w:r w:rsidRPr="003746B8">
        <w:rPr>
          <w:rStyle w:val="HideTWBExt"/>
          <w:b w:val="0"/>
        </w:rPr>
        <w:t>&lt;NumAm&gt;</w:t>
      </w:r>
      <w:r w:rsidRPr="003746B8">
        <w:t>31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2 – akapit 1 – punkt 28</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28)</w:t>
            </w:r>
            <w:r w:rsidRPr="003746B8">
              <w:tab/>
              <w:t xml:space="preserve">„alias użytkownika” oznacza </w:t>
            </w:r>
            <w:r w:rsidRPr="003746B8">
              <w:rPr>
                <w:b/>
                <w:i/>
              </w:rPr>
              <w:t xml:space="preserve">unikatowy </w:t>
            </w:r>
            <w:r w:rsidRPr="003746B8">
              <w:t>identyfikator o</w:t>
            </w:r>
            <w:r w:rsidRPr="003746B8">
              <w:rPr>
                <w:b/>
                <w:i/>
              </w:rPr>
              <w:t> </w:t>
            </w:r>
            <w:r w:rsidRPr="003746B8">
              <w:t xml:space="preserve">charakterze pseudonimu </w:t>
            </w:r>
            <w:r w:rsidRPr="003746B8">
              <w:t xml:space="preserve">używany do ochrony tożsamości użytkownika podczas </w:t>
            </w:r>
            <w:r w:rsidRPr="003746B8">
              <w:lastRenderedPageBreak/>
              <w:t>przetwarzania płatności w</w:t>
            </w:r>
            <w:r w:rsidRPr="003746B8">
              <w:rPr>
                <w:b/>
                <w:i/>
              </w:rPr>
              <w:t> </w:t>
            </w:r>
            <w:r w:rsidRPr="003746B8">
              <w:t>cyfrowym euro, który może zostać przypisany do możliwej do zidentyfikowania osoby fizycznej lub prawnej wyłącznie przez dostawcę usług płatniczych</w:t>
            </w:r>
            <w:r w:rsidRPr="003746B8">
              <w:rPr>
                <w:b/>
                <w:i/>
              </w:rPr>
              <w:t xml:space="preserve"> prowadzącego dystrybucję cyfroweg</w:t>
            </w:r>
            <w:r w:rsidRPr="003746B8">
              <w:rPr>
                <w:b/>
                <w:i/>
              </w:rPr>
              <w:t>o euro</w:t>
            </w:r>
            <w:r w:rsidRPr="003746B8">
              <w:t xml:space="preserve"> lub przez użytkownika cyfrowego euro;</w:t>
            </w:r>
          </w:p>
        </w:tc>
        <w:tc>
          <w:tcPr>
            <w:tcW w:w="4876" w:type="dxa"/>
            <w:hideMark/>
          </w:tcPr>
          <w:p w:rsidR="002F7FE1" w:rsidRPr="003746B8" w:rsidRDefault="00B029A7" w:rsidP="000462E9">
            <w:pPr>
              <w:pStyle w:val="Normal6"/>
              <w:rPr>
                <w:szCs w:val="24"/>
              </w:rPr>
            </w:pPr>
            <w:r w:rsidRPr="003746B8">
              <w:lastRenderedPageBreak/>
              <w:t>28)</w:t>
            </w:r>
            <w:r w:rsidRPr="003746B8">
              <w:tab/>
              <w:t>„alias użytkownika” oznacza identyfikator o</w:t>
            </w:r>
            <w:r w:rsidRPr="003746B8">
              <w:rPr>
                <w:b/>
                <w:i/>
              </w:rPr>
              <w:t xml:space="preserve"> </w:t>
            </w:r>
            <w:r w:rsidRPr="003746B8">
              <w:t>charakterze pseudonimu</w:t>
            </w:r>
            <w:r w:rsidRPr="003746B8">
              <w:rPr>
                <w:b/>
                <w:i/>
              </w:rPr>
              <w:t xml:space="preserve"> składający się z unikatowego cyfrowego numeru rachunku w euro oraz, </w:t>
            </w:r>
            <w:r w:rsidRPr="003746B8">
              <w:rPr>
                <w:b/>
                <w:i/>
              </w:rPr>
              <w:lastRenderedPageBreak/>
              <w:t>na wniosek użytkownika cyfrowego euro, dodatkowych wskaźników zastępczyc</w:t>
            </w:r>
            <w:r w:rsidRPr="003746B8">
              <w:rPr>
                <w:b/>
                <w:i/>
              </w:rPr>
              <w:t>h, który jednoznacznie identyfikuje cyfrowy rachunek płatniczy w euro i jest</w:t>
            </w:r>
            <w:r w:rsidRPr="003746B8">
              <w:t xml:space="preserve"> używany do ochrony tożsamości użytkownika podczas przetwarzania płatności w</w:t>
            </w:r>
            <w:r w:rsidRPr="003746B8">
              <w:rPr>
                <w:b/>
                <w:i/>
              </w:rPr>
              <w:t xml:space="preserve"> </w:t>
            </w:r>
            <w:r w:rsidRPr="003746B8">
              <w:t>cyfrowym euro, który może zostać przypisany do możliwej do zidentyfikowania osoby fizycznej lub prawnej</w:t>
            </w:r>
            <w:r w:rsidRPr="003746B8">
              <w:t xml:space="preserve"> wyłącznie przez dostawcę usług płatniczych lub przez użytkownika cyfrowego euro;</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32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2 – akapit 1 – punkt 31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 xml:space="preserve">Tekst proponowany </w:t>
            </w:r>
            <w:r w:rsidRPr="003746B8">
              <w:t>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31)</w:t>
            </w:r>
            <w:r w:rsidRPr="003746B8">
              <w:tab/>
              <w:t>„urządzenie mobilne” oznacza urządzenie, które umożliwia użytkownikom cyfrowego euro autoryzację transakcji płatniczych w</w:t>
            </w:r>
            <w:r w:rsidRPr="003746B8">
              <w:rPr>
                <w:b/>
                <w:i/>
              </w:rPr>
              <w:t> </w:t>
            </w:r>
            <w:r w:rsidRPr="003746B8">
              <w:t>cyfrowym euro w</w:t>
            </w:r>
            <w:r w:rsidRPr="003746B8">
              <w:rPr>
                <w:b/>
                <w:i/>
              </w:rPr>
              <w:t> </w:t>
            </w:r>
            <w:r w:rsidRPr="003746B8">
              <w:t>trybie online lub offline, w</w:t>
            </w:r>
            <w:r w:rsidRPr="003746B8">
              <w:rPr>
                <w:b/>
                <w:i/>
              </w:rPr>
              <w:t> </w:t>
            </w:r>
            <w:r w:rsidRPr="003746B8">
              <w:t>tym w</w:t>
            </w:r>
            <w:r w:rsidRPr="003746B8">
              <w:rPr>
                <w:b/>
                <w:i/>
              </w:rPr>
              <w:t> </w:t>
            </w:r>
            <w:r w:rsidRPr="003746B8">
              <w:t xml:space="preserve">szczególności smartfony, tablety, inteligentne zegarki </w:t>
            </w:r>
            <w:r w:rsidRPr="003746B8">
              <w:t>i wszelkiego rodzaju urządzenia nasobne.</w:t>
            </w:r>
          </w:p>
        </w:tc>
        <w:tc>
          <w:tcPr>
            <w:tcW w:w="4876" w:type="dxa"/>
            <w:hideMark/>
          </w:tcPr>
          <w:p w:rsidR="002F7FE1" w:rsidRPr="003746B8" w:rsidRDefault="00B029A7" w:rsidP="000462E9">
            <w:pPr>
              <w:pStyle w:val="Normal6"/>
              <w:rPr>
                <w:szCs w:val="24"/>
              </w:rPr>
            </w:pPr>
            <w:r w:rsidRPr="003746B8">
              <w:t>31)</w:t>
            </w:r>
            <w:r w:rsidRPr="003746B8">
              <w:tab/>
              <w:t xml:space="preserve">„urządzenie mobilne” oznacza </w:t>
            </w:r>
            <w:r w:rsidRPr="003746B8">
              <w:rPr>
                <w:b/>
                <w:i/>
              </w:rPr>
              <w:t xml:space="preserve">terminal płatniczy lub </w:t>
            </w:r>
            <w:r w:rsidRPr="003746B8">
              <w:t xml:space="preserve">urządzenie, które umożliwia użytkownikom cyfrowego euro </w:t>
            </w:r>
            <w:r w:rsidRPr="003746B8">
              <w:rPr>
                <w:b/>
                <w:i/>
              </w:rPr>
              <w:t xml:space="preserve">bezpieczną </w:t>
            </w:r>
            <w:r w:rsidRPr="003746B8">
              <w:t>autoryzację transakcji płatniczych w</w:t>
            </w:r>
            <w:r w:rsidRPr="003746B8">
              <w:rPr>
                <w:b/>
                <w:i/>
              </w:rPr>
              <w:t xml:space="preserve"> </w:t>
            </w:r>
            <w:r w:rsidRPr="003746B8">
              <w:t>cyfrowym euro w</w:t>
            </w:r>
            <w:r w:rsidRPr="003746B8">
              <w:rPr>
                <w:b/>
                <w:i/>
              </w:rPr>
              <w:t xml:space="preserve"> </w:t>
            </w:r>
            <w:r w:rsidRPr="003746B8">
              <w:t>trybie online lub offline, w</w:t>
            </w:r>
            <w:r w:rsidRPr="003746B8">
              <w:rPr>
                <w:b/>
                <w:i/>
              </w:rPr>
              <w:t xml:space="preserve"> </w:t>
            </w:r>
            <w:r w:rsidRPr="003746B8">
              <w:t>tym w</w:t>
            </w:r>
            <w:r w:rsidRPr="003746B8">
              <w:rPr>
                <w:b/>
                <w:i/>
              </w:rPr>
              <w:t xml:space="preserve"> </w:t>
            </w:r>
            <w:r w:rsidRPr="003746B8">
              <w:t>szcz</w:t>
            </w:r>
            <w:r w:rsidRPr="003746B8">
              <w:t>ególności</w:t>
            </w:r>
            <w:r w:rsidRPr="003746B8">
              <w:rPr>
                <w:b/>
                <w:i/>
              </w:rPr>
              <w:t>, ale nie tylko,</w:t>
            </w:r>
            <w:r w:rsidRPr="003746B8">
              <w:t xml:space="preserve"> smartfony, tablety, inteligentne zegarki i wszelkiego rodzaju urządzenia nasobne</w:t>
            </w:r>
            <w:r w:rsidRPr="003746B8">
              <w:rPr>
                <w:b/>
                <w:i/>
              </w:rPr>
              <w:t>, a także karty i pamięci USB zawierające lokalne urządzenie pamięciowe</w:t>
            </w:r>
            <w:r w:rsidRPr="003746B8">
              <w:t>.</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33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 xml:space="preserve">Wniosek dotyczący </w:t>
      </w:r>
      <w:r w:rsidRPr="003746B8">
        <w:t>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2 – akapit 1 – punkt 31 a (nowy)</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31a)</w:t>
            </w:r>
            <w:r w:rsidRPr="003746B8">
              <w:rPr>
                <w:b/>
                <w:i/>
              </w:rPr>
              <w:tab/>
              <w:t>„lokalne urządzenie pamięciowe” oznacza urządzenie mobilne lub terminal płatniczy wykorzystywane przez odbiorcę, w który</w:t>
            </w:r>
            <w:r w:rsidRPr="003746B8">
              <w:rPr>
                <w:b/>
                <w:i/>
              </w:rPr>
              <w:t>m dokonuje się autoryzacji i rozrachunku transakcji płatniczych w cyfrowym euro w trybie offline.</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lastRenderedPageBreak/>
        <w:t>&lt;Amend&gt;</w:t>
      </w:r>
      <w:r w:rsidRPr="003746B8">
        <w:t>Poprawka</w:t>
      </w:r>
      <w:r w:rsidRPr="003746B8">
        <w:tab/>
      </w:r>
      <w:r w:rsidRPr="003746B8">
        <w:tab/>
      </w:r>
      <w:r w:rsidRPr="003746B8">
        <w:rPr>
          <w:rStyle w:val="HideTWBExt"/>
          <w:b w:val="0"/>
        </w:rPr>
        <w:t>&lt;NumAm&gt;</w:t>
      </w:r>
      <w:r w:rsidRPr="003746B8">
        <w:t>34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5 – ustęp 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w:t>
            </w:r>
            <w:r w:rsidRPr="003746B8">
              <w:t xml:space="preserve">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w:t>
            </w:r>
            <w:r w:rsidRPr="003746B8">
              <w:tab/>
              <w:t xml:space="preserve">Cyfrowe euro regulują przepisy niniejszego rozporządzenia uzupełnione aktami delegowanymi, do przyjęcia których Komisja jest uprawniona na podstawie art. 11, 33, 34, 35 i 38, oraz aktami wykonawczymi, do przyjęcia których </w:t>
            </w:r>
            <w:r w:rsidRPr="003746B8">
              <w:t>Komisja jest uprawniona na podstawie art. 37.</w:t>
            </w:r>
          </w:p>
        </w:tc>
        <w:tc>
          <w:tcPr>
            <w:tcW w:w="4876" w:type="dxa"/>
            <w:hideMark/>
          </w:tcPr>
          <w:p w:rsidR="002F7FE1" w:rsidRPr="003746B8" w:rsidRDefault="00B029A7" w:rsidP="000462E9">
            <w:pPr>
              <w:pStyle w:val="Normal6"/>
              <w:rPr>
                <w:szCs w:val="24"/>
              </w:rPr>
            </w:pPr>
            <w:r w:rsidRPr="003746B8">
              <w:t>1.</w:t>
            </w:r>
            <w:r w:rsidRPr="003746B8">
              <w:tab/>
              <w:t>Cyfrowe euro regulują przepisy niniejszego rozporządzenia uzupełnione aktami delegowanymi, do przyjęcia których Komisja jest uprawniona na podstawie art. 11, 33, 34, 35 i 38, oraz aktami wykonawczymi, do prz</w:t>
            </w:r>
            <w:r w:rsidRPr="003746B8">
              <w:t xml:space="preserve">yjęcia których Komisja jest uprawniona na podstawie art. 37. </w:t>
            </w:r>
            <w:r w:rsidRPr="003746B8">
              <w:rPr>
                <w:b/>
                <w:i/>
              </w:rPr>
              <w:t>Opracowując akty delegowane i wykonawcze na podstawie artykułów, o których mowa w niniejszym ustępie, Komisja w pełni stosuje zasady uwzględniania ochrony danych w fazie projektowania i domyślnej</w:t>
            </w:r>
            <w:r w:rsidRPr="003746B8">
              <w:rPr>
                <w:b/>
                <w:i/>
              </w:rPr>
              <w:t xml:space="preserve"> ochrony danych określone w rozporządzeniu (UE) 2016/679.</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35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5 – ustęp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 xml:space="preserve">W ramach </w:t>
            </w:r>
            <w:r w:rsidRPr="003746B8">
              <w:t>niniejszego rozporządzenia cyfrowe euro podlega również szczegółowym środkom, zasadom i normom, które mogą zostać przyjęte przez Europejski Bank Centralny zgodnie z jego kompetencjami. Jeżeli te szczegółowe środki, zasady i normy mają wpływ na ochronę praw</w:t>
            </w:r>
            <w:r w:rsidRPr="003746B8">
              <w:t xml:space="preserve"> i wolności osób fizycznych w odniesieniu do przetwarzania danych osobowych, Europejski Bank Centralny konsultuje się przed ich przyjęciem z Europejskim Inspektorem Ochrony Danych.</w:t>
            </w:r>
          </w:p>
        </w:tc>
        <w:tc>
          <w:tcPr>
            <w:tcW w:w="4876" w:type="dxa"/>
            <w:hideMark/>
          </w:tcPr>
          <w:p w:rsidR="002F7FE1" w:rsidRPr="003746B8" w:rsidRDefault="00B029A7" w:rsidP="000462E9">
            <w:pPr>
              <w:pStyle w:val="Normal6"/>
              <w:rPr>
                <w:szCs w:val="24"/>
              </w:rPr>
            </w:pPr>
            <w:r w:rsidRPr="003746B8">
              <w:t>2.</w:t>
            </w:r>
            <w:r w:rsidRPr="003746B8">
              <w:tab/>
              <w:t>W ramach niniejszego rozporządzenia cyfrowe euro podlega również szczegó</w:t>
            </w:r>
            <w:r w:rsidRPr="003746B8">
              <w:t xml:space="preserve">łowym środkom, zasadom i normom, które mogą zostać przyjęte przez Europejski Bank Centralny zgodnie z jego kompetencjami. Jeżeli te szczegółowe środki, zasady i normy mają wpływ na ochronę </w:t>
            </w:r>
            <w:r w:rsidRPr="003746B8">
              <w:rPr>
                <w:b/>
                <w:i/>
              </w:rPr>
              <w:t xml:space="preserve">prywatności oraz </w:t>
            </w:r>
            <w:r w:rsidRPr="003746B8">
              <w:t>praw i wolności osób fizycznych w odniesieniu do p</w:t>
            </w:r>
            <w:r w:rsidRPr="003746B8">
              <w:t>rzetwarzania</w:t>
            </w:r>
            <w:r w:rsidRPr="003746B8">
              <w:rPr>
                <w:b/>
                <w:i/>
              </w:rPr>
              <w:t xml:space="preserve"> ich</w:t>
            </w:r>
            <w:r w:rsidRPr="003746B8">
              <w:t xml:space="preserve"> danych osobowych, Europejski Bank Centralny konsultuje się przed ich przyjęciem z Europejskim Inspektorem Ochrony Danych.</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Takie szczegółowe środki, zasady i normy wdrażają zasady uwzględniania ochrony danych w fazie projektowania i domyś</w:t>
            </w:r>
            <w:r w:rsidRPr="003746B8">
              <w:rPr>
                <w:b/>
                <w:i/>
              </w:rPr>
              <w:t xml:space="preserve">lnej ochrony danych określone w </w:t>
            </w:r>
            <w:r w:rsidRPr="003746B8">
              <w:rPr>
                <w:b/>
                <w:i/>
              </w:rPr>
              <w:lastRenderedPageBreak/>
              <w:t>rozporządzeniu (UE) 2016/679 oraz wdrażają technologie zwiększające prywatność, gdy jest to technicznie możliwe.</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36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w:t>
      </w:r>
      <w:r w:rsidRPr="003746B8">
        <w:t>tykuł 6 – ustęp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 xml:space="preserve">Dyrektywa Parlamentu Europejskiego i Rady (UE) 2015/2366 z dnia 25 listopada 2015 r. w sprawie usług płatniczych w ramach rynku wewnętrznego, zastąpiona dyrektywą (UE) [proszę </w:t>
            </w:r>
            <w:r w:rsidRPr="003746B8">
              <w:t>wstawić odniesienie – wniosek dotyczący dyrektywy w sprawie usług płatniczych i usług związanych z pieniądzem elektronicznym w ramach rynku wewnętrznego – COM(2023)</w:t>
            </w:r>
            <w:r w:rsidRPr="003746B8">
              <w:rPr>
                <w:b/>
                <w:i/>
              </w:rPr>
              <w:t xml:space="preserve"> 366</w:t>
            </w:r>
            <w:r w:rsidRPr="003746B8">
              <w:t xml:space="preserve"> final], reguluje nadzór sprawowany przez właściwe organy, system sankcji i ustalenia na</w:t>
            </w:r>
            <w:r w:rsidRPr="003746B8">
              <w:t>dzorcze między właściwymi organami państw członkowskich pochodzenia i przyjmujących państw członkowskich dotyczące wypełniania przez dostawców usług płatniczych ich obowiązków zgodnie z rozdziałami IV, V, VI i VII niniejszego rozporządzenia.</w:t>
            </w:r>
          </w:p>
        </w:tc>
        <w:tc>
          <w:tcPr>
            <w:tcW w:w="4876" w:type="dxa"/>
            <w:hideMark/>
          </w:tcPr>
          <w:p w:rsidR="002F7FE1" w:rsidRPr="003746B8" w:rsidRDefault="00B029A7" w:rsidP="000462E9">
            <w:pPr>
              <w:pStyle w:val="Normal6"/>
              <w:rPr>
                <w:szCs w:val="24"/>
              </w:rPr>
            </w:pPr>
            <w:r w:rsidRPr="003746B8">
              <w:t>2.</w:t>
            </w:r>
            <w:r w:rsidRPr="003746B8">
              <w:tab/>
              <w:t>Dyrektywa P</w:t>
            </w:r>
            <w:r w:rsidRPr="003746B8">
              <w:t>arlamentu Europejskiego i Rady (UE) 2015/2366 z dnia 25 listopada 2015 r. w sprawie usług płatniczych w ramach rynku wewnętrznego, zastąpiona dyrektywą (UE) [proszę wstawić odniesienie – wniosek dotyczący dyrektywy w sprawie usług płatniczych i usług związ</w:t>
            </w:r>
            <w:r w:rsidRPr="003746B8">
              <w:t>anych z pieniądzem elektronicznym w ramach rynku wewnętrznego – COM(2023)</w:t>
            </w:r>
            <w:r w:rsidRPr="003746B8">
              <w:rPr>
                <w:b/>
                <w:i/>
              </w:rPr>
              <w:t>0366 final] i rozporządzeniem (UE) [proszę wstawić odniesienie – wniosek dotyczący rozporządzenia w sprawie usług płatniczych w ramach rynku wewnętrznego i zmieniającego rozporządzeni</w:t>
            </w:r>
            <w:r w:rsidRPr="003746B8">
              <w:rPr>
                <w:b/>
                <w:i/>
              </w:rPr>
              <w:t>e (UE) nr 1093/2010 – COM(2023)0367</w:t>
            </w:r>
            <w:r w:rsidRPr="003746B8">
              <w:t xml:space="preserve"> final], reguluje nadzór sprawowany przez właściwe organy, system sankcji i ustalenia nadzorcze między właściwymi organami państw członkowskich pochodzenia i przyjmujących państw członkowskich dotyczące wypełniania przez </w:t>
            </w:r>
            <w:r w:rsidRPr="003746B8">
              <w:t>dostawców usług płatniczych ich obowiązków zgodnie z rozdziałami IV, V, VI i VII niniejszego rozporządzenia.</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37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6 – ustęp 2 a (nowy)</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2a.</w:t>
            </w:r>
            <w:r w:rsidRPr="003746B8">
              <w:rPr>
                <w:b/>
                <w:i/>
              </w:rPr>
              <w:tab/>
              <w:t>Rozporządzenie (UE) 2016/679 i rozporządzenie (UE) 2018/1725 regulują nadzór sprawowany przez właściwe organy, system sankcji i ustalenia nadzorcze między właściwymi organami państw członkowskich pochodzeni</w:t>
            </w:r>
            <w:r w:rsidRPr="003746B8">
              <w:rPr>
                <w:b/>
                <w:i/>
              </w:rPr>
              <w:t>a i przyjmujących państw członkowskich dotyczące wypełniania przez administratorów danych ich obowiązków zgodnie rozdziałem VIII niniejszego rozporządzenia.</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38</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9 – akapit 1 – litera a</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a)</w:t>
            </w:r>
            <w:r w:rsidRPr="003746B8">
              <w:tab/>
              <w:t xml:space="preserve">gdy odbiorca jest przedsiębiorstwem, które zatrudnia mniej niż </w:t>
            </w:r>
            <w:r w:rsidRPr="003746B8">
              <w:rPr>
                <w:b/>
                <w:i/>
              </w:rPr>
              <w:t>10</w:t>
            </w:r>
            <w:r w:rsidRPr="003746B8">
              <w:t xml:space="preserve"> osób lub którego roczny obrót lub roczna suma bilansowa nie przekracza </w:t>
            </w:r>
            <w:r w:rsidRPr="003746B8">
              <w:rPr>
                <w:b/>
                <w:i/>
              </w:rPr>
              <w:t>2</w:t>
            </w:r>
            <w:r w:rsidRPr="003746B8">
              <w:t xml:space="preserve"> mln EUR, lub które</w:t>
            </w:r>
            <w:r w:rsidRPr="003746B8">
              <w:t xml:space="preserve"> jest podmiotem prawnym o charakterze niezarobkowym w rozumieniu art. 2 pkt 18 rozporządzenia Parlamentu Europejskiego i Rady (UE) 2021/695</w:t>
            </w:r>
            <w:r w:rsidRPr="003746B8">
              <w:rPr>
                <w:vertAlign w:val="superscript"/>
              </w:rPr>
              <w:t>44</w:t>
            </w:r>
            <w:r w:rsidRPr="003746B8">
              <w:t>, chyba że akceptuje</w:t>
            </w:r>
            <w:r w:rsidRPr="003746B8">
              <w:rPr>
                <w:b/>
                <w:i/>
              </w:rPr>
              <w:t xml:space="preserve"> porównywalne</w:t>
            </w:r>
            <w:r w:rsidRPr="003746B8">
              <w:t xml:space="preserve"> cyfrowe środki płatnicze;</w:t>
            </w:r>
          </w:p>
        </w:tc>
        <w:tc>
          <w:tcPr>
            <w:tcW w:w="4876" w:type="dxa"/>
            <w:hideMark/>
          </w:tcPr>
          <w:p w:rsidR="002F7FE1" w:rsidRPr="003746B8" w:rsidRDefault="00B029A7" w:rsidP="000462E9">
            <w:pPr>
              <w:pStyle w:val="Normal6"/>
              <w:rPr>
                <w:szCs w:val="24"/>
              </w:rPr>
            </w:pPr>
            <w:r w:rsidRPr="003746B8">
              <w:t>a)</w:t>
            </w:r>
            <w:r w:rsidRPr="003746B8">
              <w:tab/>
              <w:t>gdy odbiorca jest przedsiębiorstwem, które zatrudnia</w:t>
            </w:r>
            <w:r w:rsidRPr="003746B8">
              <w:t xml:space="preserve"> mniej niż </w:t>
            </w:r>
            <w:r w:rsidRPr="003746B8">
              <w:rPr>
                <w:b/>
                <w:i/>
              </w:rPr>
              <w:t>50</w:t>
            </w:r>
            <w:r w:rsidRPr="003746B8">
              <w:t xml:space="preserve"> osób lub którego roczny obrót lub roczna suma bilansowa nie przekracza </w:t>
            </w:r>
            <w:r w:rsidRPr="003746B8">
              <w:rPr>
                <w:b/>
                <w:i/>
              </w:rPr>
              <w:t>5</w:t>
            </w:r>
            <w:r w:rsidRPr="003746B8">
              <w:t xml:space="preserve"> mln EUR, lub które jest podmiotem prawnym o charakterze niezarobkowym w rozumieniu art. 2 pkt 18 rozporządzenia Parlamentu Europejskiego i Rady (UE) 2021/695</w:t>
            </w:r>
            <w:r w:rsidRPr="003746B8">
              <w:rPr>
                <w:vertAlign w:val="superscript"/>
              </w:rPr>
              <w:t>44</w:t>
            </w:r>
            <w:r w:rsidRPr="003746B8">
              <w:t>, chyba że</w:t>
            </w:r>
            <w:r w:rsidRPr="003746B8">
              <w:t xml:space="preserve"> akceptuje cyfrowe środki płatnicze;</w:t>
            </w:r>
          </w:p>
        </w:tc>
      </w:tr>
      <w:tr w:rsidR="002859E2" w:rsidRPr="003746B8" w:rsidTr="000462E9">
        <w:trPr>
          <w:jc w:val="center"/>
        </w:trPr>
        <w:tc>
          <w:tcPr>
            <w:tcW w:w="4876" w:type="dxa"/>
            <w:hideMark/>
          </w:tcPr>
          <w:p w:rsidR="002F7FE1" w:rsidRPr="003746B8" w:rsidRDefault="00B029A7" w:rsidP="000462E9">
            <w:pPr>
              <w:pStyle w:val="Normal6"/>
            </w:pPr>
            <w:r w:rsidRPr="003746B8">
              <w:t>__________________</w:t>
            </w:r>
          </w:p>
        </w:tc>
        <w:tc>
          <w:tcPr>
            <w:tcW w:w="4876" w:type="dxa"/>
            <w:hideMark/>
          </w:tcPr>
          <w:p w:rsidR="002F7FE1" w:rsidRPr="003746B8" w:rsidRDefault="00B029A7" w:rsidP="000462E9">
            <w:pPr>
              <w:pStyle w:val="Normal6"/>
              <w:rPr>
                <w:szCs w:val="24"/>
              </w:rPr>
            </w:pPr>
            <w:r w:rsidRPr="003746B8">
              <w:t>__________________</w:t>
            </w:r>
          </w:p>
        </w:tc>
      </w:tr>
      <w:tr w:rsidR="002859E2" w:rsidRPr="003746B8" w:rsidTr="000462E9">
        <w:trPr>
          <w:jc w:val="center"/>
        </w:trPr>
        <w:tc>
          <w:tcPr>
            <w:tcW w:w="4876" w:type="dxa"/>
            <w:hideMark/>
          </w:tcPr>
          <w:p w:rsidR="002F7FE1" w:rsidRPr="003746B8" w:rsidRDefault="00B029A7" w:rsidP="000462E9">
            <w:pPr>
              <w:pStyle w:val="Normal6"/>
            </w:pPr>
            <w:r w:rsidRPr="003746B8">
              <w:rPr>
                <w:vertAlign w:val="superscript"/>
              </w:rPr>
              <w:t>44</w:t>
            </w:r>
            <w:r w:rsidRPr="003746B8">
              <w:t xml:space="preserve"> Rozporządzenie Parlamentu Europejskiego i Rady (UE) 2021/695 z dnia 28 kwietnia 2021 r. ustanawiające program ramowy w zakresie badań naukowych i innowacji „Horyzont Europa” oraz zasady uczestnictwa i upowszechniania obowiązujące w tym programie oraz uchy</w:t>
            </w:r>
            <w:r w:rsidRPr="003746B8">
              <w:t>lające rozporządzenia (UE) nr 1290/2013 i (UE) nr 1291/2013 (Dz.U. L 170 z 12.5.2021, s. 1).</w:t>
            </w:r>
          </w:p>
        </w:tc>
        <w:tc>
          <w:tcPr>
            <w:tcW w:w="4876" w:type="dxa"/>
            <w:hideMark/>
          </w:tcPr>
          <w:p w:rsidR="002F7FE1" w:rsidRPr="003746B8" w:rsidRDefault="00B029A7" w:rsidP="000462E9">
            <w:pPr>
              <w:pStyle w:val="Normal6"/>
              <w:rPr>
                <w:szCs w:val="24"/>
              </w:rPr>
            </w:pPr>
            <w:r w:rsidRPr="003746B8">
              <w:rPr>
                <w:vertAlign w:val="superscript"/>
              </w:rPr>
              <w:t>44</w:t>
            </w:r>
            <w:r w:rsidRPr="003746B8">
              <w:t xml:space="preserve"> Rozporządzenie Parlamentu Europejskiego i Rady (UE) 2021/695 z dnia 28 kwietnia 2021 r. ustanawiające program ramowy w zakresie badań naukowych i innowacji „Hor</w:t>
            </w:r>
            <w:r w:rsidRPr="003746B8">
              <w:t>yzont Europa” oraz zasady uczestnictwa i upowszechniania obowiązujące w tym programie oraz uchylające rozporządzenia (UE) nr 1290/2013 i (UE) nr 1291/2013 (Dz.U. L 170 z 12.5.2021, s. 1).</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lastRenderedPageBreak/>
        <w:t>&lt;Amend&gt;</w:t>
      </w:r>
      <w:r w:rsidRPr="003746B8">
        <w:t>Poprawka</w:t>
      </w:r>
      <w:r w:rsidRPr="003746B8">
        <w:tab/>
      </w:r>
      <w:r w:rsidRPr="003746B8">
        <w:tab/>
      </w:r>
      <w:r w:rsidRPr="003746B8">
        <w:rPr>
          <w:rStyle w:val="HideTWBExt"/>
          <w:b w:val="0"/>
        </w:rPr>
        <w:t>&lt;NumAm&gt;</w:t>
      </w:r>
      <w:r w:rsidRPr="003746B8">
        <w:t>39</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w:t>
      </w:r>
      <w:r w:rsidRPr="003746B8">
        <w:t>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13 – ustęp 1 – akapit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 xml:space="preserve">Europejski Bank Centralny może ograniczyć dostęp do cyfrowego euro i możliwość korzystania z niego w określonym czasie przez </w:t>
            </w:r>
            <w:r w:rsidRPr="003746B8">
              <w:t xml:space="preserve">użytkowników cyfrowego euro, o których mowa w lit. b) i c), z zastrzeżeniem warunków określonych w art. 16 ust. 2. Czas tego ograniczenia określa się w zależności od miejsca zamieszkania danego użytkownika cyfrowego euro lub posiadania przez niego statusu </w:t>
            </w:r>
            <w:r w:rsidRPr="003746B8">
              <w:t>osoby odwiedzającej.</w:t>
            </w:r>
          </w:p>
        </w:tc>
        <w:tc>
          <w:tcPr>
            <w:tcW w:w="4876" w:type="dxa"/>
            <w:hideMark/>
          </w:tcPr>
          <w:p w:rsidR="002F7FE1" w:rsidRPr="003746B8" w:rsidRDefault="00B029A7" w:rsidP="000462E9">
            <w:pPr>
              <w:pStyle w:val="Normal6"/>
              <w:rPr>
                <w:szCs w:val="24"/>
              </w:rPr>
            </w:pPr>
            <w:r w:rsidRPr="003746B8">
              <w:rPr>
                <w:b/>
                <w:i/>
              </w:rPr>
              <w:t xml:space="preserve">Aby chronić cele swojej polityki pieniężnej, </w:t>
            </w:r>
            <w:r w:rsidRPr="003746B8">
              <w:t>Europejski Bank Centralny może ograniczyć dostęp do cyfrowego euro i możliwość korzystania z niego w określonym czasie przez użytkowników cyfrowego euro, o których mowa w lit. b) i c), z zas</w:t>
            </w:r>
            <w:r w:rsidRPr="003746B8">
              <w:t>trzeżeniem warunków określonych w art. 16 ust. 2. Czas tego ograniczenia określa się w zależności od miejsca zamieszkania danego użytkownika cyfrowego euro lub posiadania przez niego statusu osoby odwiedzającej.</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40</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13 – ustęp 4 – akapit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 xml:space="preserve">Do celów lit. a) i b) oraz </w:t>
            </w:r>
            <w:r w:rsidRPr="003746B8">
              <w:rPr>
                <w:b/>
                <w:i/>
              </w:rPr>
              <w:t>po uprzednim uzyskaniu zgody</w:t>
            </w:r>
            <w:r w:rsidRPr="003746B8">
              <w:t xml:space="preserve"> użytkowników cyfrowego euro dostawcy usług płatniczych łączą każdy rachunek płatniczy w cyfrowym euro z jednym rachunkiem płatniczym w niecyfrowym euro wskazanym przez użytkowników cyfrowego euro. Użytkownikom cyfrowego euro należy zapewnić możliwość posi</w:t>
            </w:r>
            <w:r w:rsidRPr="003746B8">
              <w:t>adania wskazanego rachunku płatniczego w niecyfrowym euro u innego dostawcy usług płatniczych niż ten, u którego prowadzony jest dany rachunek płatniczy w cyfrowym euro.</w:t>
            </w:r>
          </w:p>
        </w:tc>
        <w:tc>
          <w:tcPr>
            <w:tcW w:w="4876" w:type="dxa"/>
            <w:hideMark/>
          </w:tcPr>
          <w:p w:rsidR="002F7FE1" w:rsidRPr="003746B8" w:rsidRDefault="00B029A7" w:rsidP="000462E9">
            <w:pPr>
              <w:pStyle w:val="Normal6"/>
              <w:rPr>
                <w:szCs w:val="24"/>
              </w:rPr>
            </w:pPr>
            <w:r w:rsidRPr="003746B8">
              <w:t xml:space="preserve">Do celów lit. a) i b) oraz </w:t>
            </w:r>
            <w:r w:rsidRPr="003746B8">
              <w:rPr>
                <w:b/>
                <w:i/>
              </w:rPr>
              <w:t>za zgodą</w:t>
            </w:r>
            <w:r w:rsidRPr="003746B8">
              <w:t xml:space="preserve"> użytkowników cyfrowego euro dostawcy usług płatniczych łączą każdy rachunek płatniczy w cyfrowym euro z jednym rachunkiem płatniczym w niecyfrowym euro wskazanym przez użytkowników cyfrowego euro. Użytkownikom cyfrowego euro należy zapewnić możliwość posi</w:t>
            </w:r>
            <w:r w:rsidRPr="003746B8">
              <w:t>adania wskazanego rachunku płatniczego w niecyfrowym euro u innego dostawcy usług płatniczych niż ten, u którego prowadzony jest dany rachunek płatniczy w cyfrowym euro.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41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w:t>
      </w:r>
      <w:r w:rsidRPr="003746B8">
        <w:t>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13 – ustęp 6 a (nowy)</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6a.</w:t>
            </w:r>
            <w:r w:rsidRPr="003746B8">
              <w:rPr>
                <w:b/>
                <w:i/>
              </w:rPr>
              <w:tab/>
              <w:t xml:space="preserve">Jeżeli wobec dostawcy usług płatniczych świadczącego usługi płatnicze w cyfrowym euro wszczęte zostanie postępowanie upadłościowe lub inne </w:t>
            </w:r>
            <w:r w:rsidRPr="003746B8">
              <w:rPr>
                <w:b/>
                <w:i/>
              </w:rPr>
              <w:t>podobne postępowanie, nie będzie to miało wpływu na zasoby cyfrowego euro użytkowników cyfrowego euro.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42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14 – ustęp 3 – litera a</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a)</w:t>
            </w:r>
            <w:r w:rsidRPr="003746B8">
              <w:tab/>
              <w:t>świadczenia podstawowych usług płatniczych związanych z</w:t>
            </w:r>
            <w:r w:rsidRPr="003746B8">
              <w:rPr>
                <w:b/>
                <w:i/>
              </w:rPr>
              <w:t> </w:t>
            </w:r>
            <w:r w:rsidRPr="003746B8">
              <w:t>cyfrowym euro na rzecz osób fizycznych</w:t>
            </w:r>
            <w:r w:rsidRPr="003746B8">
              <w:rPr>
                <w:b/>
                <w:i/>
              </w:rPr>
              <w:t>, o których mowa w art. 13 ust. 1 lit. a) i które nie posiadają lub nie chcą posiadać rachunku płatniczego w niecyfro</w:t>
            </w:r>
            <w:r w:rsidRPr="003746B8">
              <w:rPr>
                <w:b/>
                <w:i/>
              </w:rPr>
              <w:t>wym euro</w:t>
            </w:r>
            <w:r w:rsidRPr="003746B8">
              <w:t>;</w:t>
            </w:r>
          </w:p>
        </w:tc>
        <w:tc>
          <w:tcPr>
            <w:tcW w:w="4876" w:type="dxa"/>
            <w:hideMark/>
          </w:tcPr>
          <w:p w:rsidR="002F7FE1" w:rsidRPr="003746B8" w:rsidRDefault="00B029A7" w:rsidP="000462E9">
            <w:pPr>
              <w:pStyle w:val="Normal6"/>
              <w:rPr>
                <w:szCs w:val="24"/>
              </w:rPr>
            </w:pPr>
            <w:r w:rsidRPr="003746B8">
              <w:t>a)</w:t>
            </w:r>
            <w:r w:rsidRPr="003746B8">
              <w:tab/>
              <w:t>świadczenia podstawowych usług płatniczych związanych z</w:t>
            </w:r>
            <w:r w:rsidRPr="003746B8">
              <w:rPr>
                <w:b/>
                <w:i/>
              </w:rPr>
              <w:t xml:space="preserve"> </w:t>
            </w:r>
            <w:r w:rsidRPr="003746B8">
              <w:t>cyfrowym euro na rzecz osób fizycznych;</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43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14 – ustęp 3 – litera b</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b)</w:t>
            </w:r>
            <w:r w:rsidRPr="003746B8">
              <w:tab/>
              <w:t>świadczenia podstawowych usług płatniczych związanych z cyfrowym euro i zapewnienia wsparcia w zakresie włączenia cyfrowego w niewielkiej odległości fizycznej (twarzą w twarz) osobom z niepełnospraw</w:t>
            </w:r>
            <w:r w:rsidRPr="003746B8">
              <w:t>nościami, osobom z ograniczeniami funkcjonalnymi lub osobom o ograniczonych umiejętnościach cyfrowych oraz osobom starszym.</w:t>
            </w:r>
          </w:p>
        </w:tc>
        <w:tc>
          <w:tcPr>
            <w:tcW w:w="4876" w:type="dxa"/>
            <w:hideMark/>
          </w:tcPr>
          <w:p w:rsidR="002F7FE1" w:rsidRPr="003746B8" w:rsidRDefault="00B029A7" w:rsidP="000462E9">
            <w:pPr>
              <w:pStyle w:val="Normal6"/>
              <w:rPr>
                <w:szCs w:val="24"/>
              </w:rPr>
            </w:pPr>
            <w:r w:rsidRPr="003746B8">
              <w:t>b)</w:t>
            </w:r>
            <w:r w:rsidRPr="003746B8">
              <w:tab/>
              <w:t>świadczenia podstawowych usług płatniczych związanych z cyfrowym euro i zapewnienia wsparcia w zakresie włączenia cyfrowego w nie</w:t>
            </w:r>
            <w:r w:rsidRPr="003746B8">
              <w:t xml:space="preserve">wielkiej odległości fizycznej (twarzą w twarz) </w:t>
            </w:r>
            <w:r w:rsidRPr="003746B8">
              <w:rPr>
                <w:b/>
                <w:i/>
              </w:rPr>
              <w:t xml:space="preserve">wszystkim użytkownikom, w szczególności </w:t>
            </w:r>
            <w:r w:rsidRPr="003746B8">
              <w:t>osobom z niepełnosprawnościami, osobom z ograniczeniami funkcjonalnymi lub osobom o ograniczonych umiejętnościach cyfrowych oraz osobom starszym.</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44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lastRenderedPageBreak/>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14 – ustęp 3 a (nowy)</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3a.</w:t>
            </w:r>
            <w:r w:rsidRPr="003746B8">
              <w:rPr>
                <w:b/>
                <w:i/>
              </w:rPr>
              <w:tab/>
              <w:t xml:space="preserve">Państwa członkowskie zapewniają, by wszyscy użytkownicy cyfrowego euro </w:t>
            </w:r>
            <w:r w:rsidRPr="003746B8">
              <w:rPr>
                <w:b/>
                <w:i/>
              </w:rPr>
              <w:t>uzyskiwali wystarczający i skuteczny dostęp do podmiotów, o których mowa w akapicie pierwszym, z wysokim poziomem wsparcia i usług, dostosowanym zwłaszcza do szczególnych potrzeb konsumentów znajdujących się w trudnej sytuacji.</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w:t>
      </w:r>
      <w:r w:rsidRPr="003746B8">
        <w:rPr>
          <w:rStyle w:val="HideTWBExt"/>
          <w:b w:val="0"/>
        </w:rPr>
        <w:t>NumAm&gt;</w:t>
      </w:r>
      <w:r w:rsidRPr="003746B8">
        <w:t>45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14 – ustęp 4</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w:t>
            </w:r>
            <w:r w:rsidRPr="003746B8">
              <w:tab/>
              <w:t xml:space="preserve">Dostawcy usług płatniczych, o których mowa w ust. 1–3, zapewniają wsparcie w zakresie włączenia </w:t>
            </w:r>
            <w:r w:rsidRPr="003746B8">
              <w:t>cyfrowego osobom z niepełnosprawnościami, osobom z ograniczeniami funkcjonalnymi lub osobom o ograniczonych umiejętnościach cyfrowych oraz osobom starszym. Bez uszczerbku dla ust. 3 lit. b) wsparcie w zakresie włączenia cyfrowego obejmuje specjalną pomoc p</w:t>
            </w:r>
            <w:r w:rsidRPr="003746B8">
              <w:t>rzy onboardingu w związku z rachunkiem w cyfrowym euro i korzystaniu ze wszystkich podstawowych usług związanych z cyfrowym euro.</w:t>
            </w:r>
          </w:p>
        </w:tc>
        <w:tc>
          <w:tcPr>
            <w:tcW w:w="4876" w:type="dxa"/>
            <w:hideMark/>
          </w:tcPr>
          <w:p w:rsidR="002F7FE1" w:rsidRPr="003746B8" w:rsidRDefault="00B029A7" w:rsidP="000462E9">
            <w:pPr>
              <w:pStyle w:val="Normal6"/>
              <w:rPr>
                <w:szCs w:val="24"/>
              </w:rPr>
            </w:pPr>
            <w:r w:rsidRPr="003746B8">
              <w:t>4.</w:t>
            </w:r>
            <w:r w:rsidRPr="003746B8">
              <w:tab/>
              <w:t xml:space="preserve">Dostawcy usług płatniczych, o których mowa w ust. 1–3, zapewniają wsparcie w zakresie włączenia cyfrowego osobom </w:t>
            </w:r>
            <w:r w:rsidRPr="003746B8">
              <w:t>z niepełnosprawnościami, osobom z ograniczeniami funkcjonalnymi lub osobom o ograniczonych umiejętnościach cyfrowych oraz osobom starszym. Bez uszczerbku dla ust. 3 lit. b) wsparcie w zakresie włączenia cyfrowego obejmuje specjalną pomoc przy onboardingu w</w:t>
            </w:r>
            <w:r w:rsidRPr="003746B8">
              <w:t xml:space="preserve"> związku z rachunkiem w cyfrowym euro i korzystaniu ze wszystkich podstawowych usług związanych z cyfrowym euro. </w:t>
            </w:r>
            <w:r w:rsidRPr="003746B8">
              <w:rPr>
                <w:b/>
                <w:i/>
              </w:rPr>
              <w:t>Wsparcie w zakresie włączenia cyfrowego jest zapewniane bezpłatnie w ramach podstawowych usług związanych z cyfrowym euro.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w:t>
      </w:r>
      <w:r w:rsidRPr="003746B8">
        <w:t>rawka</w:t>
      </w:r>
      <w:r w:rsidRPr="003746B8">
        <w:tab/>
      </w:r>
      <w:r w:rsidRPr="003746B8">
        <w:tab/>
      </w:r>
      <w:r w:rsidRPr="003746B8">
        <w:rPr>
          <w:rStyle w:val="HideTWBExt"/>
          <w:b w:val="0"/>
        </w:rPr>
        <w:t>&lt;NumAm&gt;</w:t>
      </w:r>
      <w:r w:rsidRPr="003746B8">
        <w:t>46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14 – ustęp 5</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5.</w:t>
            </w:r>
            <w:r w:rsidRPr="003746B8">
              <w:tab/>
              <w:t xml:space="preserve">Unijny Urząd ds. Przeciwdziałania Praniu Pieniędzy („AMLA”) ustanowiony na mocy </w:t>
            </w:r>
            <w:r w:rsidRPr="003746B8">
              <w:t xml:space="preserve">rozporządzenia (UE) [proszę wstawić odniesienie – wniosek dotyczący rozporządzenia ustanawiającego Urząd ds. Przeciwdziałania Praniu Pieniędzy i Finansowaniu Terroryzmu („AMLA”) – (COM(2021) 421 final)] i Europejski Urząd Nadzoru Bankowego wspólnie wydają </w:t>
            </w:r>
            <w:r w:rsidRPr="003746B8">
              <w:t>wytyczne określające interakcję między wymogami dotyczącymi AML/CFT a świadczeniem podstawowych usług płatniczych związanych z cyfrowym euro, ze szczególnym naciskiem na włączenie finansowe słabszych grup społecznych, w tym osób ubiegających się o azyl lub</w:t>
            </w:r>
            <w:r w:rsidRPr="003746B8">
              <w:t xml:space="preserve"> beneficjentów ochrony międzynarodowej, osób nieposiadających stałego adresu zamieszkania lub obywateli państw trzecich, którym nie wydano zezwolenia na pobyt, ale których wydalenie jest niemożliwe z przyczyn prawnych lub faktycznych.</w:t>
            </w:r>
          </w:p>
        </w:tc>
        <w:tc>
          <w:tcPr>
            <w:tcW w:w="4876" w:type="dxa"/>
            <w:hideMark/>
          </w:tcPr>
          <w:p w:rsidR="002F7FE1" w:rsidRPr="003746B8" w:rsidRDefault="00B029A7" w:rsidP="000462E9">
            <w:pPr>
              <w:pStyle w:val="Normal6"/>
              <w:rPr>
                <w:szCs w:val="24"/>
              </w:rPr>
            </w:pPr>
            <w:r w:rsidRPr="003746B8">
              <w:rPr>
                <w:i/>
              </w:rPr>
              <w:t>(Nie dotyczy polskiej</w:t>
            </w:r>
            <w:r w:rsidRPr="003746B8">
              <w:rPr>
                <w:i/>
              </w:rPr>
              <w:t xml:space="preserve"> wersji językowej)</w:t>
            </w:r>
            <w:r w:rsidRPr="003746B8">
              <w:tab/>
              <w:t xml:space="preserve"> </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47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16 – ustęp 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w:t>
            </w:r>
            <w:r w:rsidRPr="003746B8">
              <w:tab/>
              <w:t xml:space="preserve">Do celów art. 15 ust. 1 Europejski Bank </w:t>
            </w:r>
            <w:r w:rsidRPr="003746B8">
              <w:t>Centralny opracowuje instrumenty ograniczające korzystanie z cyfrowego euro jako środka przechowywania wartości oraz decyduje o ich parametrach i wykorzystaniu, zgodnie z ramami określonymi w niniejszym artykule. Dostawcy usług płatniczych świadczący usług</w:t>
            </w:r>
            <w:r w:rsidRPr="003746B8">
              <w:t xml:space="preserve">i prowadzenia rachunku w rozumieniu dyrektywy (UE) 2015/2366 na rzecz osób fizycznych i prawnych, o których mowa w art. 12 ust. 1, stosują te ograniczenia do rachunków płatniczych </w:t>
            </w:r>
            <w:r w:rsidRPr="003746B8">
              <w:lastRenderedPageBreak/>
              <w:t>w cyfrowym euro.</w:t>
            </w:r>
          </w:p>
        </w:tc>
        <w:tc>
          <w:tcPr>
            <w:tcW w:w="4876" w:type="dxa"/>
            <w:hideMark/>
          </w:tcPr>
          <w:p w:rsidR="002F7FE1" w:rsidRPr="003746B8" w:rsidRDefault="00B029A7" w:rsidP="000462E9">
            <w:pPr>
              <w:pStyle w:val="Normal6"/>
              <w:rPr>
                <w:szCs w:val="24"/>
              </w:rPr>
            </w:pPr>
            <w:r w:rsidRPr="003746B8">
              <w:lastRenderedPageBreak/>
              <w:t>1.</w:t>
            </w:r>
            <w:r w:rsidRPr="003746B8">
              <w:tab/>
              <w:t>Do celów art. 15 ust. 1</w:t>
            </w:r>
            <w:r w:rsidRPr="003746B8">
              <w:rPr>
                <w:b/>
                <w:i/>
              </w:rPr>
              <w:t>, jeśli ustanowione zostaną ogran</w:t>
            </w:r>
            <w:r w:rsidRPr="003746B8">
              <w:rPr>
                <w:b/>
                <w:i/>
              </w:rPr>
              <w:t>iczenia,</w:t>
            </w:r>
            <w:r w:rsidRPr="003746B8">
              <w:t xml:space="preserve"> Europejski Bank Centralny opracowuje instrumenty ograniczające korzystanie z cyfrowego euro jako środka przechowywania wartości oraz decyduje o ich parametrach i wykorzystaniu, zgodnie z ramami określonymi w niniejszym artykule. Dostawcy usług pła</w:t>
            </w:r>
            <w:r w:rsidRPr="003746B8">
              <w:t xml:space="preserve">tniczych świadczący usługi prowadzenia rachunku w rozumieniu dyrektywy (UE) 2015/2366 na rzecz osób fizycznych i prawnych, o których mowa w art. 12 ust. 1, stosują te ograniczenia do </w:t>
            </w:r>
            <w:r w:rsidRPr="003746B8">
              <w:lastRenderedPageBreak/>
              <w:t>rachunków płatniczych w cyfrowym euro.</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48</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16 – ustęp 2 – litera c a (nowa)</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ca)</w:t>
            </w:r>
            <w:r w:rsidRPr="003746B8">
              <w:rPr>
                <w:b/>
                <w:i/>
              </w:rPr>
              <w:tab/>
              <w:t xml:space="preserve">odzwierciedlają bieżące trendy i ryzyka związane z praniem pieniędzy i </w:t>
            </w:r>
            <w:r w:rsidRPr="003746B8">
              <w:rPr>
                <w:b/>
                <w:i/>
              </w:rPr>
              <w:t>finansowaniem terroryzmu.</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49</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16 – ustęp 4</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w:t>
            </w:r>
            <w:r w:rsidRPr="003746B8">
              <w:tab/>
              <w:t xml:space="preserve">Wszelkie limity utrzymywanej kwoty na </w:t>
            </w:r>
            <w:r w:rsidRPr="003746B8">
              <w:t>rachunkach płatniczych w cyfrowym euro przyjęte zgodnie z ust. 1 mają zastosowanie zarówno do zasobów offline, jak i online. Jeżeli użytkownik cyfrowego euro korzysta z cyfrowego euro zarówno w trybie offline, jak i online, limit mający zastosowanie do cyf</w:t>
            </w:r>
            <w:r w:rsidRPr="003746B8">
              <w:t>rowego euro w trybie online jest równy ogólnemu limitowi określonemu przez Europejski Bank Centralny pomniejszonemu o limit utrzymywanej kwoty w odniesieniu do cyfrowych euro w trybie offline ustalony przez użytkowników cyfrowego euro. Użytkownik cyfrowego</w:t>
            </w:r>
            <w:r w:rsidRPr="003746B8">
              <w:t xml:space="preserve"> euro może ustalić swój limit utrzymywanej kwoty w trybie offline na dowolną kwotę między zerem a limitem utrzymywanej kwoty ustalonym zgodnie z art. 37.</w:t>
            </w:r>
          </w:p>
        </w:tc>
        <w:tc>
          <w:tcPr>
            <w:tcW w:w="4876" w:type="dxa"/>
            <w:hideMark/>
          </w:tcPr>
          <w:p w:rsidR="002F7FE1" w:rsidRPr="003746B8" w:rsidRDefault="00B029A7" w:rsidP="000462E9">
            <w:pPr>
              <w:pStyle w:val="Normal6"/>
              <w:rPr>
                <w:szCs w:val="24"/>
              </w:rPr>
            </w:pPr>
            <w:r w:rsidRPr="003746B8">
              <w:t>4.</w:t>
            </w:r>
            <w:r w:rsidRPr="003746B8">
              <w:tab/>
              <w:t>Wszelkie limity utrzymywanej kwoty na rachunkach płatniczych w cyfrowym euro przyjęte zgodnie z ust</w:t>
            </w:r>
            <w:r w:rsidRPr="003746B8">
              <w:t>. 1 mają zastosowanie zarówno do zasobów offline, jak i online. Jeżeli użytkownik cyfrowego euro korzysta z cyfrowego euro zarówno w trybie offline, jak i online, limit mający zastosowanie do cyfrowego euro w trybie online jest równy ogólnemu limitowi okre</w:t>
            </w:r>
            <w:r w:rsidRPr="003746B8">
              <w:t>ślonemu przez Europejski Bank Centralny pomniejszonemu o limit utrzymywanej kwoty w odniesieniu do cyfrowych euro w trybie offline ustalony przez użytkowników cyfrowego euro. Użytkownik cyfrowego euro może ustalić swój limit utrzymywanej kwoty w trybie off</w:t>
            </w:r>
            <w:r w:rsidRPr="003746B8">
              <w:t xml:space="preserve">line na dowolną kwotę między zerem a limitem utrzymywanej kwoty ustalonym zgodnie z art. 37. </w:t>
            </w:r>
            <w:r w:rsidRPr="003746B8">
              <w:rPr>
                <w:b/>
                <w:i/>
              </w:rPr>
              <w:t>Europejski Bank Centralny może również rozważyć wprowadzenie niezależnych od siebie limitów dla cyfrowego euro w trybie offline i w trybie online w celu ochrony pr</w:t>
            </w:r>
            <w:r w:rsidRPr="003746B8">
              <w:rPr>
                <w:b/>
                <w:i/>
              </w:rPr>
              <w:t>ywatności użytkowników cyfrowego euro w trybie offline w największym możliwym zakresie.</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50</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17 – ustęp 4</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 xml:space="preserve">Tekst proponowany przez </w:t>
            </w:r>
            <w:r w:rsidRPr="003746B8">
              <w:t>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w:t>
            </w:r>
            <w:r w:rsidRPr="003746B8">
              <w:tab/>
              <w:t>Europejski Bank Centralny może wymagać od dostawców usług płatniczych dostarczania wszelkich informacji niezbędnych do stosowania niniejszego artykułu i weryfikacji jego przestrzegania. Dostawcy usług płatniczych przesyłają wszelkie wy</w:t>
            </w:r>
            <w:r w:rsidRPr="003746B8">
              <w:t>magane informacje w terminie określonym przez Europejski Bank Centralny. Europejski Bank Centralny może wymagać potwierdzenia takich informacji przez niezależnego audytora.</w:t>
            </w:r>
          </w:p>
        </w:tc>
        <w:tc>
          <w:tcPr>
            <w:tcW w:w="4876" w:type="dxa"/>
            <w:hideMark/>
          </w:tcPr>
          <w:p w:rsidR="002F7FE1" w:rsidRPr="003746B8" w:rsidRDefault="00B029A7" w:rsidP="000462E9">
            <w:pPr>
              <w:pStyle w:val="Normal6"/>
              <w:rPr>
                <w:szCs w:val="24"/>
              </w:rPr>
            </w:pPr>
            <w:r w:rsidRPr="003746B8">
              <w:t>4.</w:t>
            </w:r>
            <w:r w:rsidRPr="003746B8">
              <w:tab/>
              <w:t>Europejski Bank Centralny może wymagać od dostawców usług płatniczych dostarczan</w:t>
            </w:r>
            <w:r w:rsidRPr="003746B8">
              <w:t>ia wszelkich informacji niezbędnych do stosowania niniejszego artykułu i weryfikacji jego przestrzegania.</w:t>
            </w:r>
            <w:r w:rsidRPr="003746B8">
              <w:rPr>
                <w:b/>
                <w:i/>
              </w:rPr>
              <w:t xml:space="preserve"> W przypadku gdy informacje te dotyczą danych osobowych, Europejski Bank Centralny występuje wyłącznie o dane bezwzględnie niezbędne do celów przetwarz</w:t>
            </w:r>
            <w:r w:rsidRPr="003746B8">
              <w:rPr>
                <w:b/>
                <w:i/>
              </w:rPr>
              <w:t>ania, z pełnym przestrzeganiem przy tym zasady minimalizacji danych.</w:t>
            </w:r>
            <w:r w:rsidRPr="003746B8">
              <w:t xml:space="preserve"> Dostawcy usług płatniczych przesyłają wszelkie wymagane informacje w terminie określonym przez Europejski Bank Centralny. Europejski Bank Centralny może wymagać potwierdzenia takich infor</w:t>
            </w:r>
            <w:r w:rsidRPr="003746B8">
              <w:t xml:space="preserve">macji przez niezależnego audytora. </w:t>
            </w:r>
            <w:r w:rsidRPr="003746B8">
              <w:rPr>
                <w:b/>
                <w:i/>
              </w:rPr>
              <w:t>or.</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51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18 – ustęp 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w:t>
            </w:r>
            <w:r w:rsidRPr="003746B8">
              <w:tab/>
              <w:t xml:space="preserve">Dostawcy usług płatniczych </w:t>
            </w:r>
            <w:r w:rsidRPr="003746B8">
              <w:t>mogą dystrybuować cyfrowe euro wśród osób fizycznych i prawnych mających miejsce zamieszkania lub siedzibę w państwie członkowskim, którego walutą nie jest euro, wyłącznie jeżeli Europejski Bank Centralny i krajowy bank centralny tego państwa członkowskieg</w:t>
            </w:r>
            <w:r w:rsidRPr="003746B8">
              <w:t>o podpisały stosowne porozumienie.</w:t>
            </w:r>
          </w:p>
        </w:tc>
        <w:tc>
          <w:tcPr>
            <w:tcW w:w="4876" w:type="dxa"/>
            <w:hideMark/>
          </w:tcPr>
          <w:p w:rsidR="002F7FE1" w:rsidRPr="003746B8" w:rsidRDefault="00B029A7" w:rsidP="000462E9">
            <w:pPr>
              <w:pStyle w:val="Normal6"/>
              <w:rPr>
                <w:szCs w:val="24"/>
              </w:rPr>
            </w:pPr>
            <w:r w:rsidRPr="003746B8">
              <w:t>1.</w:t>
            </w:r>
            <w:r w:rsidRPr="003746B8">
              <w:tab/>
              <w:t>Dostawcy usług płatniczych mogą dystrybuować cyfrowe euro wśród osób fizycznych i prawnych mających miejsce zamieszkania lub siedzibę w państwie członkowskim, którego walutą nie jest euro, wyłącznie jeżeli Europejski B</w:t>
            </w:r>
            <w:r w:rsidRPr="003746B8">
              <w:t xml:space="preserve">ank Centralny i krajowy bank centralny tego państwa członkowskiego podpisały stosowne porozumienie. </w:t>
            </w:r>
            <w:r w:rsidRPr="003746B8">
              <w:rPr>
                <w:b/>
                <w:i/>
              </w:rPr>
              <w:t>Na mocy takiego porozumienia osoby fizyczne i prawne, które mają miejsce zamieszkania lub siedzibę w tym państwie członkowskim i chcą zostać użytkownikami c</w:t>
            </w:r>
            <w:r w:rsidRPr="003746B8">
              <w:rPr>
                <w:b/>
                <w:i/>
              </w:rPr>
              <w:t xml:space="preserve">yfrowego euro, uzyskują takie same warunki i </w:t>
            </w:r>
            <w:r w:rsidRPr="003746B8">
              <w:rPr>
                <w:b/>
                <w:i/>
              </w:rPr>
              <w:lastRenderedPageBreak/>
              <w:t>możliwości korzystania z cyfrowego euro jak użytkownicy cyfrowego euro w państwach członkowskich, gdzie walutą jest euro, bez uszczerbku dla prerogatywy Europejskiego Banku Centralnego, jaką jest ochrona celów j</w:t>
            </w:r>
            <w:r w:rsidRPr="003746B8">
              <w:rPr>
                <w:b/>
                <w:i/>
              </w:rPr>
              <w:t>ego polityki pieniężnej.</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52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18 – ustęp 3</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w:t>
            </w:r>
            <w:r w:rsidRPr="003746B8">
              <w:tab/>
              <w:t xml:space="preserve">W porozumieniu, o którym mowa w ust. 1, </w:t>
            </w:r>
            <w:r w:rsidRPr="003746B8">
              <w:t>określa się niezbędne środki i procedury wykonawcze oraz przypadki, w których porozumienie może zostać ograniczone, zawieszone lub wypowiedziane.</w:t>
            </w:r>
          </w:p>
        </w:tc>
        <w:tc>
          <w:tcPr>
            <w:tcW w:w="4876" w:type="dxa"/>
            <w:hideMark/>
          </w:tcPr>
          <w:p w:rsidR="002F7FE1" w:rsidRPr="003746B8" w:rsidRDefault="00B029A7" w:rsidP="000462E9">
            <w:pPr>
              <w:pStyle w:val="Normal6"/>
              <w:rPr>
                <w:szCs w:val="24"/>
              </w:rPr>
            </w:pPr>
            <w:r w:rsidRPr="003746B8">
              <w:rPr>
                <w:i/>
              </w:rPr>
              <w:t>(Nie dotyczy polskiej wersji językowej)</w:t>
            </w:r>
            <w:r w:rsidRPr="003746B8">
              <w:tab/>
              <w:t xml:space="preserve"> </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53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 xml:space="preserve">Wniosek </w:t>
      </w:r>
      <w:r w:rsidRPr="003746B8">
        <w:t>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18 – ustęp 3 a (nowy)</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3a.</w:t>
            </w:r>
            <w:r w:rsidRPr="003746B8">
              <w:rPr>
                <w:b/>
                <w:i/>
              </w:rPr>
              <w:tab/>
              <w:t>Europejski Bank Centralny dostarcza krajowym bankom centralnym państw członkowskich, których walutą nie jest euro, istotne</w:t>
            </w:r>
            <w:r w:rsidRPr="003746B8">
              <w:rPr>
                <w:b/>
                <w:i/>
              </w:rPr>
              <w:t xml:space="preserve"> informacje i pomoc, aby ułatwić podpisanie porozumień, o których mowa w ust. 1. W tym celu Komisja może zorganizować kampanie informacyjne w celu poinformowania państw członkowskich, których walutą nie jest euro, o różnych cechach cyfrowego euro, w tym ko</w:t>
            </w:r>
            <w:r w:rsidRPr="003746B8">
              <w:rPr>
                <w:b/>
                <w:i/>
              </w:rPr>
              <w:t>rzyściach z jego używania, a także jego aspektach związanych z ochroną i korzystaniem z podstawowych praw i wolności.</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lastRenderedPageBreak/>
        <w:t>&lt;Amend&gt;</w:t>
      </w:r>
      <w:r w:rsidRPr="003746B8">
        <w:t>Poprawka</w:t>
      </w:r>
      <w:r w:rsidRPr="003746B8">
        <w:tab/>
      </w:r>
      <w:r w:rsidRPr="003746B8">
        <w:tab/>
      </w:r>
      <w:r w:rsidRPr="003746B8">
        <w:rPr>
          <w:rStyle w:val="HideTWBExt"/>
          <w:b w:val="0"/>
        </w:rPr>
        <w:t>&lt;NumAm&gt;</w:t>
      </w:r>
      <w:r w:rsidRPr="003746B8">
        <w:t>54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19 – ustęp 3</w:t>
      </w:r>
      <w:r w:rsidRPr="003746B8">
        <w:rPr>
          <w:rStyle w:val="HideTWBExt"/>
          <w:b w:val="0"/>
        </w:rPr>
        <w:t>&lt;/Article</w:t>
      </w:r>
      <w:r w:rsidRPr="003746B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w:t>
            </w:r>
            <w:r w:rsidRPr="003746B8">
              <w:tab/>
              <w:t xml:space="preserve">W umowie między Unią a państwem trzecim określa się niezbędne środki i procedury wykonawcze oraz przypadki, w których umowa może zostać ograniczona, zawieszona lub wypowiedziana, w szczególności w przypadku </w:t>
            </w:r>
            <w:r w:rsidRPr="003746B8">
              <w:t>gdy państwo trzecie zostało uznane za państwo trzecie, w którym stwierdzono istotne braki strategiczne w krajowym systemie przeciwdziałania praniu pieniędzy i finansowaniu terroryzmu, o którym to państwie mowa w art. 23 rozporządzenia [proszę wstawić odnie</w:t>
            </w:r>
            <w:r w:rsidRPr="003746B8">
              <w:t>sienie – wniosek dotyczący rozporządzenia w sprawie przeciwdziałania praniu pieniędzy – COM(2021)</w:t>
            </w:r>
            <w:r w:rsidRPr="003746B8">
              <w:rPr>
                <w:b/>
                <w:i/>
              </w:rPr>
              <w:t xml:space="preserve"> 420</w:t>
            </w:r>
            <w:r w:rsidRPr="003746B8">
              <w:t xml:space="preserve"> final] lub za państwo trzecie, w którym występują niedociągnięcia w zakresie zgodności w jego krajowym systemie przeciwdziałania praniu pieniędzy i finans</w:t>
            </w:r>
            <w:r w:rsidRPr="003746B8">
              <w:t>owaniu terroryzmu, o którym to państwie mowa w art. 24 rozporządzenia [proszę wstawić odniesienie – wniosek dotyczący rozporządzenia w sprawie przeciwdziałania praniu pieniędzy – COM(2021)</w:t>
            </w:r>
            <w:r w:rsidRPr="003746B8">
              <w:rPr>
                <w:b/>
                <w:i/>
              </w:rPr>
              <w:t xml:space="preserve"> 420</w:t>
            </w:r>
            <w:r w:rsidRPr="003746B8">
              <w:t xml:space="preserve"> final]. Uzupełnieniem tej umowy jest porozumienie między Europe</w:t>
            </w:r>
            <w:r w:rsidRPr="003746B8">
              <w:t>jskim Bankiem Centralnym a krajowym bankiem centralnym oraz, w stosownych przypadkach, właściwym organem krajowym państwa trzeciego.</w:t>
            </w:r>
          </w:p>
        </w:tc>
        <w:tc>
          <w:tcPr>
            <w:tcW w:w="4876" w:type="dxa"/>
            <w:hideMark/>
          </w:tcPr>
          <w:p w:rsidR="002F7FE1" w:rsidRPr="003746B8" w:rsidRDefault="00B029A7" w:rsidP="000462E9">
            <w:pPr>
              <w:pStyle w:val="Normal6"/>
              <w:rPr>
                <w:szCs w:val="24"/>
              </w:rPr>
            </w:pPr>
            <w:r w:rsidRPr="003746B8">
              <w:t>3.</w:t>
            </w:r>
            <w:r w:rsidRPr="003746B8">
              <w:tab/>
              <w:t>W umowie między Unią a państwem trzecim określa się niezbędne środki i procedury wykonawcze oraz przypadki, w których um</w:t>
            </w:r>
            <w:r w:rsidRPr="003746B8">
              <w:t>owa może zostać ograniczona, zawieszona lub wypowiedziana, w szczególności w przypadku gdy państwo trzecie zostało uznane za państwo trzecie, w którym stwierdzono istotne braki strategiczne w krajowym systemie przeciwdziałania praniu pieniędzy i finansowan</w:t>
            </w:r>
            <w:r w:rsidRPr="003746B8">
              <w:t>iu terroryzmu, o którym to państwie mowa w art. 23 rozporządzenia [proszę wstawić odniesienie – wniosek dotyczący rozporządzenia w sprawie przeciwdziałania praniu pieniędzy – COM(2021)</w:t>
            </w:r>
            <w:r w:rsidRPr="003746B8">
              <w:rPr>
                <w:b/>
                <w:i/>
              </w:rPr>
              <w:t>0420</w:t>
            </w:r>
            <w:r w:rsidRPr="003746B8">
              <w:t xml:space="preserve"> final] lub za państwo trzecie, w którym występują niedociągnięcia w</w:t>
            </w:r>
            <w:r w:rsidRPr="003746B8">
              <w:t> zakresie zgodności w jego krajowym systemie przeciwdziałania praniu pieniędzy i finansowaniu terroryzmu, o którym to państwie mowa w art. 24 rozporządzenia [proszę wstawić odniesienie – wniosek dotyczący rozporządzenia w sprawie przeciwdziałania praniu pi</w:t>
            </w:r>
            <w:r w:rsidRPr="003746B8">
              <w:t>eniędzy – COM(2021)</w:t>
            </w:r>
            <w:r w:rsidRPr="003746B8">
              <w:rPr>
                <w:b/>
                <w:i/>
              </w:rPr>
              <w:t>0420 final], lub za państwo trzecie stanowiące zagrożenie dla systemu finansowego Unii, o którym to państwie mowa w art. 25 rozporządzenia [proszę wstawić odniesienie – wniosek dotyczący rozporządzenia w sprawie przeciwdziałania praniu p</w:t>
            </w:r>
            <w:r w:rsidRPr="003746B8">
              <w:rPr>
                <w:b/>
                <w:i/>
              </w:rPr>
              <w:t>ieniędzy – COM(2021)0420</w:t>
            </w:r>
            <w:r w:rsidRPr="003746B8">
              <w:t xml:space="preserve"> final]. Uzupełnieniem tej umowy jest porozumienie między Europejskim Bankiem Centralnym a krajowym bankiem centralnym oraz, w stosownych przypadkach, właściwym organem krajowym państwa trzeciego.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5</w:t>
      </w:r>
      <w:r w:rsidRPr="003746B8">
        <w:t>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lastRenderedPageBreak/>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21 – ustęp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 xml:space="preserve">Europejski Bank Centralny współpracuje z krajowymi bankami centralnymi państw członkowskich, których </w:t>
            </w:r>
            <w:r w:rsidRPr="003746B8">
              <w:t>walutą nie jest euro, w celu umożliwienia interoperacyjnych płatności obejmujących przewalutowanie między cyfrowym euro a innymi walutami.</w:t>
            </w:r>
          </w:p>
        </w:tc>
        <w:tc>
          <w:tcPr>
            <w:tcW w:w="4876" w:type="dxa"/>
            <w:hideMark/>
          </w:tcPr>
          <w:p w:rsidR="002F7FE1" w:rsidRPr="003746B8" w:rsidRDefault="00B029A7" w:rsidP="000462E9">
            <w:pPr>
              <w:pStyle w:val="Normal6"/>
              <w:rPr>
                <w:szCs w:val="24"/>
              </w:rPr>
            </w:pPr>
            <w:r w:rsidRPr="003746B8">
              <w:t>2.</w:t>
            </w:r>
            <w:r w:rsidRPr="003746B8">
              <w:tab/>
              <w:t xml:space="preserve">Europejski Bank Centralny </w:t>
            </w:r>
            <w:r w:rsidRPr="003746B8">
              <w:rPr>
                <w:b/>
                <w:i/>
              </w:rPr>
              <w:t xml:space="preserve">aktywnie </w:t>
            </w:r>
            <w:r w:rsidRPr="003746B8">
              <w:t>współpracuje z krajowymi bankami centralnymi państw członkowskich, których walu</w:t>
            </w:r>
            <w:r w:rsidRPr="003746B8">
              <w:t xml:space="preserve">tą nie jest euro, w celu umożliwienia interoperacyjnych płatności obejmujących przewalutowanie między cyfrowym euro a innymi walutami. </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56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 xml:space="preserve">Artykuł 22 </w:t>
      </w:r>
      <w:r w:rsidRPr="003746B8">
        <w:t>– ustęp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Użytkownicy cyfrowego euro w swoich stosunkach z dostawcami usług płatniczych w celu świadczenia usług płatniczych związanych z cyfrowym euro nie są zobowiązani do posiadania lub otwierania</w:t>
            </w:r>
            <w:r w:rsidRPr="003746B8">
              <w:t xml:space="preserve"> rachunków płatniczych w niecyfrowym euro ani do akceptowania innych produktów w niecyfrowym euro.</w:t>
            </w:r>
          </w:p>
        </w:tc>
        <w:tc>
          <w:tcPr>
            <w:tcW w:w="4876" w:type="dxa"/>
            <w:hideMark/>
          </w:tcPr>
          <w:p w:rsidR="002F7FE1" w:rsidRPr="003746B8" w:rsidRDefault="00B029A7" w:rsidP="000462E9">
            <w:pPr>
              <w:pStyle w:val="Normal6"/>
              <w:rPr>
                <w:szCs w:val="24"/>
              </w:rPr>
            </w:pPr>
            <w:r w:rsidRPr="003746B8">
              <w:t>2.</w:t>
            </w:r>
            <w:r w:rsidRPr="003746B8">
              <w:tab/>
              <w:t>Użytkownicy cyfrowego euro w swoich stosunkach z dostawcami usług płatniczych w celu świadczenia usług płatniczych związanych z cyfrowym euro</w:t>
            </w:r>
            <w:r w:rsidRPr="003746B8">
              <w:rPr>
                <w:b/>
                <w:i/>
              </w:rPr>
              <w:t>, o których m</w:t>
            </w:r>
            <w:r w:rsidRPr="003746B8">
              <w:rPr>
                <w:b/>
                <w:i/>
              </w:rPr>
              <w:t>owa w art. 14 ust. 3 niniejszego rozporządzenia,</w:t>
            </w:r>
            <w:r w:rsidRPr="003746B8">
              <w:t xml:space="preserve"> nie są zobowiązani do posiadania lub otwierania rachunków płatniczych w niecyfrowym euro ani do akceptowania innych produktów w niecyfrowym euro.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57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w:t>
      </w:r>
      <w:r w:rsidRPr="003746B8">
        <w:t>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23 – ustęp 3</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w:t>
            </w:r>
            <w:r w:rsidRPr="003746B8">
              <w:tab/>
              <w:t xml:space="preserve">Przed rozpoczęciem transakcji płatniczej w cyfrowym euro dokonywanej w ramach płatności zbliżeniowej odbiorca i płatnik </w:t>
            </w:r>
            <w:r w:rsidRPr="003746B8">
              <w:rPr>
                <w:b/>
                <w:i/>
              </w:rPr>
              <w:t xml:space="preserve">są </w:t>
            </w:r>
            <w:r w:rsidRPr="003746B8">
              <w:rPr>
                <w:b/>
                <w:i/>
              </w:rPr>
              <w:t>informowani o tym</w:t>
            </w:r>
            <w:r w:rsidRPr="003746B8">
              <w:t>, czy dana transakcja płatnicza w cyfrowym euro będzie dokonywana w trybie offline czy online.</w:t>
            </w:r>
          </w:p>
        </w:tc>
        <w:tc>
          <w:tcPr>
            <w:tcW w:w="4876" w:type="dxa"/>
            <w:hideMark/>
          </w:tcPr>
          <w:p w:rsidR="002F7FE1" w:rsidRPr="003746B8" w:rsidRDefault="00B029A7" w:rsidP="000462E9">
            <w:pPr>
              <w:pStyle w:val="Normal6"/>
              <w:rPr>
                <w:szCs w:val="24"/>
              </w:rPr>
            </w:pPr>
            <w:r w:rsidRPr="003746B8">
              <w:t>3.</w:t>
            </w:r>
            <w:r w:rsidRPr="003746B8">
              <w:tab/>
              <w:t xml:space="preserve">Przed rozpoczęciem transakcji płatniczej w cyfrowym euro dokonywanej w ramach płatności zbliżeniowej odbiorca i płatnik </w:t>
            </w:r>
            <w:r w:rsidRPr="003746B8">
              <w:rPr>
                <w:b/>
                <w:i/>
              </w:rPr>
              <w:t>uzgadniają</w:t>
            </w:r>
            <w:r w:rsidRPr="003746B8">
              <w:t xml:space="preserve">, czy dana </w:t>
            </w:r>
            <w:r w:rsidRPr="003746B8">
              <w:t>transakcja płatnicza w cyfrowym euro będzie dokonywana w trybie offline czy online.</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58</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25 – ustęp 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 xml:space="preserve">Tekst proponowany przez </w:t>
            </w:r>
            <w:r w:rsidRPr="003746B8">
              <w:t>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w:t>
            </w:r>
            <w:r w:rsidRPr="003746B8">
              <w:tab/>
            </w:r>
            <w:r w:rsidRPr="003746B8">
              <w:rPr>
                <w:b/>
                <w:i/>
              </w:rPr>
              <w:t>Usługi</w:t>
            </w:r>
            <w:r w:rsidRPr="003746B8">
              <w:t xml:space="preserve"> typu front-end</w:t>
            </w:r>
            <w:r w:rsidRPr="003746B8">
              <w:rPr>
                <w:b/>
                <w:i/>
              </w:rPr>
              <w:t xml:space="preserve"> są interoperacyjne lub zintegrowane z </w:t>
            </w:r>
            <w:r w:rsidRPr="003746B8">
              <w:t>europejskimi portfelami tożsamości cyfrowej.</w:t>
            </w:r>
          </w:p>
        </w:tc>
        <w:tc>
          <w:tcPr>
            <w:tcW w:w="4876" w:type="dxa"/>
            <w:hideMark/>
          </w:tcPr>
          <w:p w:rsidR="002F7FE1" w:rsidRPr="003746B8" w:rsidRDefault="00B029A7" w:rsidP="000462E9">
            <w:pPr>
              <w:pStyle w:val="Normal6"/>
              <w:rPr>
                <w:szCs w:val="24"/>
              </w:rPr>
            </w:pPr>
            <w:r w:rsidRPr="003746B8">
              <w:t>1.</w:t>
            </w:r>
            <w:r w:rsidRPr="003746B8">
              <w:tab/>
            </w:r>
            <w:r w:rsidRPr="003746B8">
              <w:rPr>
                <w:b/>
                <w:i/>
              </w:rPr>
              <w:t xml:space="preserve">W przypadku gdy prawo krajowe lub unijne wymaga od dostawców usług płatniczych stosowania silnego uwierzytelniania klienta, </w:t>
            </w:r>
            <w:r w:rsidRPr="003746B8">
              <w:rPr>
                <w:b/>
                <w:i/>
              </w:rPr>
              <w:t>powinni oni również akceptować w łatwo dostępny i niedyskryminacyjny sposób stosowanie europejskiego portfela tożsamości cyfrowej. W tym samym celu należy zapewnić interoperacyjność między usługami</w:t>
            </w:r>
            <w:r w:rsidRPr="003746B8">
              <w:t xml:space="preserve"> typu front-end</w:t>
            </w:r>
            <w:r w:rsidRPr="003746B8">
              <w:rPr>
                <w:b/>
                <w:i/>
              </w:rPr>
              <w:t>, zdefiniowanymi w art. 2 pkt 20 niniejszego</w:t>
            </w:r>
            <w:r w:rsidRPr="003746B8">
              <w:rPr>
                <w:b/>
                <w:i/>
              </w:rPr>
              <w:t xml:space="preserve"> rozporządzenia, a </w:t>
            </w:r>
            <w:r w:rsidRPr="003746B8">
              <w:t>europejskimi portfelami tożsamości cyfrowej.</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59</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26 – akapit 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Europejski Bank Centralny dąży do zapewnienia w możliwym zakresie interoperacyjności norm regulujących usługi płatnicze związane z cyfrowym euro z odpowiednimi normami regulującymi prywatne cyfrowe środki płatnicze. Europejski Bank Centralny dąży do zapewn</w:t>
            </w:r>
            <w:r w:rsidRPr="003746B8">
              <w:t>ienia</w:t>
            </w:r>
            <w:r w:rsidRPr="003746B8">
              <w:rPr>
                <w:b/>
                <w:i/>
              </w:rPr>
              <w:t>,</w:t>
            </w:r>
            <w:r w:rsidRPr="003746B8">
              <w:t xml:space="preserve"> w możliwym zakresie i w stosownych przypadkach, aby w odniesieniu do prywatnych cyfrowych środków płatniczych można było korzystać z zasad, norm i procesów regulujących usługi płatnicze związane z cyfrowym euro.</w:t>
            </w:r>
          </w:p>
        </w:tc>
        <w:tc>
          <w:tcPr>
            <w:tcW w:w="4876" w:type="dxa"/>
            <w:hideMark/>
          </w:tcPr>
          <w:p w:rsidR="002F7FE1" w:rsidRPr="003746B8" w:rsidRDefault="00B029A7" w:rsidP="000462E9">
            <w:pPr>
              <w:pStyle w:val="Normal6"/>
              <w:rPr>
                <w:szCs w:val="24"/>
              </w:rPr>
            </w:pPr>
            <w:r w:rsidRPr="003746B8">
              <w:t>Europejski Bank Centralny dąży do zap</w:t>
            </w:r>
            <w:r w:rsidRPr="003746B8">
              <w:t>ewnienia w możliwym zakresie interoperacyjności norm regulujących usługi płatnicze związane z cyfrowym euro z odpowiednimi normami regulującymi prywatne cyfrowe środki płatnicze. Europejski Bank Centralny dąży do zapewnienia</w:t>
            </w:r>
            <w:r w:rsidRPr="003746B8">
              <w:rPr>
                <w:b/>
                <w:i/>
              </w:rPr>
              <w:t xml:space="preserve"> i wspierania w możliwym zakresi</w:t>
            </w:r>
            <w:r w:rsidRPr="003746B8">
              <w:rPr>
                <w:b/>
                <w:i/>
              </w:rPr>
              <w:t>e</w:t>
            </w:r>
            <w:r w:rsidRPr="003746B8">
              <w:t xml:space="preserve"> w możliwym zakresie i w stosownych przypadkach, aby w odniesieniu do prywatnych cyfrowych środków płatniczych można było korzystać z zasad, norm i procesów regulujących usługi płatnicze związane z cyfrowym euro</w:t>
            </w:r>
            <w:r w:rsidRPr="003746B8">
              <w:rPr>
                <w:b/>
                <w:i/>
              </w:rPr>
              <w:t>, ściśle przestrzegając również zasad uwzglę</w:t>
            </w:r>
            <w:r w:rsidRPr="003746B8">
              <w:rPr>
                <w:b/>
                <w:i/>
              </w:rPr>
              <w:t xml:space="preserve">dniania ochrony danych w fazie projektowania oraz domyślnej ochrony danych, zgodnie z rozporządzeniem (UE) </w:t>
            </w:r>
            <w:r w:rsidRPr="003746B8">
              <w:rPr>
                <w:b/>
                <w:i/>
              </w:rPr>
              <w:lastRenderedPageBreak/>
              <w:t>2016/679</w:t>
            </w:r>
            <w:r w:rsidRPr="003746B8">
              <w:t>.</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60</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27 – ustęp 3 a (nowy)</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3a.</w:t>
            </w:r>
            <w:r w:rsidRPr="003746B8">
              <w:rPr>
                <w:b/>
                <w:i/>
              </w:rPr>
              <w:tab/>
              <w:t>Dostęp do mechanizmu rozstrzygania sporów jest zapewniany bezpłatnie w ramach podstawowych usług związanych z cyfrowym euro.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61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 xml:space="preserve">Wniosek </w:t>
      </w:r>
      <w:r w:rsidRPr="003746B8">
        <w:t>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30 – ustęp 3</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w:t>
            </w:r>
            <w:r w:rsidRPr="003746B8">
              <w:tab/>
            </w:r>
            <w:r w:rsidRPr="003746B8">
              <w:t xml:space="preserve">Ostateczne rozliczenie transakcji płatniczych w cyfrowym euro dokonywanych w trybie offline odbywa się w chwili zaktualizowania rejestrów dotyczących </w:t>
            </w:r>
            <w:r w:rsidRPr="003746B8">
              <w:rPr>
                <w:b/>
                <w:i/>
              </w:rPr>
              <w:t xml:space="preserve">odnośnych </w:t>
            </w:r>
            <w:r w:rsidRPr="003746B8">
              <w:t xml:space="preserve">zasobów cyfrowego euro </w:t>
            </w:r>
            <w:r w:rsidRPr="003746B8">
              <w:rPr>
                <w:b/>
                <w:i/>
              </w:rPr>
              <w:t>w</w:t>
            </w:r>
            <w:r w:rsidRPr="003746B8">
              <w:t> lokalnych urządzeniach pamięciowych</w:t>
            </w:r>
            <w:r w:rsidRPr="003746B8">
              <w:rPr>
                <w:b/>
                <w:i/>
              </w:rPr>
              <w:t xml:space="preserve"> płatnika i odbiorcy</w:t>
            </w:r>
            <w:r w:rsidRPr="003746B8">
              <w:t>.</w:t>
            </w:r>
          </w:p>
        </w:tc>
        <w:tc>
          <w:tcPr>
            <w:tcW w:w="4876" w:type="dxa"/>
            <w:hideMark/>
          </w:tcPr>
          <w:p w:rsidR="002F7FE1" w:rsidRPr="003746B8" w:rsidRDefault="00B029A7" w:rsidP="000462E9">
            <w:pPr>
              <w:pStyle w:val="Normal6"/>
              <w:rPr>
                <w:szCs w:val="24"/>
              </w:rPr>
            </w:pPr>
            <w:r w:rsidRPr="003746B8">
              <w:t>3.</w:t>
            </w:r>
            <w:r w:rsidRPr="003746B8">
              <w:tab/>
              <w:t xml:space="preserve">Ostateczne </w:t>
            </w:r>
            <w:r w:rsidRPr="003746B8">
              <w:t xml:space="preserve">rozliczenie transakcji płatniczych w cyfrowym euro dokonywanych w trybie offline odbywa się w chwili zaktualizowania rejestrów dotyczących zasobów cyfrowego euro </w:t>
            </w:r>
            <w:r w:rsidRPr="003746B8">
              <w:rPr>
                <w:b/>
                <w:i/>
              </w:rPr>
              <w:t>płatnika i</w:t>
            </w:r>
            <w:r w:rsidRPr="003746B8">
              <w:t> </w:t>
            </w:r>
            <w:r w:rsidRPr="003746B8">
              <w:rPr>
                <w:b/>
                <w:i/>
              </w:rPr>
              <w:t xml:space="preserve">odbiorcy w ich </w:t>
            </w:r>
            <w:r w:rsidRPr="003746B8">
              <w:t>lokalnych urządzeniach pamięciowych.</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w:t>
      </w:r>
      <w:r w:rsidRPr="003746B8">
        <w:rPr>
          <w:rStyle w:val="HideTWBExt"/>
          <w:b w:val="0"/>
        </w:rPr>
        <w:t>Am&gt;</w:t>
      </w:r>
      <w:r w:rsidRPr="003746B8">
        <w:t>62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30 – ustęp 3 a (nowy)</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3a.</w:t>
            </w:r>
            <w:r w:rsidRPr="003746B8">
              <w:rPr>
                <w:b/>
                <w:i/>
              </w:rPr>
              <w:tab/>
              <w:t xml:space="preserve">Infrastrukturę rozrachunkową należy opracowywać zgodnie z zasadami uwzględniania ochrony </w:t>
            </w:r>
            <w:r w:rsidRPr="003746B8">
              <w:rPr>
                <w:b/>
                <w:i/>
              </w:rPr>
              <w:t xml:space="preserve">danych w fazie projektowania oraz domyślnej ochrony danych, zdefiniowanymi w rozporządzeniu (UE) 2016/679, w taki sposób, aby ani Europejski Bank Centralny, ani krajowe banki centralne nie mogły przypisać danych do zidentyfikowanego lub </w:t>
            </w:r>
            <w:r w:rsidRPr="003746B8">
              <w:rPr>
                <w:b/>
                <w:i/>
              </w:rPr>
              <w:lastRenderedPageBreak/>
              <w:t>możliwego do zident</w:t>
            </w:r>
            <w:r w:rsidRPr="003746B8">
              <w:rPr>
                <w:b/>
                <w:i/>
              </w:rPr>
              <w:t>yfikowania użytkownika cyfrowego euro.</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63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31 – ustęp 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w:t>
            </w:r>
            <w:r w:rsidRPr="003746B8">
              <w:tab/>
              <w:t xml:space="preserve">Dostawcy usług płatniczych </w:t>
            </w:r>
            <w:r w:rsidRPr="003746B8">
              <w:t>umożliwiają użytkownikom cyfrowego euro na ich wniosek przeniesienie ich rachunków płatniczych w cyfrowym euro do innych dostawców usług płatniczych, przy zachowaniu tych samych identyfikatorów rachunków.</w:t>
            </w:r>
          </w:p>
        </w:tc>
        <w:tc>
          <w:tcPr>
            <w:tcW w:w="4876" w:type="dxa"/>
            <w:hideMark/>
          </w:tcPr>
          <w:p w:rsidR="002F7FE1" w:rsidRPr="003746B8" w:rsidRDefault="00B029A7" w:rsidP="000462E9">
            <w:pPr>
              <w:pStyle w:val="Normal6"/>
              <w:rPr>
                <w:szCs w:val="24"/>
              </w:rPr>
            </w:pPr>
            <w:r w:rsidRPr="003746B8">
              <w:t>1.</w:t>
            </w:r>
            <w:r w:rsidRPr="003746B8">
              <w:tab/>
              <w:t>Dostawcy usług płatniczych umożliwiają użytkowni</w:t>
            </w:r>
            <w:r w:rsidRPr="003746B8">
              <w:t xml:space="preserve">kom cyfrowego euro na ich wniosek </w:t>
            </w:r>
            <w:r w:rsidRPr="003746B8">
              <w:rPr>
                <w:b/>
                <w:i/>
              </w:rPr>
              <w:t xml:space="preserve">bezpłatne </w:t>
            </w:r>
            <w:r w:rsidRPr="003746B8">
              <w:t>przeniesienie ich rachunków płatniczych w cyfrowym euro do innych dostawców usług płatniczych, przy zachowaniu tych samych identyfikatorów rachunków.</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64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w:t>
      </w:r>
      <w:r w:rsidRPr="003746B8">
        <w:t>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32 – ustęp 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w:t>
            </w:r>
            <w:r w:rsidRPr="003746B8">
              <w:tab/>
              <w:t>Europejski Bank Centralny może ułatwić realizację zadań związanych z</w:t>
            </w:r>
            <w:r w:rsidRPr="003746B8">
              <w:rPr>
                <w:b/>
                <w:i/>
              </w:rPr>
              <w:t> </w:t>
            </w:r>
            <w:r w:rsidRPr="003746B8">
              <w:t>wykrywaniem oszustw i</w:t>
            </w:r>
            <w:r w:rsidRPr="003746B8">
              <w:rPr>
                <w:b/>
                <w:i/>
              </w:rPr>
              <w:t> </w:t>
            </w:r>
            <w:r w:rsidRPr="003746B8">
              <w:t xml:space="preserve">zapobieganiem im, wykonywanych przez </w:t>
            </w:r>
            <w:r w:rsidRPr="003746B8">
              <w:t>dostawców usług płatniczych na podstawie dyrektywy (UE) 2015/2366, przez ustanowienie ogólnego mechanizmu wykrywania oszustw i</w:t>
            </w:r>
            <w:r w:rsidRPr="003746B8">
              <w:rPr>
                <w:b/>
                <w:i/>
              </w:rPr>
              <w:t> </w:t>
            </w:r>
            <w:r w:rsidRPr="003746B8">
              <w:t>zapobiegania im w</w:t>
            </w:r>
            <w:r w:rsidRPr="003746B8">
              <w:rPr>
                <w:b/>
                <w:i/>
              </w:rPr>
              <w:t> </w:t>
            </w:r>
            <w:r w:rsidRPr="003746B8">
              <w:t>odniesieniu do transakcji w</w:t>
            </w:r>
            <w:r w:rsidRPr="003746B8">
              <w:rPr>
                <w:b/>
                <w:i/>
              </w:rPr>
              <w:t> </w:t>
            </w:r>
            <w:r w:rsidRPr="003746B8">
              <w:t>cyfrowym euro dokonywanych w</w:t>
            </w:r>
            <w:r w:rsidRPr="003746B8">
              <w:rPr>
                <w:b/>
                <w:i/>
              </w:rPr>
              <w:t> </w:t>
            </w:r>
            <w:r w:rsidRPr="003746B8">
              <w:t>trybie online, aby zapewnić sprawne i</w:t>
            </w:r>
            <w:r w:rsidRPr="003746B8">
              <w:rPr>
                <w:b/>
                <w:i/>
              </w:rPr>
              <w:t> </w:t>
            </w:r>
            <w:r w:rsidRPr="003746B8">
              <w:t>skuteczne funkcj</w:t>
            </w:r>
            <w:r w:rsidRPr="003746B8">
              <w:t>onowanie cyfrowego euro. Ten ogólny mechanizm wykrywania oszustw i zapobiegania im może być obsługiwany bezpośrednio przez Europejski Bank Centralny lub przez dostawców usług wsparcia wyznaczonych przez Europejski Bank Centralny.</w:t>
            </w:r>
          </w:p>
        </w:tc>
        <w:tc>
          <w:tcPr>
            <w:tcW w:w="4876" w:type="dxa"/>
            <w:hideMark/>
          </w:tcPr>
          <w:p w:rsidR="002F7FE1" w:rsidRPr="003746B8" w:rsidRDefault="00B029A7" w:rsidP="000462E9">
            <w:pPr>
              <w:pStyle w:val="Normal6"/>
              <w:rPr>
                <w:szCs w:val="24"/>
              </w:rPr>
            </w:pPr>
            <w:r w:rsidRPr="003746B8">
              <w:t>1.</w:t>
            </w:r>
            <w:r w:rsidRPr="003746B8">
              <w:tab/>
              <w:t>Europejski Bank Central</w:t>
            </w:r>
            <w:r w:rsidRPr="003746B8">
              <w:t>ny może ułatwić realizację zadań związanych z</w:t>
            </w:r>
            <w:r w:rsidRPr="003746B8">
              <w:rPr>
                <w:b/>
                <w:i/>
              </w:rPr>
              <w:t xml:space="preserve"> </w:t>
            </w:r>
            <w:r w:rsidRPr="003746B8">
              <w:t>wykrywaniem oszustw i</w:t>
            </w:r>
            <w:r w:rsidRPr="003746B8">
              <w:rPr>
                <w:b/>
                <w:i/>
              </w:rPr>
              <w:t xml:space="preserve"> </w:t>
            </w:r>
            <w:r w:rsidRPr="003746B8">
              <w:t>zapobieganiem im, wykonywanych przez dostawców usług płatniczych na podstawie dyrektywy (UE) 2015/2366, przez ustanowienie ogólnego mechanizmu wykrywania oszustw i</w:t>
            </w:r>
            <w:r w:rsidRPr="003746B8">
              <w:rPr>
                <w:b/>
                <w:i/>
              </w:rPr>
              <w:t xml:space="preserve"> </w:t>
            </w:r>
            <w:r w:rsidRPr="003746B8">
              <w:t>zapobiegania im w</w:t>
            </w:r>
            <w:r w:rsidRPr="003746B8">
              <w:rPr>
                <w:b/>
                <w:i/>
              </w:rPr>
              <w:t xml:space="preserve"> </w:t>
            </w:r>
            <w:r w:rsidRPr="003746B8">
              <w:t>odnies</w:t>
            </w:r>
            <w:r w:rsidRPr="003746B8">
              <w:t>ieniu do transakcji w</w:t>
            </w:r>
            <w:r w:rsidRPr="003746B8">
              <w:rPr>
                <w:b/>
                <w:i/>
              </w:rPr>
              <w:t xml:space="preserve"> </w:t>
            </w:r>
            <w:r w:rsidRPr="003746B8">
              <w:t>cyfrowym euro dokonywanych w</w:t>
            </w:r>
            <w:r w:rsidRPr="003746B8">
              <w:rPr>
                <w:b/>
                <w:i/>
              </w:rPr>
              <w:t xml:space="preserve"> </w:t>
            </w:r>
            <w:r w:rsidRPr="003746B8">
              <w:t>trybie online, aby zapewnić sprawne i</w:t>
            </w:r>
            <w:r w:rsidRPr="003746B8">
              <w:rPr>
                <w:b/>
                <w:i/>
              </w:rPr>
              <w:t xml:space="preserve"> </w:t>
            </w:r>
            <w:r w:rsidRPr="003746B8">
              <w:t>skuteczne funkcjonowanie cyfrowego euro</w:t>
            </w:r>
            <w:r w:rsidRPr="003746B8">
              <w:rPr>
                <w:b/>
                <w:i/>
              </w:rPr>
              <w:t>, a jednocześnie zagwarantować odpowiednie zabezpieczenia, dzięki którym przetwarzanie będzie zgodne z zasadą konieczności i pro</w:t>
            </w:r>
            <w:r w:rsidRPr="003746B8">
              <w:rPr>
                <w:b/>
                <w:i/>
              </w:rPr>
              <w:t>porcjonalności oraz z poszanowaniem odpowiednich ograniczeń przechowywania</w:t>
            </w:r>
            <w:r w:rsidRPr="003746B8">
              <w:t xml:space="preserve">. Ten ogólny mechanizm wykrywania oszustw i zapobiegania im może być obsługiwany bezpośrednio przez Europejski Bank Centralny lub przez </w:t>
            </w:r>
            <w:r w:rsidRPr="003746B8">
              <w:lastRenderedPageBreak/>
              <w:t>dostawców usług wsparcia wyznaczonych przez Eu</w:t>
            </w:r>
            <w:r w:rsidRPr="003746B8">
              <w:t>ropejski Bank Centralny.</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65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32 – ustęp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 xml:space="preserve">Przed opracowaniem szczegółowych </w:t>
            </w:r>
            <w:r w:rsidRPr="003746B8">
              <w:t>specyfikacji elementów operacyjnych mechanizmu wykrywania oszustw i zapobiegania im Europejski Bank Centralny konsultuje się z Europejskim Inspektorem Ochrony Danych.</w:t>
            </w:r>
          </w:p>
        </w:tc>
        <w:tc>
          <w:tcPr>
            <w:tcW w:w="4876" w:type="dxa"/>
            <w:hideMark/>
          </w:tcPr>
          <w:p w:rsidR="002F7FE1" w:rsidRPr="003746B8" w:rsidRDefault="00B029A7" w:rsidP="000462E9">
            <w:pPr>
              <w:pStyle w:val="Normal6"/>
              <w:rPr>
                <w:szCs w:val="24"/>
              </w:rPr>
            </w:pPr>
            <w:r w:rsidRPr="003746B8">
              <w:t>2.</w:t>
            </w:r>
            <w:r w:rsidRPr="003746B8">
              <w:tab/>
              <w:t>Przed opracowaniem szczegółowych specyfikacji elementów operacyjnych mechanizmu wykryw</w:t>
            </w:r>
            <w:r w:rsidRPr="003746B8">
              <w:t>ania oszustw i zapobiegania im Europejski Bank Centralny konsultuje się z Europejskim Inspektorem Ochrony Danych</w:t>
            </w:r>
            <w:r w:rsidRPr="003746B8">
              <w:rPr>
                <w:b/>
                <w:i/>
              </w:rPr>
              <w:t xml:space="preserve"> i Urzędem ds. Przeciwdziałania Praniu Pieniędzy</w:t>
            </w:r>
            <w:r w:rsidRPr="003746B8">
              <w:t>.</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66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32 – ustęp 4</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w:t>
            </w:r>
            <w:r w:rsidRPr="003746B8">
              <w:tab/>
              <w:t>Do celów niniejszego artykułu dostawcy usług płatniczych przekazują na potrzeby mechanizmu wykrywania oszustw i zapobiegania im informacje, o których mowa w </w:t>
            </w:r>
            <w:r w:rsidRPr="003746B8">
              <w:t xml:space="preserve">załączniku V. Dostawcy usług płatniczych wdrażają odpowiednie środki techniczne i organizacyjne, w tym najnowocześniejsze środki bezpieczeństwa i ochrony prywatności, w celu zapewnienia, aby </w:t>
            </w:r>
            <w:r w:rsidRPr="003746B8">
              <w:rPr>
                <w:b/>
                <w:i/>
              </w:rPr>
              <w:t>w ramach</w:t>
            </w:r>
            <w:r w:rsidRPr="003746B8">
              <w:t xml:space="preserve"> usług wsparcia nie </w:t>
            </w:r>
            <w:r w:rsidRPr="003746B8">
              <w:rPr>
                <w:b/>
                <w:i/>
              </w:rPr>
              <w:t>można było</w:t>
            </w:r>
            <w:r w:rsidRPr="003746B8">
              <w:t xml:space="preserve"> bezpośrednio zidentyfikowa</w:t>
            </w:r>
            <w:r w:rsidRPr="003746B8">
              <w:t>ć użytkowników cyfrowego euro na podstawie informacji przekazanych na potrzeby mechanizmu wykrywania oszustw i zapobiegania im.</w:t>
            </w:r>
          </w:p>
        </w:tc>
        <w:tc>
          <w:tcPr>
            <w:tcW w:w="4876" w:type="dxa"/>
            <w:hideMark/>
          </w:tcPr>
          <w:p w:rsidR="002F7FE1" w:rsidRPr="003746B8" w:rsidRDefault="00B029A7" w:rsidP="000462E9">
            <w:pPr>
              <w:pStyle w:val="Normal6"/>
              <w:rPr>
                <w:szCs w:val="24"/>
              </w:rPr>
            </w:pPr>
            <w:r w:rsidRPr="003746B8">
              <w:t>4.</w:t>
            </w:r>
            <w:r w:rsidRPr="003746B8">
              <w:tab/>
              <w:t xml:space="preserve">Do celów niniejszego artykułu dostawcy usług płatniczych przekazują na potrzeby mechanizmu wykrywania oszustw i zapobiegania </w:t>
            </w:r>
            <w:r w:rsidRPr="003746B8">
              <w:t xml:space="preserve">im informacje, o których mowa w załączniku V. Dostawcy usług płatniczych wdrażają odpowiednie środki techniczne i organizacyjne, w tym najnowocześniejsze środki bezpieczeństwa i ochrony prywatności, w celu zapewnienia, aby </w:t>
            </w:r>
            <w:r w:rsidRPr="003746B8">
              <w:rPr>
                <w:b/>
                <w:i/>
              </w:rPr>
              <w:t>Europejski Bank Centralny ani dos</w:t>
            </w:r>
            <w:r w:rsidRPr="003746B8">
              <w:rPr>
                <w:b/>
                <w:i/>
              </w:rPr>
              <w:t>tawca</w:t>
            </w:r>
            <w:r w:rsidRPr="003746B8">
              <w:t xml:space="preserve"> usług wsparcia nie </w:t>
            </w:r>
            <w:r w:rsidRPr="003746B8">
              <w:rPr>
                <w:b/>
                <w:i/>
              </w:rPr>
              <w:t>mogli</w:t>
            </w:r>
            <w:r w:rsidRPr="003746B8">
              <w:t xml:space="preserve"> bezpośrednio zidentyfikować użytkowników cyfrowego euro na podstawie informacji przekazanych na potrzeby mechanizmu wykrywania oszustw i zapobiegania im. </w:t>
            </w:r>
            <w:r w:rsidRPr="003746B8">
              <w:rPr>
                <w:b/>
                <w:i/>
              </w:rPr>
              <w:t>Przy wdrażaniu tych środków technicznych i organizacyjnych dostawcy usł</w:t>
            </w:r>
            <w:r w:rsidRPr="003746B8">
              <w:rPr>
                <w:b/>
                <w:i/>
              </w:rPr>
              <w:t xml:space="preserve">ug płatniczych i Europejski Bank Centralny biorą pod uwagę zasady uwzględniania </w:t>
            </w:r>
            <w:r w:rsidRPr="003746B8">
              <w:rPr>
                <w:b/>
                <w:i/>
              </w:rPr>
              <w:lastRenderedPageBreak/>
              <w:t>ochrony danych w fazie projektowania i domyślnej ochrony danych określone w rozporządzeniu (UE) 2016/679 i dopilnowują, aby przetwarzanie danych osobowych odbywało się w sposób</w:t>
            </w:r>
            <w:r w:rsidRPr="003746B8">
              <w:rPr>
                <w:b/>
                <w:i/>
              </w:rPr>
              <w:t xml:space="preserve"> uniemożliwiający ich przypisanie danemu użytkownikowi cyfrowego euro bez wykorzystania dodatkowych informacji.</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67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33 – ustęp 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w:t>
            </w:r>
            <w:r w:rsidRPr="003746B8">
              <w:tab/>
              <w:t xml:space="preserve">Bez uszczerbku dla art. 6 ust. 7 rozporządzenia Parlamentu Europejskiego i Rady (UE) 2022/1925 z dnia 14 września 2022 r. w sprawie kontestowalnych i uczciwych rynków w sektorze cyfrowym oraz zmiany dyrektyw </w:t>
            </w:r>
            <w:r w:rsidRPr="003746B8">
              <w:t>(UE) 2019/1937 i (UE) 2020/1828 producenci oryginalnego sprzętu wytwarzający urządzenia mobilne i dostawcy usług łączności elektronicznej w rozumieniu art. 2 pkt 1 dyrektywy (UE) 2018/1972</w:t>
            </w:r>
            <w:r w:rsidRPr="003746B8">
              <w:rPr>
                <w:vertAlign w:val="superscript"/>
              </w:rPr>
              <w:t>47</w:t>
            </w:r>
            <w:r w:rsidRPr="003746B8">
              <w:t xml:space="preserve"> zapewniają dostawcom usług typu front-end i dostawcom europejskic</w:t>
            </w:r>
            <w:r w:rsidRPr="003746B8">
              <w:t>h portfeli tożsamości cyfrowej skuteczną interoperacyjność z funkcjami sprzętu i oprogramowania niezbędnymi do przechowywania i przekazywania danych w celu przetwarzania transakcji w cyfrowym euro dokonywanych w trybie online lub offline na sprawiedliwych,</w:t>
            </w:r>
            <w:r w:rsidRPr="003746B8">
              <w:t xml:space="preserve"> rozsądnych i niedyskryminujących warunkach, a także zapewniają im dostęp do tych funkcji do celów interoperacyjności.</w:t>
            </w:r>
          </w:p>
        </w:tc>
        <w:tc>
          <w:tcPr>
            <w:tcW w:w="4876" w:type="dxa"/>
            <w:hideMark/>
          </w:tcPr>
          <w:p w:rsidR="002F7FE1" w:rsidRPr="003746B8" w:rsidRDefault="00B029A7" w:rsidP="000462E9">
            <w:pPr>
              <w:pStyle w:val="Normal6"/>
              <w:rPr>
                <w:szCs w:val="24"/>
              </w:rPr>
            </w:pPr>
            <w:r w:rsidRPr="003746B8">
              <w:t>1.</w:t>
            </w:r>
            <w:r w:rsidRPr="003746B8">
              <w:tab/>
              <w:t>Bez uszczerbku dla art. 6 ust. 7 rozporządzenia Parlamentu Europejskiego i Rady (UE) 2022/1925 z dnia 14 września 2022 r. w sprawie ko</w:t>
            </w:r>
            <w:r w:rsidRPr="003746B8">
              <w:t>ntestowalnych i uczciwych rynków w sektorze cyfrowym oraz zmiany dyrektyw (UE) 2019/1937 i (UE) 2020/1828 producenci oryginalnego sprzętu wytwarzający urządzenia mobilne i dostawcy usług łączności elektronicznej w rozumieniu art. 2 pkt 1 dyrektywy (UE) 201</w:t>
            </w:r>
            <w:r w:rsidRPr="003746B8">
              <w:t>8/1972</w:t>
            </w:r>
            <w:r w:rsidRPr="003746B8">
              <w:rPr>
                <w:vertAlign w:val="superscript"/>
              </w:rPr>
              <w:t>47</w:t>
            </w:r>
            <w:r w:rsidRPr="003746B8">
              <w:t xml:space="preserve"> zapewniają dostawcom usług typu front-end i dostawcom europejskich portfeli tożsamości cyfrowej</w:t>
            </w:r>
            <w:r w:rsidRPr="003746B8">
              <w:rPr>
                <w:b/>
                <w:i/>
              </w:rPr>
              <w:t>, w zakresie przewidzianym w rozporządzeniu (UE) [proszę wstawić odniesienie – wniosek dotyczący rozporządzenia Parlamentu Europejskiego i Rady zmieniaj</w:t>
            </w:r>
            <w:r w:rsidRPr="003746B8">
              <w:rPr>
                <w:b/>
                <w:i/>
              </w:rPr>
              <w:t>ącego rozporządzenie (UE) nr 910/2014 w odniesieniu do ustanowienia europejskich ram tożsamości cyfrowej – COM(2021)0281 final],</w:t>
            </w:r>
            <w:r w:rsidRPr="003746B8">
              <w:t xml:space="preserve"> skuteczną interoperacyjność z funkcjami sprzętu i oprogramowania niezbędnymi do przechowywania i przekazywania danych w celu pr</w:t>
            </w:r>
            <w:r w:rsidRPr="003746B8">
              <w:t xml:space="preserve">zetwarzania transakcji w cyfrowym euro dokonywanych w trybie online lub offline na sprawiedliwych, rozsądnych i niedyskryminujących warunkach, a także zapewniają im dostęp do tych funkcji do celów interoperacyjności. </w:t>
            </w:r>
          </w:p>
        </w:tc>
      </w:tr>
      <w:tr w:rsidR="002859E2" w:rsidRPr="003746B8" w:rsidTr="000462E9">
        <w:trPr>
          <w:jc w:val="center"/>
        </w:trPr>
        <w:tc>
          <w:tcPr>
            <w:tcW w:w="4876" w:type="dxa"/>
            <w:hideMark/>
          </w:tcPr>
          <w:p w:rsidR="002F7FE1" w:rsidRPr="003746B8" w:rsidRDefault="00B029A7" w:rsidP="000462E9">
            <w:pPr>
              <w:pStyle w:val="Normal6"/>
            </w:pPr>
            <w:r w:rsidRPr="003746B8">
              <w:lastRenderedPageBreak/>
              <w:t>__________________</w:t>
            </w:r>
          </w:p>
        </w:tc>
        <w:tc>
          <w:tcPr>
            <w:tcW w:w="4876" w:type="dxa"/>
            <w:hideMark/>
          </w:tcPr>
          <w:p w:rsidR="002F7FE1" w:rsidRPr="003746B8" w:rsidRDefault="00B029A7" w:rsidP="000462E9">
            <w:pPr>
              <w:pStyle w:val="Normal6"/>
              <w:rPr>
                <w:szCs w:val="24"/>
              </w:rPr>
            </w:pPr>
            <w:r w:rsidRPr="003746B8">
              <w:t>__________________</w:t>
            </w:r>
          </w:p>
        </w:tc>
      </w:tr>
      <w:tr w:rsidR="002859E2" w:rsidRPr="003746B8" w:rsidTr="000462E9">
        <w:trPr>
          <w:jc w:val="center"/>
        </w:trPr>
        <w:tc>
          <w:tcPr>
            <w:tcW w:w="4876" w:type="dxa"/>
            <w:hideMark/>
          </w:tcPr>
          <w:p w:rsidR="002F7FE1" w:rsidRPr="003746B8" w:rsidRDefault="00B029A7" w:rsidP="000462E9">
            <w:pPr>
              <w:pStyle w:val="Normal6"/>
            </w:pPr>
            <w:r w:rsidRPr="003746B8">
              <w:rPr>
                <w:vertAlign w:val="superscript"/>
              </w:rPr>
              <w:t>47</w:t>
            </w:r>
            <w:r w:rsidRPr="003746B8">
              <w:t xml:space="preserve"> Dyrektywa Parlamentu Europejskiego i Rady (UE) 2018/1972 z dnia 11 grudnia 2018 r. ustanawiająca Europejski kodeks łączności elektronicznej, Dz.U. L 321 z 17.12.2018, s. 36.</w:t>
            </w:r>
          </w:p>
        </w:tc>
        <w:tc>
          <w:tcPr>
            <w:tcW w:w="4876" w:type="dxa"/>
            <w:hideMark/>
          </w:tcPr>
          <w:p w:rsidR="002F7FE1" w:rsidRPr="003746B8" w:rsidRDefault="00B029A7" w:rsidP="000462E9">
            <w:pPr>
              <w:pStyle w:val="Normal6"/>
              <w:rPr>
                <w:szCs w:val="24"/>
              </w:rPr>
            </w:pPr>
            <w:r w:rsidRPr="003746B8">
              <w:rPr>
                <w:vertAlign w:val="superscript"/>
              </w:rPr>
              <w:t>47</w:t>
            </w:r>
            <w:r w:rsidRPr="003746B8">
              <w:t xml:space="preserve"> Dyrektywa Parlamentu Europejskiego i Rady (UE) 2018/1972 z dnia 11 grudnia</w:t>
            </w:r>
            <w:r w:rsidRPr="003746B8">
              <w:t xml:space="preserve"> 2018 r. ustanawiająca Europejski kodeks łączności elektronicznej, Dz.U. L 321 z 17.12.2018, s. 36.</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68</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34 – ustęp 1 – akapit 1 – wprowadzenie</w:t>
      </w:r>
      <w:r w:rsidRPr="003746B8">
        <w:rPr>
          <w:rStyle w:val="HideTWBExt"/>
          <w:b w:val="0"/>
        </w:rPr>
        <w:t>&lt;</w:t>
      </w:r>
      <w:r w:rsidRPr="003746B8">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 xml:space="preserve">Dostawcy usług płatniczych </w:t>
            </w:r>
            <w:r w:rsidRPr="003746B8">
              <w:rPr>
                <w:b/>
                <w:i/>
              </w:rPr>
              <w:t xml:space="preserve">wykonują zadanie w interesie publicznym, w przypadku gdy </w:t>
            </w:r>
            <w:r w:rsidRPr="003746B8">
              <w:t>przetwarzają dane osobowe do następujących celów:</w:t>
            </w:r>
          </w:p>
        </w:tc>
        <w:tc>
          <w:tcPr>
            <w:tcW w:w="4876" w:type="dxa"/>
            <w:hideMark/>
          </w:tcPr>
          <w:p w:rsidR="002F7FE1" w:rsidRPr="003746B8" w:rsidRDefault="00B029A7" w:rsidP="000462E9">
            <w:pPr>
              <w:pStyle w:val="Normal6"/>
              <w:rPr>
                <w:szCs w:val="24"/>
              </w:rPr>
            </w:pPr>
            <w:r w:rsidRPr="003746B8">
              <w:t>Dostawcy usług płatniczych przetwarzają dane osobowe</w:t>
            </w:r>
            <w:r w:rsidRPr="003746B8">
              <w:rPr>
                <w:b/>
                <w:i/>
              </w:rPr>
              <w:t xml:space="preserve"> wyłącznie</w:t>
            </w:r>
            <w:r w:rsidRPr="003746B8">
              <w:t xml:space="preserve"> do następujących celów:</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69</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34 – ustęp 1 – akapit 1 – litera a</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a)</w:t>
            </w:r>
            <w:r w:rsidRPr="003746B8">
              <w:tab/>
            </w:r>
            <w:r w:rsidRPr="003746B8">
              <w:t xml:space="preserve">egzekwowanie ograniczeń, </w:t>
            </w:r>
            <w:r w:rsidRPr="003746B8">
              <w:rPr>
                <w:b/>
                <w:i/>
              </w:rPr>
              <w:t>w tym weryfikowanie</w:t>
            </w:r>
            <w:r w:rsidRPr="003746B8">
              <w:t>, czy potencjalni lub obecni użytkownicy cyfrowego euro posiadają rachunki w cyfrowym euro u innych dostawców usług płatniczych, jak przewidziano w art. 16;</w:t>
            </w:r>
          </w:p>
        </w:tc>
        <w:tc>
          <w:tcPr>
            <w:tcW w:w="4876" w:type="dxa"/>
            <w:hideMark/>
          </w:tcPr>
          <w:p w:rsidR="002F7FE1" w:rsidRPr="003746B8" w:rsidRDefault="00B029A7" w:rsidP="000462E9">
            <w:pPr>
              <w:pStyle w:val="Normal6"/>
              <w:rPr>
                <w:szCs w:val="24"/>
              </w:rPr>
            </w:pPr>
            <w:r w:rsidRPr="003746B8">
              <w:t>a)</w:t>
            </w:r>
            <w:r w:rsidRPr="003746B8">
              <w:tab/>
              <w:t xml:space="preserve">egzekwowanie ograniczeń, </w:t>
            </w:r>
            <w:r w:rsidRPr="003746B8">
              <w:rPr>
                <w:b/>
                <w:i/>
              </w:rPr>
              <w:t>jeśli zostaną ustanowione z</w:t>
            </w:r>
            <w:r w:rsidRPr="003746B8">
              <w:rPr>
                <w:b/>
                <w:i/>
              </w:rPr>
              <w:t>godnie z art. 15 niniejszego rozporządzenia, wraz z weryfikowaniem</w:t>
            </w:r>
            <w:r w:rsidRPr="003746B8">
              <w:t>, czy potencjalni lub obecni użytkownicy cyfrowego euro posiadają rachunki w cyfrowym euro u innych dostawców usług płatniczych, jak przewidziano w art. 16;</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w:t>
      </w:r>
      <w:r w:rsidRPr="003746B8">
        <w:rPr>
          <w:rStyle w:val="HideTWBExt"/>
          <w:b w:val="0"/>
        </w:rPr>
        <w:t>&gt;</w:t>
      </w:r>
      <w:r w:rsidRPr="003746B8">
        <w:t>70</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34 – ustęp 1 – akapit 1 – litera c</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c)</w:t>
            </w:r>
            <w:r w:rsidRPr="003746B8">
              <w:tab/>
              <w:t xml:space="preserve">dostarczanie cyfrowego euro w trybie offline, </w:t>
            </w:r>
            <w:r w:rsidRPr="003746B8">
              <w:rPr>
                <w:b/>
                <w:i/>
              </w:rPr>
              <w:t>w tym rejestrowanie</w:t>
            </w:r>
            <w:r w:rsidRPr="003746B8">
              <w:t xml:space="preserve"> i </w:t>
            </w:r>
            <w:r w:rsidRPr="003746B8">
              <w:rPr>
                <w:b/>
                <w:i/>
              </w:rPr>
              <w:t>wyrejestrowywanie</w:t>
            </w:r>
            <w:r w:rsidRPr="003746B8">
              <w:t xml:space="preserve"> lokalnych urządzeń </w:t>
            </w:r>
            <w:r w:rsidRPr="003746B8">
              <w:lastRenderedPageBreak/>
              <w:t>pamięciowych, jak określono w załączniku I lit. b);</w:t>
            </w:r>
          </w:p>
        </w:tc>
        <w:tc>
          <w:tcPr>
            <w:tcW w:w="4876" w:type="dxa"/>
            <w:hideMark/>
          </w:tcPr>
          <w:p w:rsidR="002F7FE1" w:rsidRPr="003746B8" w:rsidRDefault="00B029A7" w:rsidP="000462E9">
            <w:pPr>
              <w:pStyle w:val="Normal6"/>
              <w:rPr>
                <w:szCs w:val="24"/>
              </w:rPr>
            </w:pPr>
            <w:r w:rsidRPr="003746B8">
              <w:lastRenderedPageBreak/>
              <w:t>c)</w:t>
            </w:r>
            <w:r w:rsidRPr="003746B8">
              <w:tab/>
              <w:t xml:space="preserve">dostarczanie cyfrowego euro w trybie offline, </w:t>
            </w:r>
            <w:r w:rsidRPr="003746B8">
              <w:rPr>
                <w:b/>
                <w:i/>
              </w:rPr>
              <w:t>wraz z rejestrowaniem</w:t>
            </w:r>
            <w:r w:rsidRPr="003746B8">
              <w:t xml:space="preserve"> i </w:t>
            </w:r>
            <w:r w:rsidRPr="003746B8">
              <w:rPr>
                <w:b/>
                <w:i/>
              </w:rPr>
              <w:t>wyrejestrowywaniem</w:t>
            </w:r>
            <w:r w:rsidRPr="003746B8">
              <w:t xml:space="preserve"> lokalnych urządzeń </w:t>
            </w:r>
            <w:r w:rsidRPr="003746B8">
              <w:lastRenderedPageBreak/>
              <w:t>pamięciowych, jak określono w załączniku I lit. b);</w:t>
            </w:r>
          </w:p>
        </w:tc>
      </w:tr>
    </w:tbl>
    <w:p w:rsidR="002F7FE1" w:rsidRPr="003746B8" w:rsidRDefault="00B029A7" w:rsidP="002F7FE1">
      <w:r w:rsidRPr="003746B8">
        <w:rPr>
          <w:rStyle w:val="HideTWBExt"/>
        </w:rPr>
        <w:lastRenderedPageBreak/>
        <w:t>&lt;/A</w:t>
      </w:r>
      <w:r w:rsidRPr="003746B8">
        <w:rPr>
          <w:rStyle w:val="HideTWBExt"/>
        </w:rPr>
        <w:t>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71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34 – ustęp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 xml:space="preserve">Do celów, o których mowa w ust. 1 lit. a)–c) niniejszego artykułu, </w:t>
            </w:r>
            <w:r w:rsidRPr="003746B8">
              <w:t>rodzaje danych osobowych określono w załączniku III.</w:t>
            </w:r>
          </w:p>
        </w:tc>
        <w:tc>
          <w:tcPr>
            <w:tcW w:w="4876" w:type="dxa"/>
            <w:hideMark/>
          </w:tcPr>
          <w:p w:rsidR="002F7FE1" w:rsidRPr="003746B8" w:rsidRDefault="00B029A7" w:rsidP="000462E9">
            <w:pPr>
              <w:pStyle w:val="Normal6"/>
              <w:rPr>
                <w:szCs w:val="24"/>
              </w:rPr>
            </w:pPr>
            <w:r w:rsidRPr="003746B8">
              <w:t>2.</w:t>
            </w:r>
            <w:r w:rsidRPr="003746B8">
              <w:tab/>
              <w:t>Do celów, o których mowa w ust. 1 lit. a)–c) niniejszego artykułu, rodzaje danych osobowych</w:t>
            </w:r>
            <w:r w:rsidRPr="003746B8">
              <w:rPr>
                <w:b/>
                <w:i/>
              </w:rPr>
              <w:t>, które można przetwarzać,</w:t>
            </w:r>
            <w:r w:rsidRPr="003746B8">
              <w:t xml:space="preserve"> określono w załączniku III. </w:t>
            </w:r>
            <w:r w:rsidRPr="003746B8">
              <w:rPr>
                <w:b/>
                <w:i/>
              </w:rPr>
              <w:t xml:space="preserve">Do celów, o których mowa w ust. 1 lit. d) i e), </w:t>
            </w:r>
            <w:r w:rsidRPr="003746B8">
              <w:rPr>
                <w:b/>
                <w:i/>
              </w:rPr>
              <w:t>Komisja jest uprawniona do zdefiniowania wszystkich rodzajów danych osobowych, które można przetwarzać, za pomocą aktów delegowanych zgodnie z ust. 3.</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72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34 – ustęp 3 – akapit 1</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Komisja jest uprawniona do przyjęcia aktów delegowanych zgodnie z</w:t>
            </w:r>
            <w:r w:rsidRPr="003746B8">
              <w:rPr>
                <w:b/>
                <w:i/>
              </w:rPr>
              <w:t> </w:t>
            </w:r>
            <w:r w:rsidRPr="003746B8">
              <w:t>art.</w:t>
            </w:r>
            <w:r w:rsidRPr="003746B8">
              <w:rPr>
                <w:b/>
                <w:i/>
              </w:rPr>
              <w:t> </w:t>
            </w:r>
            <w:r w:rsidRPr="003746B8">
              <w:t>38 w</w:t>
            </w:r>
            <w:r w:rsidRPr="003746B8">
              <w:rPr>
                <w:b/>
                <w:i/>
              </w:rPr>
              <w:t> </w:t>
            </w:r>
            <w:r w:rsidRPr="003746B8">
              <w:t>celu uzupełnienia rodzajów danych osobowych wymienionych w</w:t>
            </w:r>
            <w:r w:rsidRPr="003746B8">
              <w:rPr>
                <w:b/>
                <w:i/>
              </w:rPr>
              <w:t> </w:t>
            </w:r>
            <w:r w:rsidRPr="003746B8">
              <w:t>załączniku III.</w:t>
            </w:r>
          </w:p>
        </w:tc>
        <w:tc>
          <w:tcPr>
            <w:tcW w:w="4876" w:type="dxa"/>
            <w:hideMark/>
          </w:tcPr>
          <w:p w:rsidR="002F7FE1" w:rsidRPr="003746B8" w:rsidRDefault="00B029A7" w:rsidP="000462E9">
            <w:pPr>
              <w:pStyle w:val="Normal6"/>
              <w:rPr>
                <w:szCs w:val="24"/>
              </w:rPr>
            </w:pPr>
            <w:r w:rsidRPr="003746B8">
              <w:t>Komisja je</w:t>
            </w:r>
            <w:r w:rsidRPr="003746B8">
              <w:t>st uprawniona do przyjęcia aktów delegowanych zgodnie z</w:t>
            </w:r>
            <w:r w:rsidRPr="003746B8">
              <w:rPr>
                <w:b/>
                <w:i/>
              </w:rPr>
              <w:t xml:space="preserve"> </w:t>
            </w:r>
            <w:r w:rsidRPr="003746B8">
              <w:t>art.</w:t>
            </w:r>
            <w:r w:rsidRPr="003746B8">
              <w:rPr>
                <w:b/>
                <w:i/>
              </w:rPr>
              <w:t xml:space="preserve"> </w:t>
            </w:r>
            <w:r w:rsidRPr="003746B8">
              <w:t>38 w</w:t>
            </w:r>
            <w:r w:rsidRPr="003746B8">
              <w:rPr>
                <w:b/>
                <w:i/>
              </w:rPr>
              <w:t xml:space="preserve"> </w:t>
            </w:r>
            <w:r w:rsidRPr="003746B8">
              <w:t xml:space="preserve">celu uzupełnienia </w:t>
            </w:r>
            <w:r w:rsidRPr="003746B8">
              <w:rPr>
                <w:b/>
                <w:i/>
              </w:rPr>
              <w:t xml:space="preserve">i wyjaśnienia </w:t>
            </w:r>
            <w:r w:rsidRPr="003746B8">
              <w:t>rodzajów danych osobowych wymienionych w</w:t>
            </w:r>
            <w:r w:rsidRPr="003746B8">
              <w:rPr>
                <w:b/>
                <w:i/>
              </w:rPr>
              <w:t xml:space="preserve"> </w:t>
            </w:r>
            <w:r w:rsidRPr="003746B8">
              <w:t>załączniku III</w:t>
            </w:r>
            <w:r w:rsidRPr="003746B8">
              <w:rPr>
                <w:b/>
                <w:i/>
              </w:rPr>
              <w:t>, przy czym sporządza jednocześnie kompletny i zamknięty wykaz danych osobowych, które mają być przetwa</w:t>
            </w:r>
            <w:r w:rsidRPr="003746B8">
              <w:rPr>
                <w:b/>
                <w:i/>
              </w:rPr>
              <w:t>rzane w określonym celu</w:t>
            </w:r>
            <w:r w:rsidRPr="003746B8">
              <w:t>.</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73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34 – ustęp 4</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w:t>
            </w:r>
            <w:r w:rsidRPr="003746B8">
              <w:tab/>
              <w:t xml:space="preserve">Dostawcy usług płatniczych </w:t>
            </w:r>
            <w:r w:rsidRPr="003746B8">
              <w:lastRenderedPageBreak/>
              <w:t xml:space="preserve">wdrażają </w:t>
            </w:r>
            <w:r w:rsidRPr="003746B8">
              <w:t>odpowiednie środki techniczne i organizacyjne, w tym najnowocześniejsze środki bezpieczeństwa i ochrony prywatności, w celu zapewnienia, aby na podstawie wszelkich danych przekazywanych Europejskiemu Bankowi Centralnemu i krajowym bankom centralnym lub dos</w:t>
            </w:r>
            <w:r w:rsidRPr="003746B8">
              <w:t>tawcom usług wsparcia nie można było bezpośrednio zidentyfikować poszczególnych użytkowników cyfrowego euro.</w:t>
            </w:r>
          </w:p>
        </w:tc>
        <w:tc>
          <w:tcPr>
            <w:tcW w:w="4876" w:type="dxa"/>
            <w:hideMark/>
          </w:tcPr>
          <w:p w:rsidR="002F7FE1" w:rsidRPr="003746B8" w:rsidRDefault="00B029A7" w:rsidP="000462E9">
            <w:pPr>
              <w:pStyle w:val="Normal6"/>
              <w:rPr>
                <w:szCs w:val="24"/>
              </w:rPr>
            </w:pPr>
            <w:r w:rsidRPr="003746B8">
              <w:lastRenderedPageBreak/>
              <w:t>4.</w:t>
            </w:r>
            <w:r w:rsidRPr="003746B8">
              <w:tab/>
              <w:t xml:space="preserve">Dostawcy usług płatniczych </w:t>
            </w:r>
            <w:r w:rsidRPr="003746B8">
              <w:lastRenderedPageBreak/>
              <w:t>wdrażają odpowiednie środki techniczne i organizacyjne, w tym najnowocześniejsze środki bezpieczeństwa i ochrony pryw</w:t>
            </w:r>
            <w:r w:rsidRPr="003746B8">
              <w:t>atności, w celu zapewnienia, aby na podstawie wszelkich danych przekazywanych Europejskiemu Bankowi Centralnemu i krajowym bankom centralnym lub dostawcom usług wsparcia nie można było bezpośrednio zidentyfikować poszczególnych użytkowników cyfrowego euro.</w:t>
            </w:r>
            <w:r w:rsidRPr="003746B8">
              <w:t xml:space="preserve"> </w:t>
            </w:r>
            <w:r w:rsidRPr="003746B8">
              <w:rPr>
                <w:b/>
                <w:i/>
              </w:rPr>
              <w:t>W szczególności środki takie zapewniają pseudonimizację danych osobowych w taki sposób, aby dane te nie mogły być już przypisane przez Europejski Bank Centralny lub krajowe banki centralne do poszczególnych użytkowników cyfrowego euro bez wykorzystania do</w:t>
            </w:r>
            <w:r w:rsidRPr="003746B8">
              <w:rPr>
                <w:b/>
                <w:i/>
              </w:rPr>
              <w:t>datkowych informacji. Przy wdrażaniu tych środków technicznych i organizacyjnych dostawcy usług płatniczych stosują zasady uwzględniania ochrony danych w fazie projektowania i domyślnej ochrony danych określone w rozporządzeniu (UE) 2016/679.</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74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34 – ustęp 4 a (nowy)</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4a.</w:t>
            </w:r>
            <w:r w:rsidRPr="003746B8">
              <w:rPr>
                <w:b/>
                <w:i/>
              </w:rPr>
              <w:tab/>
              <w:t>Niniejszy artykuł pozostaje bez uszczerbku dla dodatkowych usług opr</w:t>
            </w:r>
            <w:r w:rsidRPr="003746B8">
              <w:rPr>
                <w:b/>
                <w:i/>
              </w:rPr>
              <w:t>acowanych i świadczonych przez dostawców usług płatniczych oprócz podstawowych usług płatniczych związanych z cyfrowym euro oraz podlegających dyrektywie (UE) 2015/2366, na potrzeby których przetwarzane są dane osobowe zgodnie z art. 6 ust. 1 lit. a) lub b</w:t>
            </w:r>
            <w:r w:rsidRPr="003746B8">
              <w:rPr>
                <w:b/>
                <w:i/>
              </w:rPr>
              <w:t>) rozporządzenia (UE) 2016/679.</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lastRenderedPageBreak/>
        <w:t>&lt;Amend&gt;</w:t>
      </w:r>
      <w:r w:rsidRPr="003746B8">
        <w:t>Poprawka</w:t>
      </w:r>
      <w:r w:rsidRPr="003746B8">
        <w:tab/>
      </w:r>
      <w:r w:rsidRPr="003746B8">
        <w:tab/>
      </w:r>
      <w:r w:rsidRPr="003746B8">
        <w:rPr>
          <w:rStyle w:val="HideTWBExt"/>
          <w:b w:val="0"/>
        </w:rPr>
        <w:t>&lt;NumAm&gt;</w:t>
      </w:r>
      <w:r w:rsidRPr="003746B8">
        <w:t>75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35 – ustęp 1 – wprowadzenie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w:t>
            </w:r>
            <w:r w:rsidRPr="003746B8">
              <w:tab/>
              <w:t xml:space="preserve">Europejski Bank </w:t>
            </w:r>
            <w:r w:rsidRPr="003746B8">
              <w:t>Centralny i krajowe banki centralne wykonują zadanie w interesie publicznym lub wykonują władzę publiczną, w przypadku gdy przetwarzają dane osobowe do następujących celów:</w:t>
            </w:r>
          </w:p>
        </w:tc>
        <w:tc>
          <w:tcPr>
            <w:tcW w:w="4876" w:type="dxa"/>
            <w:hideMark/>
          </w:tcPr>
          <w:p w:rsidR="002F7FE1" w:rsidRPr="003746B8" w:rsidRDefault="00B029A7" w:rsidP="000462E9">
            <w:pPr>
              <w:pStyle w:val="Normal6"/>
              <w:rPr>
                <w:szCs w:val="24"/>
              </w:rPr>
            </w:pPr>
            <w:r w:rsidRPr="003746B8">
              <w:t>1.</w:t>
            </w:r>
            <w:r w:rsidRPr="003746B8">
              <w:tab/>
              <w:t>Europejski Bank Centralny i krajowe banki centralne wykonują zadanie w interesie</w:t>
            </w:r>
            <w:r w:rsidRPr="003746B8">
              <w:t xml:space="preserve"> publicznym lub wykonują władzę publiczną, </w:t>
            </w:r>
            <w:r w:rsidRPr="003746B8">
              <w:rPr>
                <w:b/>
                <w:i/>
              </w:rPr>
              <w:t xml:space="preserve">zgodnie z art. 6 ust. 1 lit. e) rozporządzenia (UE) 2016/679 lub art. 5 ust. 1 lit. a) rozporządzenia (UE) 2018/1725, </w:t>
            </w:r>
            <w:r w:rsidRPr="003746B8">
              <w:t>w przypadku gdy przetwarzają dane osobowe do następujących celów:</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w:t>
      </w:r>
      <w:r w:rsidRPr="003746B8">
        <w:rPr>
          <w:rStyle w:val="HideTWBExt"/>
          <w:b w:val="0"/>
        </w:rPr>
        <w:t>umAm&gt;</w:t>
      </w:r>
      <w:r w:rsidRPr="003746B8">
        <w:t>76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35 – ustęp 1 – litera c</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c)</w:t>
            </w:r>
            <w:r w:rsidRPr="003746B8">
              <w:tab/>
              <w:t xml:space="preserve">gwarantowanie bezpieczeństwa i integralności infrastruktury rozrachunkowej służącej do </w:t>
            </w:r>
            <w:r w:rsidRPr="003746B8">
              <w:t>obsługi cyfrowego euro oraz lokalnych urządzeń pamięciowych;</w:t>
            </w:r>
          </w:p>
        </w:tc>
        <w:tc>
          <w:tcPr>
            <w:tcW w:w="4876" w:type="dxa"/>
            <w:hideMark/>
          </w:tcPr>
          <w:p w:rsidR="002F7FE1" w:rsidRPr="003746B8" w:rsidRDefault="00B029A7" w:rsidP="000462E9">
            <w:pPr>
              <w:pStyle w:val="Normal6"/>
              <w:rPr>
                <w:szCs w:val="24"/>
              </w:rPr>
            </w:pPr>
            <w:r w:rsidRPr="003746B8">
              <w:t>c)</w:t>
            </w:r>
            <w:r w:rsidRPr="003746B8">
              <w:tab/>
              <w:t xml:space="preserve">gwarantowanie bezpieczeństwa i integralności infrastruktury rozrachunkowej służącej do obsługi cyfrowego euro oraz </w:t>
            </w:r>
            <w:r w:rsidRPr="003746B8">
              <w:rPr>
                <w:b/>
                <w:i/>
              </w:rPr>
              <w:t xml:space="preserve">przeprowadzanie analizy fałszerstw względem </w:t>
            </w:r>
            <w:r w:rsidRPr="003746B8">
              <w:t>lokalnych urządzeń pamięciowych;</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77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35 – ustęp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Do celów, o których mowa w ust. 1, rodzaje danych osobowych określono</w:t>
            </w:r>
            <w:r w:rsidRPr="003746B8">
              <w:t xml:space="preserve"> w załączniku IV.</w:t>
            </w:r>
          </w:p>
        </w:tc>
        <w:tc>
          <w:tcPr>
            <w:tcW w:w="4876" w:type="dxa"/>
            <w:hideMark/>
          </w:tcPr>
          <w:p w:rsidR="002F7FE1" w:rsidRPr="003746B8" w:rsidRDefault="00B029A7" w:rsidP="000462E9">
            <w:pPr>
              <w:pStyle w:val="Normal6"/>
              <w:rPr>
                <w:szCs w:val="24"/>
              </w:rPr>
            </w:pPr>
            <w:r w:rsidRPr="003746B8">
              <w:t>2.</w:t>
            </w:r>
            <w:r w:rsidRPr="003746B8">
              <w:tab/>
              <w:t>Do celów, o których mowa w ust. 1, rodzaje danych osobowych</w:t>
            </w:r>
            <w:r w:rsidRPr="003746B8">
              <w:rPr>
                <w:b/>
                <w:i/>
              </w:rPr>
              <w:t>, które można przetwarzać,</w:t>
            </w:r>
            <w:r w:rsidRPr="003746B8">
              <w:t xml:space="preserve"> określono w załączniku IV.</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78</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lastRenderedPageBreak/>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 xml:space="preserve">Artykuł 35 – </w:t>
      </w:r>
      <w:r w:rsidRPr="003746B8">
        <w:t>ustęp 3</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w:t>
            </w:r>
            <w:r w:rsidRPr="003746B8">
              <w:tab/>
              <w:t>Komisja jest uprawniona do przyjęcia aktów delegowanych zgodnie z art. 38 w celu uzupełnienia rodzajów danych osobowych wymienionych w załączniku IV</w:t>
            </w:r>
            <w:r w:rsidRPr="003746B8">
              <w:rPr>
                <w:b/>
                <w:i/>
              </w:rPr>
              <w:t xml:space="preserve">. </w:t>
            </w:r>
          </w:p>
        </w:tc>
        <w:tc>
          <w:tcPr>
            <w:tcW w:w="4876" w:type="dxa"/>
            <w:hideMark/>
          </w:tcPr>
          <w:p w:rsidR="002F7FE1" w:rsidRPr="003746B8" w:rsidRDefault="00B029A7" w:rsidP="000462E9">
            <w:pPr>
              <w:pStyle w:val="Normal6"/>
              <w:rPr>
                <w:szCs w:val="24"/>
              </w:rPr>
            </w:pPr>
            <w:r w:rsidRPr="003746B8">
              <w:t>3.</w:t>
            </w:r>
            <w:r w:rsidRPr="003746B8">
              <w:tab/>
            </w:r>
            <w:r w:rsidRPr="003746B8">
              <w:t xml:space="preserve">Komisja jest uprawniona do przyjęcia aktów delegowanych zgodnie z art. 38 w celu uzupełnienia </w:t>
            </w:r>
            <w:r w:rsidRPr="003746B8">
              <w:rPr>
                <w:b/>
                <w:i/>
              </w:rPr>
              <w:t xml:space="preserve">i wyjaśnienia </w:t>
            </w:r>
            <w:r w:rsidRPr="003746B8">
              <w:t>rodzajów danych osobowych wymienionych w załączniku IV</w:t>
            </w:r>
            <w:r w:rsidRPr="003746B8">
              <w:rPr>
                <w:b/>
                <w:i/>
              </w:rPr>
              <w:t>, przy czym sporządza jednocześnie kompletny i zamknięty wykaz danych osobowych, które mają by</w:t>
            </w:r>
            <w:r w:rsidRPr="003746B8">
              <w:rPr>
                <w:b/>
                <w:i/>
              </w:rPr>
              <w:t>ć przetwarzane w określonym celu.</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79</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35 – ustęp 4</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w:t>
            </w:r>
            <w:r w:rsidRPr="003746B8">
              <w:tab/>
              <w:t xml:space="preserve">Przetwarzanie danych osobowych do </w:t>
            </w:r>
            <w:r w:rsidRPr="003746B8">
              <w:t>celów zadań, o których mowa w ust. 1, odbywa się z wykorzystaniem odpowiednich wspierających środków technicznych i organizacyjnych, w tym najnowocześniejszych środków bezpieczeństwa i ochrony prywatności. Obejmuje to wyraźną segregację danych osobowych w </w:t>
            </w:r>
            <w:r w:rsidRPr="003746B8">
              <w:t>celu zapewnienia, aby Europejski Bank Centralny i krajowe banki centralne nie mogły bezpośrednio identyfikować poszczególnych użytkowników cyfrowego euro.</w:t>
            </w:r>
          </w:p>
        </w:tc>
        <w:tc>
          <w:tcPr>
            <w:tcW w:w="4876" w:type="dxa"/>
            <w:hideMark/>
          </w:tcPr>
          <w:p w:rsidR="002F7FE1" w:rsidRPr="003746B8" w:rsidRDefault="00B029A7" w:rsidP="000462E9">
            <w:pPr>
              <w:pStyle w:val="Normal6"/>
              <w:rPr>
                <w:szCs w:val="24"/>
              </w:rPr>
            </w:pPr>
            <w:r w:rsidRPr="003746B8">
              <w:t>4.</w:t>
            </w:r>
            <w:r w:rsidRPr="003746B8">
              <w:tab/>
              <w:t>Przetwarzanie danych osobowych do celów zadań, o których mowa w ust. 1, odbywa się z wykorzystanie</w:t>
            </w:r>
            <w:r w:rsidRPr="003746B8">
              <w:t xml:space="preserve">m odpowiednich wspierających środków technicznych i organizacyjnych, w tym najnowocześniejszych środków bezpieczeństwa i ochrony prywatności. Obejmuje to wyraźną segregację danych osobowych w celu zapewnienia, aby Europejski Bank Centralny i krajowe banki </w:t>
            </w:r>
            <w:r w:rsidRPr="003746B8">
              <w:t xml:space="preserve">centralne nie mogły bezpośrednio identyfikować poszczególnych użytkowników cyfrowego euro. </w:t>
            </w:r>
            <w:r w:rsidRPr="003746B8">
              <w:rPr>
                <w:b/>
                <w:i/>
              </w:rPr>
              <w:t xml:space="preserve">W szczególności środki takie zapewniają pseudonimizację danych osobowych w taki sposób, aby dane te nie mogły być już przypisane przez Europejski Bank Centralny lub </w:t>
            </w:r>
            <w:r w:rsidRPr="003746B8">
              <w:rPr>
                <w:b/>
                <w:i/>
              </w:rPr>
              <w:t>krajowe banki centralne do poszczególnych użytkowników cyfrowego euro bez wykorzystania dodatkowych informacji. Przy wdrażaniu tych środków technicznych i organizacyjnych EBC i krajowe banki centralne stosują zasady uwzględniania ochrony danych w fazie pro</w:t>
            </w:r>
            <w:r w:rsidRPr="003746B8">
              <w:rPr>
                <w:b/>
                <w:i/>
              </w:rPr>
              <w:t xml:space="preserve">jektowania i domyślnej ochrony danych określone w rozporządzeniu (UE) </w:t>
            </w:r>
            <w:r w:rsidRPr="003746B8">
              <w:rPr>
                <w:b/>
                <w:i/>
              </w:rPr>
              <w:lastRenderedPageBreak/>
              <w:t>2016/679.</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80</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35 – ustęp 5</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5.</w:t>
            </w:r>
            <w:r w:rsidRPr="003746B8">
              <w:tab/>
              <w:t>Administratorem danych osobowych w odniesieniu do celów, o których mowa w ust. 1 i 8 niniejszego artykułu, jest Europejski Bank Centralny. W przypadku gdy Europejski Bank Centralny wykonuje zadanie, o którym mowa w ust. 1 i 8, wspólnie z krajo</w:t>
            </w:r>
            <w:r w:rsidRPr="003746B8">
              <w:t>wymi bankami centralnymi, wówczas są one współadministratorami do celów tego zadania.</w:t>
            </w:r>
          </w:p>
        </w:tc>
        <w:tc>
          <w:tcPr>
            <w:tcW w:w="4876" w:type="dxa"/>
            <w:hideMark/>
          </w:tcPr>
          <w:p w:rsidR="002F7FE1" w:rsidRPr="003746B8" w:rsidRDefault="00B029A7" w:rsidP="000462E9">
            <w:pPr>
              <w:pStyle w:val="Normal6"/>
              <w:rPr>
                <w:szCs w:val="24"/>
              </w:rPr>
            </w:pPr>
            <w:r w:rsidRPr="003746B8">
              <w:rPr>
                <w:i/>
              </w:rPr>
              <w:t>(Nie dotyczy polskiej wersji językowej)</w:t>
            </w:r>
            <w:r w:rsidRPr="003746B8">
              <w:tab/>
              <w:t xml:space="preserve">   </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81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 xml:space="preserve">Artykuł 35 – </w:t>
      </w:r>
      <w:r w:rsidRPr="003746B8">
        <w:t>ustęp 7</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7.</w:t>
            </w:r>
            <w:r w:rsidRPr="003746B8">
              <w:tab/>
              <w:t xml:space="preserve">W przypadku gdy Europejski Bank Centralny decyduje się nie powierzać zadań, o których mowa w art. 27 i 32, dostawcom usług wsparcia, Europejski Bank Centralny może przetwarzać rodzaje danych </w:t>
            </w:r>
            <w:r w:rsidRPr="003746B8">
              <w:t>osobowych określone w załączniku V, z zastrzeżeniem wymogów, o których mowa w ust. 4 niniejszego artykułu.</w:t>
            </w:r>
          </w:p>
        </w:tc>
        <w:tc>
          <w:tcPr>
            <w:tcW w:w="4876" w:type="dxa"/>
            <w:hideMark/>
          </w:tcPr>
          <w:p w:rsidR="002F7FE1" w:rsidRPr="003746B8" w:rsidRDefault="00B029A7" w:rsidP="000462E9">
            <w:pPr>
              <w:pStyle w:val="Normal6"/>
              <w:rPr>
                <w:szCs w:val="24"/>
              </w:rPr>
            </w:pPr>
            <w:r w:rsidRPr="003746B8">
              <w:rPr>
                <w:i/>
              </w:rPr>
              <w:t>(Nie dotyczy polskiej wersji językowej)</w:t>
            </w:r>
            <w:r w:rsidRPr="003746B8">
              <w:tab/>
              <w:t xml:space="preserve"> </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82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35 – ustęp 8</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8.</w:t>
            </w:r>
            <w:r w:rsidRPr="003746B8">
              <w:tab/>
              <w:t xml:space="preserve">Do celów wspierania dostawców usług płatniczych w wykonywaniu zadania </w:t>
            </w:r>
            <w:r w:rsidRPr="003746B8">
              <w:lastRenderedPageBreak/>
              <w:t>polegającego na egzekwowaniu limitów utrzymywanej kwoty zgodnie z art. 16 ust. 1 i zapewnieniu prze</w:t>
            </w:r>
            <w:r w:rsidRPr="003746B8">
              <w:t>noszenia rachunków na wniosek użytkownika w trybie awaryjnym zgodnie z art. 31 ust. 2 EBC może – samodzielnie lub wspólnie z krajowymi bankami centralnymi – ustanowić pojedynczy punkt dostępu służący do weryfikacji identyfikatorów użytkowników cyfrowego eu</w:t>
            </w:r>
            <w:r w:rsidRPr="003746B8">
              <w:t>ro i powiązanych limitów utrzymywanej kwoty cyfrowego euro, zgodnie z załącznikiem IV pkt 4. Europejski Bank Centralny wdraża odpowiednie środki techniczne i organizacyjne, w tym najnowocześniejsze środki bezpieczeństwa i ochrony prywatności, w celu zapewn</w:t>
            </w:r>
            <w:r w:rsidRPr="003746B8">
              <w:t xml:space="preserve">ienia, aby niemożliwe było wywnioskowanie tożsamości poszczególnych użytkowników cyfrowego euro z informacji, do których podmioty inne niż dostawcy usług płatniczych, których klientem lub potencjalnym klientem jest dany użytkownik cyfrowego euro, uzyskały </w:t>
            </w:r>
            <w:r w:rsidRPr="003746B8">
              <w:t>dostęp za pośrednictwem pojedynczego punktu dostępu.</w:t>
            </w:r>
          </w:p>
        </w:tc>
        <w:tc>
          <w:tcPr>
            <w:tcW w:w="4876" w:type="dxa"/>
            <w:hideMark/>
          </w:tcPr>
          <w:p w:rsidR="002F7FE1" w:rsidRPr="003746B8" w:rsidRDefault="00B029A7" w:rsidP="000462E9">
            <w:pPr>
              <w:pStyle w:val="Normal6"/>
              <w:rPr>
                <w:szCs w:val="24"/>
              </w:rPr>
            </w:pPr>
            <w:r w:rsidRPr="003746B8">
              <w:lastRenderedPageBreak/>
              <w:t>8.</w:t>
            </w:r>
            <w:r w:rsidRPr="003746B8">
              <w:tab/>
              <w:t xml:space="preserve">Do celów wspierania dostawców usług płatniczych w wykonywaniu zadania </w:t>
            </w:r>
            <w:r w:rsidRPr="003746B8">
              <w:lastRenderedPageBreak/>
              <w:t>polegającego na egzekwowaniu limitów utrzymywanej kwoty zgodnie z art. 16 ust. 1 i zapewnieniu przenoszenia rachunków na wniosek u</w:t>
            </w:r>
            <w:r w:rsidRPr="003746B8">
              <w:t>żytkownika w trybie awaryjnym zgodnie z art. 31 ust. 2 EBC może – samodzielnie lub wspólnie z krajowymi bankami centralnymi – ustanowić pojedynczy punkt dostępu służący do weryfikacji identyfikatorów użytkowników cyfrowego euro i powiązanych limitów utrzym</w:t>
            </w:r>
            <w:r w:rsidRPr="003746B8">
              <w:t>ywanej kwoty cyfrowego euro, zgodnie z załącznikiem IV pkt 4. Europejski Bank Centralny wdraża odpowiednie środki techniczne i organizacyjne, w tym najnowocześniejsze środki bezpieczeństwa i ochrony prywatności, w celu zapewnienia, aby niemożliwe było wywn</w:t>
            </w:r>
            <w:r w:rsidRPr="003746B8">
              <w:t>ioskowanie tożsamości poszczególnych użytkowników cyfrowego euro z informacji, do których podmioty inne niż dostawcy usług płatniczych, których klientem lub potencjalnym klientem jest dany użytkownik cyfrowego euro, uzyskały dostęp za pośrednictwem pojedyn</w:t>
            </w:r>
            <w:r w:rsidRPr="003746B8">
              <w:t xml:space="preserve">czego punktu dostępu. </w:t>
            </w:r>
            <w:r w:rsidRPr="003746B8">
              <w:rPr>
                <w:b/>
                <w:i/>
              </w:rPr>
              <w:t>Przy wdrażaniu tych środków technicznych i organizacyjnych Europejski Bank Centralny stosuje zasady uwzględniania ochrony danych w fazie projektowania i domyślnej ochrony danych określone w rozporządzeniu (UE) 2016/679.</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83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36 – ustęp 1 – wprowadzenie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w:t>
            </w:r>
            <w:r w:rsidRPr="003746B8">
              <w:tab/>
              <w:t>W przypadku gdy Europejski Bank Centralny decyduje się powierzyć</w:t>
            </w:r>
            <w:r w:rsidRPr="003746B8">
              <w:t xml:space="preserve"> zadania, o których mowa w art. 27 i 32, dostawcom usług wsparcia, dostawcy usług wsparcia świadczą na rzecz dostawców usług płatniczych usługi związane z płatnościami. W</w:t>
            </w:r>
            <w:r w:rsidRPr="003746B8">
              <w:rPr>
                <w:b/>
                <w:i/>
              </w:rPr>
              <w:t> </w:t>
            </w:r>
            <w:r w:rsidRPr="003746B8">
              <w:t xml:space="preserve">takiej sytuacji dostawcy usług </w:t>
            </w:r>
            <w:r w:rsidRPr="003746B8">
              <w:rPr>
                <w:b/>
                <w:i/>
              </w:rPr>
              <w:t>wsparcia</w:t>
            </w:r>
            <w:r w:rsidRPr="003746B8">
              <w:t xml:space="preserve"> wykonują zadanie </w:t>
            </w:r>
            <w:r w:rsidRPr="003746B8">
              <w:lastRenderedPageBreak/>
              <w:t>w</w:t>
            </w:r>
            <w:r w:rsidRPr="003746B8">
              <w:rPr>
                <w:b/>
                <w:i/>
              </w:rPr>
              <w:t> </w:t>
            </w:r>
            <w:r w:rsidRPr="003746B8">
              <w:t>interesie publicznym</w:t>
            </w:r>
            <w:r w:rsidRPr="003746B8">
              <w:rPr>
                <w:b/>
                <w:i/>
              </w:rPr>
              <w:t>, w pr</w:t>
            </w:r>
            <w:r w:rsidRPr="003746B8">
              <w:rPr>
                <w:b/>
                <w:i/>
              </w:rPr>
              <w:t>zypadku gdy przetwarzają dane osobowe</w:t>
            </w:r>
            <w:r w:rsidRPr="003746B8">
              <w:t xml:space="preserve"> do następujących celów:</w:t>
            </w:r>
          </w:p>
        </w:tc>
        <w:tc>
          <w:tcPr>
            <w:tcW w:w="4876" w:type="dxa"/>
            <w:hideMark/>
          </w:tcPr>
          <w:p w:rsidR="002F7FE1" w:rsidRPr="003746B8" w:rsidRDefault="00B029A7" w:rsidP="000462E9">
            <w:pPr>
              <w:pStyle w:val="Normal6"/>
              <w:rPr>
                <w:szCs w:val="24"/>
              </w:rPr>
            </w:pPr>
            <w:r w:rsidRPr="003746B8">
              <w:lastRenderedPageBreak/>
              <w:t>1.</w:t>
            </w:r>
            <w:r w:rsidRPr="003746B8">
              <w:tab/>
              <w:t>W przypadku gdy Europejski Bank Centralny decyduje się powierzyć zadania, o których mowa w art. 27 i 32, dostawcom usług wsparcia, dostawcy usług wsparcia świadczą na rzecz dostawców usług pł</w:t>
            </w:r>
            <w:r w:rsidRPr="003746B8">
              <w:t>atniczych usługi związane z płatnościami. W</w:t>
            </w:r>
            <w:r w:rsidRPr="003746B8">
              <w:rPr>
                <w:b/>
                <w:i/>
              </w:rPr>
              <w:t xml:space="preserve"> </w:t>
            </w:r>
            <w:r w:rsidRPr="003746B8">
              <w:t xml:space="preserve">takiej sytuacji dostawcy usług </w:t>
            </w:r>
            <w:r w:rsidRPr="003746B8">
              <w:rPr>
                <w:b/>
                <w:i/>
              </w:rPr>
              <w:t xml:space="preserve">płatniczych przetwarzają dane </w:t>
            </w:r>
            <w:r w:rsidRPr="003746B8">
              <w:rPr>
                <w:b/>
                <w:i/>
              </w:rPr>
              <w:lastRenderedPageBreak/>
              <w:t>osobowe wyłącznie wtedy, gdy</w:t>
            </w:r>
            <w:r w:rsidRPr="003746B8">
              <w:t xml:space="preserve"> wykonują zadanie w</w:t>
            </w:r>
            <w:r w:rsidRPr="003746B8">
              <w:rPr>
                <w:b/>
                <w:i/>
              </w:rPr>
              <w:t xml:space="preserve"> </w:t>
            </w:r>
            <w:r w:rsidRPr="003746B8">
              <w:t>interesie publicznym</w:t>
            </w:r>
            <w:r w:rsidRPr="003746B8">
              <w:rPr>
                <w:b/>
                <w:i/>
              </w:rPr>
              <w:t xml:space="preserve"> zgodnie z art. 6 ust. 1 lit. e) rozporządzenia (UE) 2016/679, które ogranicza się</w:t>
            </w:r>
            <w:r w:rsidRPr="003746B8">
              <w:t xml:space="preserve"> do następujących celów:</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84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36 – ustęp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 xml:space="preserve">Do celów, o których mowa w ust. 1, rodzaje </w:t>
            </w:r>
            <w:r w:rsidRPr="003746B8">
              <w:t>danych osobowych określono w załączniku V.</w:t>
            </w:r>
          </w:p>
        </w:tc>
        <w:tc>
          <w:tcPr>
            <w:tcW w:w="4876" w:type="dxa"/>
            <w:hideMark/>
          </w:tcPr>
          <w:p w:rsidR="002F7FE1" w:rsidRPr="003746B8" w:rsidRDefault="00B029A7" w:rsidP="000462E9">
            <w:pPr>
              <w:pStyle w:val="Normal6"/>
              <w:rPr>
                <w:szCs w:val="24"/>
              </w:rPr>
            </w:pPr>
            <w:r w:rsidRPr="003746B8">
              <w:t>2.</w:t>
            </w:r>
            <w:r w:rsidRPr="003746B8">
              <w:tab/>
              <w:t>Do celów, o których mowa w ust. 1, rodzaje danych osobowych</w:t>
            </w:r>
            <w:r w:rsidRPr="003746B8">
              <w:rPr>
                <w:b/>
                <w:i/>
              </w:rPr>
              <w:t>, które można przetwarzać,</w:t>
            </w:r>
            <w:r w:rsidRPr="003746B8">
              <w:t xml:space="preserve"> określono w załączniku V. </w:t>
            </w:r>
            <w:r w:rsidRPr="003746B8">
              <w:rPr>
                <w:b/>
                <w:i/>
              </w:rPr>
              <w:t>Do celów, o których mowa w ust. 1 lit. b), Komisja jest uprawniona do zdefiniowania rodzajów danyc</w:t>
            </w:r>
            <w:r w:rsidRPr="003746B8">
              <w:rPr>
                <w:b/>
                <w:i/>
              </w:rPr>
              <w:t>h osobowych, które mogą przetwarzać dostawcy usług wsparcia, w drodze aktów delegowanych zgodnie z ust. 3.</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85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36 – ustęp 3</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 xml:space="preserve">Tekst </w:t>
            </w:r>
            <w:r w:rsidRPr="003746B8">
              <w:t>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w:t>
            </w:r>
            <w:r w:rsidRPr="003746B8">
              <w:tab/>
              <w:t>Komisja jest uprawniona do przyjęcia aktów delegowanych zgodnie z</w:t>
            </w:r>
            <w:r w:rsidRPr="003746B8">
              <w:rPr>
                <w:b/>
                <w:i/>
              </w:rPr>
              <w:t> </w:t>
            </w:r>
            <w:r w:rsidRPr="003746B8">
              <w:t>art.</w:t>
            </w:r>
            <w:r w:rsidRPr="003746B8">
              <w:rPr>
                <w:b/>
                <w:i/>
              </w:rPr>
              <w:t> </w:t>
            </w:r>
            <w:r w:rsidRPr="003746B8">
              <w:t>38 w</w:t>
            </w:r>
            <w:r w:rsidRPr="003746B8">
              <w:rPr>
                <w:b/>
                <w:i/>
              </w:rPr>
              <w:t> </w:t>
            </w:r>
            <w:r w:rsidRPr="003746B8">
              <w:t>celu uzupełnienia rodzajów danych osobowych wymienionych w</w:t>
            </w:r>
            <w:r w:rsidRPr="003746B8">
              <w:rPr>
                <w:b/>
                <w:i/>
              </w:rPr>
              <w:t> </w:t>
            </w:r>
            <w:r w:rsidRPr="003746B8">
              <w:t>załączniku V.</w:t>
            </w:r>
          </w:p>
        </w:tc>
        <w:tc>
          <w:tcPr>
            <w:tcW w:w="4876" w:type="dxa"/>
            <w:hideMark/>
          </w:tcPr>
          <w:p w:rsidR="002F7FE1" w:rsidRPr="003746B8" w:rsidRDefault="00B029A7" w:rsidP="000462E9">
            <w:pPr>
              <w:pStyle w:val="Normal6"/>
              <w:rPr>
                <w:szCs w:val="24"/>
              </w:rPr>
            </w:pPr>
            <w:r w:rsidRPr="003746B8">
              <w:t>3.</w:t>
            </w:r>
            <w:r w:rsidRPr="003746B8">
              <w:tab/>
              <w:t>Komisja jest uprawniona do przyjęcia aktów delegowanych zgodnie z</w:t>
            </w:r>
            <w:r w:rsidRPr="003746B8">
              <w:rPr>
                <w:b/>
                <w:i/>
              </w:rPr>
              <w:t xml:space="preserve"> </w:t>
            </w:r>
            <w:r w:rsidRPr="003746B8">
              <w:t>art.</w:t>
            </w:r>
            <w:r w:rsidRPr="003746B8">
              <w:rPr>
                <w:b/>
                <w:i/>
              </w:rPr>
              <w:t xml:space="preserve"> </w:t>
            </w:r>
            <w:r w:rsidRPr="003746B8">
              <w:t>38 w</w:t>
            </w:r>
            <w:r w:rsidRPr="003746B8">
              <w:rPr>
                <w:b/>
                <w:i/>
              </w:rPr>
              <w:t xml:space="preserve"> </w:t>
            </w:r>
            <w:r w:rsidRPr="003746B8">
              <w:t xml:space="preserve">celu uzupełnienia </w:t>
            </w:r>
            <w:r w:rsidRPr="003746B8">
              <w:rPr>
                <w:b/>
                <w:i/>
              </w:rPr>
              <w:t xml:space="preserve">i wyjaśnienia </w:t>
            </w:r>
            <w:r w:rsidRPr="003746B8">
              <w:t>rodzajów danych osobowych wymienionych w</w:t>
            </w:r>
            <w:r w:rsidRPr="003746B8">
              <w:rPr>
                <w:b/>
                <w:i/>
              </w:rPr>
              <w:t xml:space="preserve"> </w:t>
            </w:r>
            <w:r w:rsidRPr="003746B8">
              <w:t>załączniku V</w:t>
            </w:r>
            <w:r w:rsidRPr="003746B8">
              <w:rPr>
                <w:b/>
                <w:i/>
              </w:rPr>
              <w:t>, przy czym sporządza jednocześnie kompletny i zamknięty wykaz danych osobowych, które mają być przetwarzane w określonym celu</w:t>
            </w:r>
            <w:r w:rsidRPr="003746B8">
              <w:t>.</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86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36 – ustęp 4</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w:t>
            </w:r>
            <w:r w:rsidRPr="003746B8">
              <w:tab/>
              <w:t xml:space="preserve">Przetwarzanie danych osobowych do celów, o których mowa w ust. 1, odbywa się jedynie wówczas, </w:t>
            </w:r>
            <w:r w:rsidRPr="003746B8">
              <w:t>gdy wdrożone są odpowiednie środki techniczne i organizacyjne, w tym najnowocześniejsze środki bezpieczeństwa i ochrony prywatności, zapewniające, aby dostawcy usług wsparcia nie mogli bezpośrednio identyfikować poszczególnych użytkowników cyfrowego euro.</w:t>
            </w:r>
          </w:p>
        </w:tc>
        <w:tc>
          <w:tcPr>
            <w:tcW w:w="4876" w:type="dxa"/>
            <w:hideMark/>
          </w:tcPr>
          <w:p w:rsidR="002F7FE1" w:rsidRPr="003746B8" w:rsidRDefault="00B029A7" w:rsidP="000462E9">
            <w:pPr>
              <w:pStyle w:val="Normal6"/>
              <w:rPr>
                <w:szCs w:val="24"/>
              </w:rPr>
            </w:pPr>
            <w:r w:rsidRPr="003746B8">
              <w:t>4.</w:t>
            </w:r>
            <w:r w:rsidRPr="003746B8">
              <w:tab/>
              <w:t>Przetwarzanie danych osobowych do celów, o których mowa w ust. 1, odbywa się jedynie wówczas, gdy wdrożone są odpowiednie środki techniczne i organizacyjne, w tym najnowocześniejsze środki bezpieczeństwa i ochrony prywatności, zapewniające, aby dostawcy</w:t>
            </w:r>
            <w:r w:rsidRPr="003746B8">
              <w:t xml:space="preserve"> usług wsparcia nie mogli bezpośrednio identyfikować poszczególnych użytkowników cyfrowego euro. </w:t>
            </w:r>
            <w:r w:rsidRPr="003746B8">
              <w:rPr>
                <w:b/>
                <w:i/>
              </w:rPr>
              <w:t>W szczególności środki takie zapewniają pseudonimizację danych osobowych w taki sposób, aby dane te nie mogły być już przypisane przez Europejski Bank Centraln</w:t>
            </w:r>
            <w:r w:rsidRPr="003746B8">
              <w:rPr>
                <w:b/>
                <w:i/>
              </w:rPr>
              <w:t xml:space="preserve">y lub krajowe banki centralne do poszczególnych użytkowników cyfrowego euro bez wykorzystania dodatkowych informacji. Przy wdrażaniu tych środków technicznych i organizacyjnych dostawcy usług płatniczych stosują zasady uwzględniania ochrony danych w fazie </w:t>
            </w:r>
            <w:r w:rsidRPr="003746B8">
              <w:rPr>
                <w:b/>
                <w:i/>
              </w:rPr>
              <w:t>projektowania i domyślnej ochrony danych określone w rozporządzeniu (UE) 2016/679.</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87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37 – ustęp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 xml:space="preserve">Dostawcy usług płatniczych, Europejski Bank Centralny ani krajowe banki centralne nie mogą </w:t>
            </w:r>
            <w:r w:rsidRPr="003746B8">
              <w:rPr>
                <w:b/>
                <w:i/>
              </w:rPr>
              <w:t>zachowywać</w:t>
            </w:r>
            <w:r w:rsidRPr="003746B8">
              <w:t xml:space="preserve"> danych dotyczących transakcji.</w:t>
            </w:r>
          </w:p>
        </w:tc>
        <w:tc>
          <w:tcPr>
            <w:tcW w:w="4876" w:type="dxa"/>
            <w:hideMark/>
          </w:tcPr>
          <w:p w:rsidR="002F7FE1" w:rsidRPr="003746B8" w:rsidRDefault="00B029A7" w:rsidP="000462E9">
            <w:pPr>
              <w:pStyle w:val="Normal6"/>
              <w:rPr>
                <w:szCs w:val="24"/>
              </w:rPr>
            </w:pPr>
            <w:r w:rsidRPr="003746B8">
              <w:t>2.</w:t>
            </w:r>
            <w:r w:rsidRPr="003746B8">
              <w:tab/>
              <w:t xml:space="preserve">Dostawcy usług płatniczych, </w:t>
            </w:r>
            <w:r w:rsidRPr="003746B8">
              <w:rPr>
                <w:b/>
                <w:i/>
              </w:rPr>
              <w:t xml:space="preserve">dostawcy usług wsparcia, </w:t>
            </w:r>
            <w:r w:rsidRPr="003746B8">
              <w:t xml:space="preserve">Europejski Bank Centralny ani krajowe banki centralne nie mogą </w:t>
            </w:r>
            <w:r w:rsidRPr="003746B8">
              <w:rPr>
                <w:b/>
                <w:i/>
              </w:rPr>
              <w:t>przetwarzać</w:t>
            </w:r>
            <w:r w:rsidRPr="003746B8">
              <w:t xml:space="preserve"> danych dotyczących transakcji</w:t>
            </w:r>
            <w:r w:rsidRPr="003746B8">
              <w:rPr>
                <w:b/>
                <w:i/>
              </w:rPr>
              <w:t xml:space="preserve"> generowanych przez transakcję płatniczą w ramach limitów przetwarzania określonych w załącznikach III, IV i V</w:t>
            </w:r>
            <w:r w:rsidRPr="003746B8">
              <w:t>.</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88</w:t>
      </w:r>
      <w:r w:rsidRPr="003746B8">
        <w:rPr>
          <w:rStyle w:val="HideTWBExt"/>
          <w:b w:val="0"/>
        </w:rPr>
        <w:t>&lt;/Nu</w:t>
      </w:r>
      <w:r w:rsidRPr="003746B8">
        <w:rPr>
          <w:rStyle w:val="HideTWBExt"/>
          <w:b w:val="0"/>
        </w:rPr>
        <w:t>mAm&gt;</w:t>
      </w:r>
    </w:p>
    <w:p w:rsidR="002F7FE1" w:rsidRPr="003746B8" w:rsidRDefault="002F7FE1" w:rsidP="002F7FE1"/>
    <w:p w:rsidR="002F7FE1" w:rsidRPr="003746B8" w:rsidRDefault="00B029A7" w:rsidP="002F7FE1">
      <w:pPr>
        <w:pStyle w:val="NormalBold"/>
        <w:keepNext/>
      </w:pPr>
      <w:r w:rsidRPr="003746B8">
        <w:rPr>
          <w:rStyle w:val="HideTWBExt"/>
          <w:b w:val="0"/>
        </w:rPr>
        <w:lastRenderedPageBreak/>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37 – ustęp 5</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5.</w:t>
            </w:r>
            <w:r w:rsidRPr="003746B8">
              <w:tab/>
              <w:t xml:space="preserve">Komisja jest uprawniona do przyjmowania aktów </w:t>
            </w:r>
            <w:r w:rsidRPr="003746B8">
              <w:rPr>
                <w:b/>
                <w:i/>
              </w:rPr>
              <w:t>wykonawczych</w:t>
            </w:r>
            <w:r w:rsidRPr="003746B8">
              <w:t xml:space="preserve"> w celu określenia limitów transakcji płatniczych w cyfrowym euro dokonywanych w trybie offline i limitów utrzymywanej kwoty. Te akty </w:t>
            </w:r>
            <w:r w:rsidRPr="003746B8">
              <w:rPr>
                <w:b/>
                <w:i/>
              </w:rPr>
              <w:t>wykonawcze</w:t>
            </w:r>
            <w:r w:rsidRPr="003746B8">
              <w:t xml:space="preserve"> przyjmuje się zgodnie z</w:t>
            </w:r>
            <w:r w:rsidRPr="003746B8">
              <w:rPr>
                <w:b/>
                <w:i/>
              </w:rPr>
              <w:t> </w:t>
            </w:r>
            <w:r w:rsidRPr="003746B8">
              <w:t>procedurą</w:t>
            </w:r>
            <w:r w:rsidRPr="003746B8">
              <w:rPr>
                <w:b/>
                <w:i/>
              </w:rPr>
              <w:t xml:space="preserve"> sprawdzającą</w:t>
            </w:r>
            <w:r w:rsidRPr="003746B8">
              <w:t>, o</w:t>
            </w:r>
            <w:r w:rsidRPr="003746B8">
              <w:rPr>
                <w:b/>
                <w:i/>
              </w:rPr>
              <w:t> </w:t>
            </w:r>
            <w:r w:rsidRPr="003746B8">
              <w:t>której mowa w</w:t>
            </w:r>
            <w:r w:rsidRPr="003746B8">
              <w:rPr>
                <w:b/>
                <w:i/>
              </w:rPr>
              <w:t> </w:t>
            </w:r>
            <w:r w:rsidRPr="003746B8">
              <w:t>art.</w:t>
            </w:r>
            <w:r w:rsidRPr="003746B8">
              <w:rPr>
                <w:b/>
                <w:i/>
              </w:rPr>
              <w:t> 39</w:t>
            </w:r>
            <w:r w:rsidRPr="003746B8">
              <w:t>.</w:t>
            </w:r>
          </w:p>
        </w:tc>
        <w:tc>
          <w:tcPr>
            <w:tcW w:w="4876" w:type="dxa"/>
            <w:hideMark/>
          </w:tcPr>
          <w:p w:rsidR="002F7FE1" w:rsidRPr="003746B8" w:rsidRDefault="00B029A7" w:rsidP="000462E9">
            <w:pPr>
              <w:pStyle w:val="Normal6"/>
              <w:rPr>
                <w:szCs w:val="24"/>
              </w:rPr>
            </w:pPr>
            <w:r w:rsidRPr="003746B8">
              <w:t>5.</w:t>
            </w:r>
            <w:r w:rsidRPr="003746B8">
              <w:tab/>
              <w:t>Komisja jest uprawniona do przyjmow</w:t>
            </w:r>
            <w:r w:rsidRPr="003746B8">
              <w:t xml:space="preserve">ania aktów </w:t>
            </w:r>
            <w:r w:rsidRPr="003746B8">
              <w:rPr>
                <w:b/>
                <w:i/>
              </w:rPr>
              <w:t>delegowanych</w:t>
            </w:r>
            <w:r w:rsidRPr="003746B8">
              <w:t xml:space="preserve"> w celu określenia limitów transakcji płatniczych w cyfrowym euro dokonywanych w trybie offline i limitów utrzymywanej kwoty. Te akty </w:t>
            </w:r>
            <w:r w:rsidRPr="003746B8">
              <w:rPr>
                <w:b/>
                <w:i/>
              </w:rPr>
              <w:t>delegowane</w:t>
            </w:r>
            <w:r w:rsidRPr="003746B8">
              <w:t xml:space="preserve"> przyjmuje się zgodnie z</w:t>
            </w:r>
            <w:r w:rsidRPr="003746B8">
              <w:rPr>
                <w:b/>
                <w:i/>
              </w:rPr>
              <w:t xml:space="preserve"> </w:t>
            </w:r>
            <w:r w:rsidRPr="003746B8">
              <w:t>procedurą, o</w:t>
            </w:r>
            <w:r w:rsidRPr="003746B8">
              <w:rPr>
                <w:b/>
                <w:i/>
              </w:rPr>
              <w:t xml:space="preserve"> </w:t>
            </w:r>
            <w:r w:rsidRPr="003746B8">
              <w:t>której mowa w</w:t>
            </w:r>
            <w:r w:rsidRPr="003746B8">
              <w:rPr>
                <w:b/>
                <w:i/>
              </w:rPr>
              <w:t xml:space="preserve"> </w:t>
            </w:r>
            <w:r w:rsidRPr="003746B8">
              <w:t>art.</w:t>
            </w:r>
            <w:r w:rsidRPr="003746B8">
              <w:rPr>
                <w:b/>
                <w:i/>
              </w:rPr>
              <w:t xml:space="preserve"> 38</w:t>
            </w:r>
            <w:r w:rsidRPr="003746B8">
              <w:t>.</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w:t>
      </w:r>
      <w:r w:rsidRPr="003746B8">
        <w:rPr>
          <w:rStyle w:val="HideTWBExt"/>
          <w:b w:val="0"/>
        </w:rPr>
        <w:t>NumAm&gt;</w:t>
      </w:r>
      <w:r w:rsidRPr="003746B8">
        <w:t>89</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37 – ustęp 6 – akapit 1 – wprowadzenie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 xml:space="preserve">Limity transakcji i utrzymywanej kwoty określa się z uwzględnieniem </w:t>
            </w:r>
            <w:r w:rsidRPr="003746B8">
              <w:t xml:space="preserve">potrzeby zapobiegania praniu pieniędzy i finansowaniu terroryzmu, bez nieuzasadnionego ograniczania korzystania z cyfrowego euro w trybie offline jako środka płatniczego. Opracowując akty </w:t>
            </w:r>
            <w:r w:rsidRPr="003746B8">
              <w:rPr>
                <w:b/>
                <w:i/>
              </w:rPr>
              <w:t>wykonawcze</w:t>
            </w:r>
            <w:r w:rsidRPr="003746B8">
              <w:t>, o których mowa w ust. 5, Komisja bierze pod uwagę w szcz</w:t>
            </w:r>
            <w:r w:rsidRPr="003746B8">
              <w:t>ególności następujące elementy:</w:t>
            </w:r>
          </w:p>
        </w:tc>
        <w:tc>
          <w:tcPr>
            <w:tcW w:w="4876" w:type="dxa"/>
            <w:hideMark/>
          </w:tcPr>
          <w:p w:rsidR="002F7FE1" w:rsidRPr="003746B8" w:rsidRDefault="00B029A7" w:rsidP="000462E9">
            <w:pPr>
              <w:pStyle w:val="Normal6"/>
              <w:rPr>
                <w:szCs w:val="24"/>
              </w:rPr>
            </w:pPr>
            <w:r w:rsidRPr="003746B8">
              <w:t>Limity transakcji i utrzymywanej kwoty określa się z uwzględnieniem potrzeby zapobiegania praniu pieniędzy i finansowaniu terroryzmu, bez nieuzasadnionego ograniczania korzystania z cyfrowego euro w trybie offline jako środk</w:t>
            </w:r>
            <w:r w:rsidRPr="003746B8">
              <w:t xml:space="preserve">a płatniczego. Opracowując akty </w:t>
            </w:r>
            <w:r w:rsidRPr="003746B8">
              <w:rPr>
                <w:b/>
                <w:i/>
              </w:rPr>
              <w:t>delegowane</w:t>
            </w:r>
            <w:r w:rsidRPr="003746B8">
              <w:t>, o których mowa w ust. 5, Komisja bierze pod uwagę w szczególności następujące elementy:</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90</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 xml:space="preserve">Artykuł 37 – </w:t>
      </w:r>
      <w:r w:rsidRPr="003746B8">
        <w:t>ustęp 6 – akapit 1 – litera c a (nowa)</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tcPr>
          <w:p w:rsidR="002F7FE1" w:rsidRPr="003746B8" w:rsidRDefault="002F7FE1" w:rsidP="000462E9">
            <w:pPr>
              <w:pStyle w:val="Normal6"/>
            </w:pPr>
          </w:p>
        </w:tc>
        <w:tc>
          <w:tcPr>
            <w:tcW w:w="4876" w:type="dxa"/>
            <w:hideMark/>
          </w:tcPr>
          <w:p w:rsidR="002F7FE1" w:rsidRPr="003746B8" w:rsidRDefault="00B029A7" w:rsidP="000462E9">
            <w:pPr>
              <w:pStyle w:val="Normal6"/>
              <w:rPr>
                <w:szCs w:val="24"/>
              </w:rPr>
            </w:pPr>
            <w:r w:rsidRPr="003746B8">
              <w:rPr>
                <w:b/>
                <w:i/>
              </w:rPr>
              <w:t>ca)</w:t>
            </w:r>
            <w:r w:rsidRPr="003746B8">
              <w:rPr>
                <w:b/>
                <w:i/>
              </w:rPr>
              <w:tab/>
              <w:t>cel, jakim jest wprowadzenie instrumentu płatniczego podobnego do gotówki, oraz, w tym zakresie, zachowanie prawa do ochrony danych osobowych i prywatności.</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lastRenderedPageBreak/>
        <w:t>&lt;Amend&gt;</w:t>
      </w:r>
      <w:r w:rsidRPr="003746B8">
        <w:t>Poprawka</w:t>
      </w:r>
      <w:r w:rsidRPr="003746B8">
        <w:tab/>
      </w:r>
      <w:r w:rsidRPr="003746B8">
        <w:tab/>
      </w:r>
      <w:r w:rsidRPr="003746B8">
        <w:rPr>
          <w:rStyle w:val="HideTWBExt"/>
          <w:b w:val="0"/>
        </w:rPr>
        <w:t>&lt;NumAm&gt;</w:t>
      </w:r>
      <w:r w:rsidRPr="003746B8">
        <w:t>91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37 – ustęp 6 – akapit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Do celów określonych w lit.</w:t>
            </w:r>
            <w:r w:rsidRPr="003746B8">
              <w:rPr>
                <w:b/>
                <w:i/>
              </w:rPr>
              <w:t> </w:t>
            </w:r>
            <w:r w:rsidRPr="003746B8">
              <w:t xml:space="preserve">a) Komisja </w:t>
            </w:r>
            <w:r w:rsidRPr="003746B8">
              <w:rPr>
                <w:b/>
                <w:i/>
              </w:rPr>
              <w:t>może zwrócić</w:t>
            </w:r>
            <w:r w:rsidRPr="003746B8">
              <w:t xml:space="preserve"> się </w:t>
            </w:r>
            <w:r w:rsidRPr="003746B8">
              <w:rPr>
                <w:b/>
                <w:i/>
              </w:rPr>
              <w:t>do</w:t>
            </w:r>
            <w:r w:rsidRPr="003746B8">
              <w:t xml:space="preserve"> AMLA</w:t>
            </w:r>
            <w:r w:rsidRPr="003746B8">
              <w:rPr>
                <w:b/>
                <w:i/>
              </w:rPr>
              <w:t xml:space="preserve"> o przyjęcie opinii oceniającej</w:t>
            </w:r>
            <w:r w:rsidRPr="003746B8">
              <w:t xml:space="preserve"> poziom zagrożeń związanych z praniem pieniędzy i finansowaniem terroryzmu występujących w odniesieniu do cyfrowego euro w trybie offline oraz jego podatności. Komisja może konsultować się z Europejską Radą Ochrony Danyc</w:t>
            </w:r>
            <w:r w:rsidRPr="003746B8">
              <w:t>h.</w:t>
            </w:r>
          </w:p>
        </w:tc>
        <w:tc>
          <w:tcPr>
            <w:tcW w:w="4876" w:type="dxa"/>
            <w:hideMark/>
          </w:tcPr>
          <w:p w:rsidR="002F7FE1" w:rsidRPr="003746B8" w:rsidRDefault="00B029A7" w:rsidP="000462E9">
            <w:pPr>
              <w:pStyle w:val="Normal6"/>
              <w:rPr>
                <w:szCs w:val="24"/>
              </w:rPr>
            </w:pPr>
            <w:r w:rsidRPr="003746B8">
              <w:t>Do celów określonych w lit.</w:t>
            </w:r>
            <w:r w:rsidRPr="003746B8">
              <w:rPr>
                <w:b/>
                <w:i/>
              </w:rPr>
              <w:t xml:space="preserve"> </w:t>
            </w:r>
            <w:r w:rsidRPr="003746B8">
              <w:t xml:space="preserve">a) Komisja </w:t>
            </w:r>
            <w:r w:rsidRPr="003746B8">
              <w:rPr>
                <w:b/>
                <w:i/>
              </w:rPr>
              <w:t>konsultuje</w:t>
            </w:r>
            <w:r w:rsidRPr="003746B8">
              <w:t xml:space="preserve"> się </w:t>
            </w:r>
            <w:r w:rsidRPr="003746B8">
              <w:rPr>
                <w:b/>
                <w:i/>
              </w:rPr>
              <w:t>z</w:t>
            </w:r>
            <w:r w:rsidRPr="003746B8">
              <w:t xml:space="preserve"> AMLA</w:t>
            </w:r>
            <w:r w:rsidRPr="003746B8">
              <w:rPr>
                <w:b/>
                <w:i/>
              </w:rPr>
              <w:t>, który ocenia</w:t>
            </w:r>
            <w:r w:rsidRPr="003746B8">
              <w:t xml:space="preserve"> poziom zagrożeń związanych z praniem pieniędzy i finansowaniem terroryzmu występujących w odniesieniu do cyfrowego euro w trybie offline oraz jego podatności. Komisja może </w:t>
            </w:r>
            <w:r w:rsidRPr="003746B8">
              <w:rPr>
                <w:b/>
                <w:i/>
              </w:rPr>
              <w:t>równie</w:t>
            </w:r>
            <w:r w:rsidRPr="003746B8">
              <w:rPr>
                <w:b/>
                <w:i/>
              </w:rPr>
              <w:t xml:space="preserve">ż </w:t>
            </w:r>
            <w:r w:rsidRPr="003746B8">
              <w:t xml:space="preserve">konsultować się z Europejską Radą Ochrony Danych. </w:t>
            </w:r>
            <w:r w:rsidRPr="003746B8">
              <w:rPr>
                <w:b/>
                <w:i/>
              </w:rPr>
              <w:t>Do celów lit. d) Komisja konsultuje się z Europejskim Inspektorem Ochrony Danych zgodnie z art. 42 rozporządzenia (UE) 2018/1725.</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92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 xml:space="preserve">Wniosek dotyczący </w:t>
      </w:r>
      <w:r w:rsidRPr="003746B8">
        <w:t>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38 – ustęp 2</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 xml:space="preserve">Uprawnienia do przyjmowania aktów delegowanych, o których mowa w art. 11, </w:t>
            </w:r>
            <w:r w:rsidRPr="003746B8">
              <w:rPr>
                <w:b/>
                <w:i/>
              </w:rPr>
              <w:t>33</w:t>
            </w:r>
            <w:r w:rsidRPr="003746B8">
              <w:t xml:space="preserve">, </w:t>
            </w:r>
            <w:r w:rsidRPr="003746B8">
              <w:rPr>
                <w:b/>
                <w:i/>
              </w:rPr>
              <w:t>34</w:t>
            </w:r>
            <w:r w:rsidRPr="003746B8">
              <w:t xml:space="preserve"> i</w:t>
            </w:r>
            <w:r w:rsidRPr="003746B8">
              <w:rPr>
                <w:b/>
                <w:i/>
              </w:rPr>
              <w:t> 35</w:t>
            </w:r>
            <w:r w:rsidRPr="003746B8">
              <w:t xml:space="preserve">, powierza się Komisji na czas nieokreślony od [dnia </w:t>
            </w:r>
            <w:r w:rsidRPr="003746B8">
              <w:t>wejścia w życie niniejszego rozporządzenia].</w:t>
            </w:r>
          </w:p>
        </w:tc>
        <w:tc>
          <w:tcPr>
            <w:tcW w:w="4876" w:type="dxa"/>
            <w:hideMark/>
          </w:tcPr>
          <w:p w:rsidR="002F7FE1" w:rsidRPr="003746B8" w:rsidRDefault="00B029A7" w:rsidP="000462E9">
            <w:pPr>
              <w:pStyle w:val="Normal6"/>
              <w:rPr>
                <w:szCs w:val="24"/>
              </w:rPr>
            </w:pPr>
            <w:r w:rsidRPr="003746B8">
              <w:t>2.</w:t>
            </w:r>
            <w:r w:rsidRPr="003746B8">
              <w:tab/>
              <w:t xml:space="preserve">Uprawnienia do przyjmowania aktów delegowanych, o których mowa w art. 11, </w:t>
            </w:r>
            <w:r w:rsidRPr="003746B8">
              <w:rPr>
                <w:b/>
                <w:i/>
              </w:rPr>
              <w:t>34</w:t>
            </w:r>
            <w:r w:rsidRPr="003746B8">
              <w:t xml:space="preserve">, </w:t>
            </w:r>
            <w:r w:rsidRPr="003746B8">
              <w:rPr>
                <w:b/>
                <w:i/>
              </w:rPr>
              <w:t>35</w:t>
            </w:r>
            <w:r w:rsidRPr="003746B8">
              <w:t xml:space="preserve"> i</w:t>
            </w:r>
            <w:r w:rsidRPr="003746B8">
              <w:rPr>
                <w:b/>
                <w:i/>
              </w:rPr>
              <w:t xml:space="preserve"> 36</w:t>
            </w:r>
            <w:r w:rsidRPr="003746B8">
              <w:t>, powierza się Komisji na czas nieokreślony od [dnia wejścia w życie niniejszego rozporządzenia].</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93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Artykuł 38 – ustęp 3</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w:t>
            </w:r>
            <w:r w:rsidRPr="003746B8">
              <w:tab/>
              <w:t xml:space="preserve">Przekazanie uprawnień do przyjmowania aktów delegowanych, o których mowa w art. 11, </w:t>
            </w:r>
            <w:r w:rsidRPr="003746B8">
              <w:rPr>
                <w:b/>
                <w:i/>
              </w:rPr>
              <w:t>33</w:t>
            </w:r>
            <w:r w:rsidRPr="003746B8">
              <w:t xml:space="preserve">, </w:t>
            </w:r>
            <w:r w:rsidRPr="003746B8">
              <w:rPr>
                <w:b/>
                <w:i/>
              </w:rPr>
              <w:t>34</w:t>
            </w:r>
            <w:r w:rsidRPr="003746B8">
              <w:t xml:space="preserve"> i </w:t>
            </w:r>
            <w:r w:rsidRPr="003746B8">
              <w:rPr>
                <w:b/>
                <w:i/>
              </w:rPr>
              <w:t>3</w:t>
            </w:r>
            <w:r w:rsidRPr="003746B8">
              <w:rPr>
                <w:b/>
                <w:i/>
              </w:rPr>
              <w:t>5</w:t>
            </w:r>
            <w:r w:rsidRPr="003746B8">
              <w:t xml:space="preserve">, może w dowolnym momencie zostać odwołane przez Parlament Europejski lub przez Radę. Decyzja o odwołaniu kończy </w:t>
            </w:r>
            <w:r w:rsidRPr="003746B8">
              <w:lastRenderedPageBreak/>
              <w:t>przekazanie określonych w niej uprawnień. Decyzja o odwołaniu staje się skuteczna następnego dnia po jej opublikowaniu w Dzienniku Urzędowym U</w:t>
            </w:r>
            <w:r w:rsidRPr="003746B8">
              <w:t>nii Europejskiej lub w określonym w tej decyzji późniejszym terminie. Nie wpływa ona na ważność jakichkolwiek już obowiązujących aktów delegowanych.</w:t>
            </w:r>
          </w:p>
        </w:tc>
        <w:tc>
          <w:tcPr>
            <w:tcW w:w="4876" w:type="dxa"/>
            <w:hideMark/>
          </w:tcPr>
          <w:p w:rsidR="002F7FE1" w:rsidRPr="003746B8" w:rsidRDefault="00B029A7" w:rsidP="000462E9">
            <w:pPr>
              <w:pStyle w:val="Normal6"/>
              <w:rPr>
                <w:szCs w:val="24"/>
              </w:rPr>
            </w:pPr>
            <w:r w:rsidRPr="003746B8">
              <w:lastRenderedPageBreak/>
              <w:t>3.</w:t>
            </w:r>
            <w:r w:rsidRPr="003746B8">
              <w:tab/>
              <w:t xml:space="preserve">Przekazanie uprawnień do przyjmowania aktów delegowanych, o których mowa w art. 11, </w:t>
            </w:r>
            <w:r w:rsidRPr="003746B8">
              <w:rPr>
                <w:b/>
                <w:i/>
              </w:rPr>
              <w:t>34</w:t>
            </w:r>
            <w:r w:rsidRPr="003746B8">
              <w:t xml:space="preserve">, </w:t>
            </w:r>
            <w:r w:rsidRPr="003746B8">
              <w:rPr>
                <w:b/>
                <w:i/>
              </w:rPr>
              <w:t>35</w:t>
            </w:r>
            <w:r w:rsidRPr="003746B8">
              <w:t xml:space="preserve"> i </w:t>
            </w:r>
            <w:r w:rsidRPr="003746B8">
              <w:rPr>
                <w:b/>
                <w:i/>
              </w:rPr>
              <w:t>36</w:t>
            </w:r>
            <w:r w:rsidRPr="003746B8">
              <w:t>, może w </w:t>
            </w:r>
            <w:r w:rsidRPr="003746B8">
              <w:t xml:space="preserve">dowolnym momencie zostać odwołane przez Parlament Europejski lub przez Radę. Decyzja o odwołaniu kończy </w:t>
            </w:r>
            <w:r w:rsidRPr="003746B8">
              <w:lastRenderedPageBreak/>
              <w:t>przekazanie określonych w niej uprawnień. Decyzja o odwołaniu staje się skuteczna następnego dnia po jej opublikowaniu w Dzienniku Urzędowym Unii Europe</w:t>
            </w:r>
            <w:r w:rsidRPr="003746B8">
              <w:t>jskiej lub w określonym w tej decyzji późniejszym terminie. Nie wpływa ona na ważność jakichkolwiek już obowiązujących aktów delegowanych.</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94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 xml:space="preserve">Artykuł </w:t>
      </w:r>
      <w:r w:rsidRPr="003746B8">
        <w:t>38 – ustęp 6</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6.</w:t>
            </w:r>
            <w:r w:rsidRPr="003746B8">
              <w:tab/>
              <w:t xml:space="preserve">Akt delegowany przyjęty na podstawie art. 11, </w:t>
            </w:r>
            <w:r w:rsidRPr="003746B8">
              <w:rPr>
                <w:b/>
                <w:i/>
              </w:rPr>
              <w:t>33</w:t>
            </w:r>
            <w:r w:rsidRPr="003746B8">
              <w:t xml:space="preserve">, </w:t>
            </w:r>
            <w:r w:rsidRPr="003746B8">
              <w:rPr>
                <w:b/>
                <w:i/>
              </w:rPr>
              <w:t>34</w:t>
            </w:r>
            <w:r w:rsidRPr="003746B8">
              <w:t xml:space="preserve"> i </w:t>
            </w:r>
            <w:r w:rsidRPr="003746B8">
              <w:rPr>
                <w:b/>
                <w:i/>
              </w:rPr>
              <w:t>35</w:t>
            </w:r>
            <w:r w:rsidRPr="003746B8">
              <w:t xml:space="preserve"> wchodzi w życie tylko wtedy, gdy Parlament Europejski ani Rada nie zgłoszą sprzeciwu w terminie jednego miesiąca od przekazania </w:t>
            </w:r>
            <w:r w:rsidRPr="003746B8">
              <w:t>tego aktu Parlamentowi Europejskiemu i Radzie lub jeśli przed upływem tego terminu zarówno Parlament Europejski, jak i Rada poinformowały Komisję, że nie wniosą sprzeciwu. Termin ten przedłuża się o dwa miesiące z inicjatywy Parlamentu Europejskiego lub Ra</w:t>
            </w:r>
            <w:r w:rsidRPr="003746B8">
              <w:t>dy.</w:t>
            </w:r>
          </w:p>
        </w:tc>
        <w:tc>
          <w:tcPr>
            <w:tcW w:w="4876" w:type="dxa"/>
            <w:hideMark/>
          </w:tcPr>
          <w:p w:rsidR="002F7FE1" w:rsidRPr="003746B8" w:rsidRDefault="00B029A7" w:rsidP="000462E9">
            <w:pPr>
              <w:pStyle w:val="Normal6"/>
              <w:rPr>
                <w:szCs w:val="24"/>
              </w:rPr>
            </w:pPr>
            <w:r w:rsidRPr="003746B8">
              <w:t>6.</w:t>
            </w:r>
            <w:r w:rsidRPr="003746B8">
              <w:tab/>
              <w:t xml:space="preserve">Akt delegowany przyjęty na podstawie art. 11, </w:t>
            </w:r>
            <w:r w:rsidRPr="003746B8">
              <w:rPr>
                <w:b/>
                <w:i/>
              </w:rPr>
              <w:t>34</w:t>
            </w:r>
            <w:r w:rsidRPr="003746B8">
              <w:t xml:space="preserve">, </w:t>
            </w:r>
            <w:r w:rsidRPr="003746B8">
              <w:rPr>
                <w:b/>
                <w:i/>
              </w:rPr>
              <w:t>35</w:t>
            </w:r>
            <w:r w:rsidRPr="003746B8">
              <w:t xml:space="preserve"> i </w:t>
            </w:r>
            <w:r w:rsidRPr="003746B8">
              <w:rPr>
                <w:b/>
                <w:i/>
              </w:rPr>
              <w:t>36</w:t>
            </w:r>
            <w:r w:rsidRPr="003746B8">
              <w:t xml:space="preserve"> wchodzi w życie tylko wtedy, gdy Parlament Europejski ani Rada nie zgłoszą sprzeciwu w terminie jednego miesiąca od przekazania tego aktu Parlamentowi Europejskiemu i Radzie lub jeśli przed u</w:t>
            </w:r>
            <w:r w:rsidRPr="003746B8">
              <w:t>pływem tego terminu zarówno Parlament Europejski, jak i Rada poinformowały Komisję, że nie wniosą sprzeciwu. Termin ten przedłuża się o dwa miesiące z inicjatywy Parlamentu Europejskiego lub Rady.</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95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II – akapit 1 – wprowadzenie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Podstawowe usługi płatnicze związane z cyfrowym euro na rzecz osób fizycznych obejmują:</w:t>
            </w:r>
          </w:p>
        </w:tc>
        <w:tc>
          <w:tcPr>
            <w:tcW w:w="4876" w:type="dxa"/>
            <w:hideMark/>
          </w:tcPr>
          <w:p w:rsidR="002F7FE1" w:rsidRPr="003746B8" w:rsidRDefault="00B029A7" w:rsidP="000462E9">
            <w:pPr>
              <w:pStyle w:val="Normal6"/>
              <w:rPr>
                <w:szCs w:val="24"/>
              </w:rPr>
            </w:pPr>
            <w:r w:rsidRPr="003746B8">
              <w:t xml:space="preserve">Podstawowe usługi </w:t>
            </w:r>
            <w:r w:rsidRPr="003746B8">
              <w:t>płatnicze związane z cyfrowym euro</w:t>
            </w:r>
            <w:r w:rsidRPr="003746B8">
              <w:rPr>
                <w:b/>
                <w:i/>
              </w:rPr>
              <w:t>, dla cyfrowego euro zarówno w trybie online, jak i offline,</w:t>
            </w:r>
            <w:r w:rsidRPr="003746B8">
              <w:t xml:space="preserve"> na rzecz osób fizycznych obejmują:</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96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lastRenderedPageBreak/>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II – ak</w:t>
      </w:r>
      <w:r w:rsidRPr="003746B8">
        <w:t>apit 1 – litera a</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a)</w:t>
            </w:r>
            <w:r w:rsidRPr="003746B8">
              <w:tab/>
              <w:t>otwieranie, prowadzenie i</w:t>
            </w:r>
            <w:r w:rsidRPr="003746B8">
              <w:rPr>
                <w:b/>
                <w:i/>
              </w:rPr>
              <w:t> zamykanie</w:t>
            </w:r>
            <w:r w:rsidRPr="003746B8">
              <w:t xml:space="preserve"> rachunku płatniczego w</w:t>
            </w:r>
            <w:r w:rsidRPr="003746B8">
              <w:rPr>
                <w:b/>
                <w:i/>
              </w:rPr>
              <w:t> </w:t>
            </w:r>
            <w:r w:rsidRPr="003746B8">
              <w:t>cyfrowym euro;</w:t>
            </w:r>
          </w:p>
        </w:tc>
        <w:tc>
          <w:tcPr>
            <w:tcW w:w="4876" w:type="dxa"/>
            <w:hideMark/>
          </w:tcPr>
          <w:p w:rsidR="002F7FE1" w:rsidRPr="003746B8" w:rsidRDefault="00B029A7" w:rsidP="000462E9">
            <w:pPr>
              <w:pStyle w:val="Normal6"/>
              <w:rPr>
                <w:szCs w:val="24"/>
              </w:rPr>
            </w:pPr>
            <w:r w:rsidRPr="003746B8">
              <w:t>a)</w:t>
            </w:r>
            <w:r w:rsidRPr="003746B8">
              <w:tab/>
              <w:t>otwieranie, prowadzenie</w:t>
            </w:r>
            <w:r w:rsidRPr="003746B8">
              <w:rPr>
                <w:b/>
                <w:i/>
              </w:rPr>
              <w:t>, zamykanie</w:t>
            </w:r>
            <w:r w:rsidRPr="003746B8">
              <w:t xml:space="preserve"> i</w:t>
            </w:r>
            <w:r w:rsidRPr="003746B8">
              <w:rPr>
                <w:b/>
                <w:i/>
              </w:rPr>
              <w:t xml:space="preserve"> przenoszenie</w:t>
            </w:r>
            <w:r w:rsidRPr="003746B8">
              <w:t xml:space="preserve"> rachunku płatniczego w</w:t>
            </w:r>
            <w:r w:rsidRPr="003746B8">
              <w:rPr>
                <w:b/>
                <w:i/>
              </w:rPr>
              <w:t xml:space="preserve"> </w:t>
            </w:r>
            <w:r w:rsidRPr="003746B8">
              <w:t>cyfrowym euro;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97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II – akapit 1 – litera c</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c)</w:t>
            </w:r>
            <w:r w:rsidRPr="003746B8">
              <w:tab/>
            </w:r>
            <w:r w:rsidRPr="003746B8">
              <w:rPr>
                <w:b/>
                <w:i/>
              </w:rPr>
              <w:t xml:space="preserve">niezautomatyzowane </w:t>
            </w:r>
            <w:r w:rsidRPr="003746B8">
              <w:t>finansowanie i</w:t>
            </w:r>
            <w:r w:rsidRPr="003746B8">
              <w:rPr>
                <w:b/>
                <w:i/>
              </w:rPr>
              <w:t> </w:t>
            </w:r>
            <w:r w:rsidRPr="003746B8">
              <w:t>definansowanie z</w:t>
            </w:r>
            <w:r w:rsidRPr="003746B8">
              <w:rPr>
                <w:b/>
                <w:i/>
              </w:rPr>
              <w:t> </w:t>
            </w:r>
            <w:r w:rsidRPr="003746B8">
              <w:t xml:space="preserve">rachunku </w:t>
            </w:r>
            <w:r w:rsidRPr="003746B8">
              <w:t>płatniczego w</w:t>
            </w:r>
            <w:r w:rsidRPr="003746B8">
              <w:rPr>
                <w:b/>
                <w:i/>
              </w:rPr>
              <w:t> </w:t>
            </w:r>
            <w:r w:rsidRPr="003746B8">
              <w:t>niecyfrowym euro;</w:t>
            </w:r>
          </w:p>
        </w:tc>
        <w:tc>
          <w:tcPr>
            <w:tcW w:w="4876" w:type="dxa"/>
            <w:hideMark/>
          </w:tcPr>
          <w:p w:rsidR="002F7FE1" w:rsidRPr="003746B8" w:rsidRDefault="00B029A7" w:rsidP="000462E9">
            <w:pPr>
              <w:pStyle w:val="Normal6"/>
              <w:rPr>
                <w:szCs w:val="24"/>
              </w:rPr>
            </w:pPr>
            <w:r w:rsidRPr="003746B8">
              <w:t>c)</w:t>
            </w:r>
            <w:r w:rsidRPr="003746B8">
              <w:tab/>
              <w:t>finansowanie i</w:t>
            </w:r>
            <w:r w:rsidRPr="003746B8">
              <w:rPr>
                <w:b/>
                <w:i/>
              </w:rPr>
              <w:t xml:space="preserve"> </w:t>
            </w:r>
            <w:r w:rsidRPr="003746B8">
              <w:t>definansowanie z</w:t>
            </w:r>
            <w:r w:rsidRPr="003746B8">
              <w:rPr>
                <w:b/>
                <w:i/>
              </w:rPr>
              <w:t xml:space="preserve"> </w:t>
            </w:r>
            <w:r w:rsidRPr="003746B8">
              <w:t>rachunku płatniczego w</w:t>
            </w:r>
            <w:r w:rsidRPr="003746B8">
              <w:rPr>
                <w:b/>
                <w:i/>
              </w:rPr>
              <w:t xml:space="preserve"> </w:t>
            </w:r>
            <w:r w:rsidRPr="003746B8">
              <w:t>niecyfrowym</w:t>
            </w:r>
            <w:r w:rsidRPr="003746B8">
              <w:rPr>
                <w:b/>
                <w:i/>
              </w:rPr>
              <w:t xml:space="preserve"> euro na rachunek w cyfrowym</w:t>
            </w:r>
            <w:r w:rsidRPr="003746B8">
              <w:t xml:space="preserve"> euro;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98</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w:t>
      </w:r>
      <w:r w:rsidRPr="003746B8">
        <w:t>I – akapit 1 – litera e – wprowadzenie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e)</w:t>
            </w:r>
            <w:r w:rsidRPr="003746B8">
              <w:tab/>
              <w:t>inicjowanie i</w:t>
            </w:r>
            <w:r w:rsidRPr="003746B8">
              <w:rPr>
                <w:b/>
                <w:i/>
              </w:rPr>
              <w:t> </w:t>
            </w:r>
            <w:r w:rsidRPr="003746B8">
              <w:t>przyjmowanie transakcji płatniczych w</w:t>
            </w:r>
            <w:r w:rsidRPr="003746B8">
              <w:rPr>
                <w:b/>
                <w:i/>
              </w:rPr>
              <w:t> </w:t>
            </w:r>
            <w:r w:rsidRPr="003746B8">
              <w:t>cyfrowym euro za pośrednictwem elektronicznego instrumentu płatniczego, z</w:t>
            </w:r>
            <w:r w:rsidRPr="003746B8">
              <w:rPr>
                <w:b/>
                <w:i/>
              </w:rPr>
              <w:t> </w:t>
            </w:r>
            <w:r w:rsidRPr="003746B8">
              <w:t>wyłączeniem warunkowych transakcji</w:t>
            </w:r>
            <w:r w:rsidRPr="003746B8">
              <w:t xml:space="preserve"> płatniczych w</w:t>
            </w:r>
            <w:r w:rsidRPr="003746B8">
              <w:rPr>
                <w:b/>
                <w:i/>
              </w:rPr>
              <w:t> </w:t>
            </w:r>
            <w:r w:rsidRPr="003746B8">
              <w:t>cyfrowym euro innych niż zlecenia stałe, w</w:t>
            </w:r>
            <w:r w:rsidRPr="003746B8">
              <w:rPr>
                <w:b/>
                <w:i/>
              </w:rPr>
              <w:t> </w:t>
            </w:r>
            <w:r w:rsidRPr="003746B8">
              <w:t>następujących przypadkach użycia:</w:t>
            </w:r>
          </w:p>
        </w:tc>
        <w:tc>
          <w:tcPr>
            <w:tcW w:w="4876" w:type="dxa"/>
            <w:hideMark/>
          </w:tcPr>
          <w:p w:rsidR="002F7FE1" w:rsidRPr="003746B8" w:rsidRDefault="00B029A7" w:rsidP="000462E9">
            <w:pPr>
              <w:pStyle w:val="Normal6"/>
              <w:rPr>
                <w:szCs w:val="24"/>
              </w:rPr>
            </w:pPr>
            <w:r w:rsidRPr="003746B8">
              <w:t>e)</w:t>
            </w:r>
            <w:r w:rsidRPr="003746B8">
              <w:tab/>
              <w:t>inicjowanie i</w:t>
            </w:r>
            <w:r w:rsidRPr="003746B8">
              <w:rPr>
                <w:b/>
                <w:i/>
              </w:rPr>
              <w:t xml:space="preserve"> </w:t>
            </w:r>
            <w:r w:rsidRPr="003746B8">
              <w:t>przyjmowanie transakcji płatniczych w</w:t>
            </w:r>
            <w:r w:rsidRPr="003746B8">
              <w:rPr>
                <w:b/>
                <w:i/>
              </w:rPr>
              <w:t xml:space="preserve"> </w:t>
            </w:r>
            <w:r w:rsidRPr="003746B8">
              <w:t>cyfrowym euro za pośrednictwem elektronicznego instrumentu płatniczego, z</w:t>
            </w:r>
            <w:r w:rsidRPr="003746B8">
              <w:rPr>
                <w:b/>
                <w:i/>
              </w:rPr>
              <w:t xml:space="preserve"> </w:t>
            </w:r>
            <w:r w:rsidRPr="003746B8">
              <w:t xml:space="preserve">wyłączeniem warunkowych transakcji </w:t>
            </w:r>
            <w:r w:rsidRPr="003746B8">
              <w:t>płatniczych w</w:t>
            </w:r>
            <w:r w:rsidRPr="003746B8">
              <w:rPr>
                <w:b/>
                <w:i/>
              </w:rPr>
              <w:t xml:space="preserve"> </w:t>
            </w:r>
            <w:r w:rsidRPr="003746B8">
              <w:t>cyfrowym euro innych niż zlecenia stałe</w:t>
            </w:r>
            <w:r w:rsidRPr="003746B8">
              <w:rPr>
                <w:b/>
                <w:i/>
              </w:rPr>
              <w:t xml:space="preserve"> i polecenia zapłaty</w:t>
            </w:r>
            <w:r w:rsidRPr="003746B8">
              <w:t>, w</w:t>
            </w:r>
            <w:r w:rsidRPr="003746B8">
              <w:rPr>
                <w:b/>
                <w:i/>
              </w:rPr>
              <w:t xml:space="preserve"> </w:t>
            </w:r>
            <w:r w:rsidRPr="003746B8">
              <w:t>następujących przypadkach użycia:</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99</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III – punkt 1 – wprowadzen</w:t>
      </w:r>
      <w:r w:rsidRPr="003746B8">
        <w:t>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w:t>
            </w:r>
            <w:r w:rsidRPr="003746B8">
              <w:tab/>
              <w:t>Do celów określonych w</w:t>
            </w:r>
            <w:r w:rsidRPr="003746B8">
              <w:rPr>
                <w:b/>
                <w:i/>
              </w:rPr>
              <w:t> </w:t>
            </w:r>
            <w:r w:rsidRPr="003746B8">
              <w:t>art.</w:t>
            </w:r>
            <w:r w:rsidRPr="003746B8">
              <w:rPr>
                <w:b/>
                <w:i/>
              </w:rPr>
              <w:t> </w:t>
            </w:r>
            <w:r w:rsidRPr="003746B8">
              <w:t>34 ust.</w:t>
            </w:r>
            <w:r w:rsidRPr="003746B8">
              <w:rPr>
                <w:b/>
                <w:i/>
              </w:rPr>
              <w:t> </w:t>
            </w:r>
            <w:r w:rsidRPr="003746B8">
              <w:t>1 lit.</w:t>
            </w:r>
            <w:r w:rsidRPr="003746B8">
              <w:rPr>
                <w:b/>
                <w:i/>
              </w:rPr>
              <w:t> </w:t>
            </w:r>
            <w:r w:rsidRPr="003746B8">
              <w:t xml:space="preserve">a) przetwarzanie ogranicza się do </w:t>
            </w:r>
            <w:r w:rsidRPr="003746B8">
              <w:lastRenderedPageBreak/>
              <w:t>następujących danych:</w:t>
            </w:r>
          </w:p>
        </w:tc>
        <w:tc>
          <w:tcPr>
            <w:tcW w:w="4876" w:type="dxa"/>
            <w:hideMark/>
          </w:tcPr>
          <w:p w:rsidR="002F7FE1" w:rsidRPr="003746B8" w:rsidRDefault="00B029A7" w:rsidP="000462E9">
            <w:pPr>
              <w:pStyle w:val="Normal6"/>
              <w:rPr>
                <w:szCs w:val="24"/>
              </w:rPr>
            </w:pPr>
            <w:r w:rsidRPr="003746B8">
              <w:lastRenderedPageBreak/>
              <w:t>1.</w:t>
            </w:r>
            <w:r w:rsidRPr="003746B8">
              <w:tab/>
              <w:t>Do celów określonych w</w:t>
            </w:r>
            <w:r w:rsidRPr="003746B8">
              <w:rPr>
                <w:b/>
                <w:i/>
              </w:rPr>
              <w:t xml:space="preserve"> </w:t>
            </w:r>
            <w:r w:rsidRPr="003746B8">
              <w:t>art.</w:t>
            </w:r>
            <w:r w:rsidRPr="003746B8">
              <w:rPr>
                <w:b/>
                <w:i/>
              </w:rPr>
              <w:t xml:space="preserve"> </w:t>
            </w:r>
            <w:r w:rsidRPr="003746B8">
              <w:t>34 ust.</w:t>
            </w:r>
            <w:r w:rsidRPr="003746B8">
              <w:rPr>
                <w:b/>
                <w:i/>
              </w:rPr>
              <w:t xml:space="preserve"> </w:t>
            </w:r>
            <w:r w:rsidRPr="003746B8">
              <w:t>1 lit.</w:t>
            </w:r>
            <w:r w:rsidRPr="003746B8">
              <w:rPr>
                <w:b/>
                <w:i/>
              </w:rPr>
              <w:t xml:space="preserve"> </w:t>
            </w:r>
            <w:r w:rsidRPr="003746B8">
              <w:t xml:space="preserve">a) przetwarzanie </w:t>
            </w:r>
            <w:r w:rsidRPr="003746B8">
              <w:rPr>
                <w:b/>
                <w:i/>
              </w:rPr>
              <w:t xml:space="preserve">danych osobowych </w:t>
            </w:r>
            <w:r w:rsidRPr="003746B8">
              <w:lastRenderedPageBreak/>
              <w:t>ogranicza się</w:t>
            </w:r>
            <w:r w:rsidRPr="003746B8">
              <w:rPr>
                <w:b/>
                <w:i/>
              </w:rPr>
              <w:t xml:space="preserve"> ściśle</w:t>
            </w:r>
            <w:r w:rsidRPr="003746B8">
              <w:t xml:space="preserve"> do następujących danych:</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100</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III – punkt 1 – podpunkt iii</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(iii)</w:t>
            </w:r>
            <w:r w:rsidRPr="003746B8">
              <w:tab/>
              <w:t xml:space="preserve">informacje </w:t>
            </w:r>
            <w:r w:rsidRPr="003746B8">
              <w:t xml:space="preserve">dotyczące rachunków płatniczych w cyfrowym euro, </w:t>
            </w:r>
            <w:r w:rsidRPr="003746B8">
              <w:rPr>
                <w:b/>
                <w:i/>
              </w:rPr>
              <w:t>w tym</w:t>
            </w:r>
            <w:r w:rsidRPr="003746B8">
              <w:t xml:space="preserve"> informacje dotyczące zasobów cyfrowego euro użytkownika cyfrowego euro i unikatowy numer rachunku płatniczego w cyfrowym euro; oraz</w:t>
            </w:r>
          </w:p>
        </w:tc>
        <w:tc>
          <w:tcPr>
            <w:tcW w:w="4876" w:type="dxa"/>
            <w:hideMark/>
          </w:tcPr>
          <w:p w:rsidR="002F7FE1" w:rsidRPr="003746B8" w:rsidRDefault="00B029A7" w:rsidP="000462E9">
            <w:pPr>
              <w:pStyle w:val="Normal6"/>
              <w:rPr>
                <w:szCs w:val="24"/>
              </w:rPr>
            </w:pPr>
            <w:r w:rsidRPr="003746B8">
              <w:t>(iii)</w:t>
            </w:r>
            <w:r w:rsidRPr="003746B8">
              <w:tab/>
              <w:t xml:space="preserve">informacje dotyczące rachunków płatniczych w cyfrowym euro, </w:t>
            </w:r>
            <w:r w:rsidRPr="003746B8">
              <w:rPr>
                <w:b/>
                <w:i/>
              </w:rPr>
              <w:t>roz</w:t>
            </w:r>
            <w:r w:rsidRPr="003746B8">
              <w:rPr>
                <w:b/>
                <w:i/>
              </w:rPr>
              <w:t>umiane jako</w:t>
            </w:r>
            <w:r w:rsidRPr="003746B8">
              <w:t xml:space="preserve"> informacje dotyczące zasobów cyfrowego euro użytkownika cyfrowego euro i unikatowy numer rachunku płatniczego w cyfrowym euro; oraz</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101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w:t>
      </w:r>
      <w:r w:rsidRPr="003746B8">
        <w:t>łącznik III – punkt 1 – podpunkt iv</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(iv)</w:t>
            </w:r>
            <w:r w:rsidRPr="003746B8">
              <w:tab/>
              <w:t xml:space="preserve">informacje dotyczące transakcji płatniczych w cyfrowym euro dokonywanych w trybie online, </w:t>
            </w:r>
            <w:r w:rsidRPr="003746B8">
              <w:rPr>
                <w:b/>
                <w:i/>
              </w:rPr>
              <w:t>w tym</w:t>
            </w:r>
            <w:r w:rsidRPr="003746B8">
              <w:t xml:space="preserve"> identyfikator transakcji i kwota transakcji.</w:t>
            </w:r>
          </w:p>
        </w:tc>
        <w:tc>
          <w:tcPr>
            <w:tcW w:w="4876" w:type="dxa"/>
            <w:hideMark/>
          </w:tcPr>
          <w:p w:rsidR="002F7FE1" w:rsidRPr="003746B8" w:rsidRDefault="00B029A7" w:rsidP="000462E9">
            <w:pPr>
              <w:pStyle w:val="Normal6"/>
              <w:rPr>
                <w:szCs w:val="24"/>
              </w:rPr>
            </w:pPr>
            <w:r w:rsidRPr="003746B8">
              <w:t>(iv)</w:t>
            </w:r>
            <w:r w:rsidRPr="003746B8">
              <w:tab/>
            </w:r>
            <w:r w:rsidRPr="003746B8">
              <w:t xml:space="preserve">informacje dotyczące transakcji płatniczych w cyfrowym euro dokonywanych w trybie online, </w:t>
            </w:r>
            <w:r w:rsidRPr="003746B8">
              <w:rPr>
                <w:b/>
                <w:i/>
              </w:rPr>
              <w:t>rozumiane jako</w:t>
            </w:r>
            <w:r w:rsidRPr="003746B8">
              <w:t xml:space="preserve"> identyfikator transakcji i kwota transakcji.</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102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III – punkt 2 – wprowadzenie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Do celów określonych w</w:t>
            </w:r>
            <w:r w:rsidRPr="003746B8">
              <w:rPr>
                <w:b/>
                <w:i/>
              </w:rPr>
              <w:t> </w:t>
            </w:r>
            <w:r w:rsidRPr="003746B8">
              <w:t>art.</w:t>
            </w:r>
            <w:r w:rsidRPr="003746B8">
              <w:rPr>
                <w:b/>
                <w:i/>
              </w:rPr>
              <w:t> </w:t>
            </w:r>
            <w:r w:rsidRPr="003746B8">
              <w:t>34 ust.</w:t>
            </w:r>
            <w:r w:rsidRPr="003746B8">
              <w:rPr>
                <w:b/>
                <w:i/>
              </w:rPr>
              <w:t> </w:t>
            </w:r>
            <w:r w:rsidRPr="003746B8">
              <w:t>1 lit.</w:t>
            </w:r>
            <w:r w:rsidRPr="003746B8">
              <w:rPr>
                <w:b/>
                <w:i/>
              </w:rPr>
              <w:t> </w:t>
            </w:r>
            <w:r w:rsidRPr="003746B8">
              <w:t>b) przetwarzanie ogranicza się do następujących danych:</w:t>
            </w:r>
          </w:p>
        </w:tc>
        <w:tc>
          <w:tcPr>
            <w:tcW w:w="4876" w:type="dxa"/>
            <w:hideMark/>
          </w:tcPr>
          <w:p w:rsidR="002F7FE1" w:rsidRPr="003746B8" w:rsidRDefault="00B029A7" w:rsidP="000462E9">
            <w:pPr>
              <w:pStyle w:val="Normal6"/>
              <w:rPr>
                <w:szCs w:val="24"/>
              </w:rPr>
            </w:pPr>
            <w:r w:rsidRPr="003746B8">
              <w:t>2.</w:t>
            </w:r>
            <w:r w:rsidRPr="003746B8">
              <w:tab/>
              <w:t>Do celów określonych w</w:t>
            </w:r>
            <w:r w:rsidRPr="003746B8">
              <w:rPr>
                <w:b/>
                <w:i/>
              </w:rPr>
              <w:t xml:space="preserve"> </w:t>
            </w:r>
            <w:r w:rsidRPr="003746B8">
              <w:t>art.</w:t>
            </w:r>
            <w:r w:rsidRPr="003746B8">
              <w:rPr>
                <w:b/>
                <w:i/>
              </w:rPr>
              <w:t xml:space="preserve"> </w:t>
            </w:r>
            <w:r w:rsidRPr="003746B8">
              <w:t>34 ust.</w:t>
            </w:r>
            <w:r w:rsidRPr="003746B8">
              <w:rPr>
                <w:b/>
                <w:i/>
              </w:rPr>
              <w:t xml:space="preserve"> </w:t>
            </w:r>
            <w:r w:rsidRPr="003746B8">
              <w:t>1 lit.</w:t>
            </w:r>
            <w:r w:rsidRPr="003746B8">
              <w:rPr>
                <w:b/>
                <w:i/>
              </w:rPr>
              <w:t xml:space="preserve"> </w:t>
            </w:r>
            <w:r w:rsidRPr="003746B8">
              <w:t>b) prz</w:t>
            </w:r>
            <w:r w:rsidRPr="003746B8">
              <w:t xml:space="preserve">etwarzanie </w:t>
            </w:r>
            <w:r w:rsidRPr="003746B8">
              <w:rPr>
                <w:b/>
                <w:i/>
              </w:rPr>
              <w:t xml:space="preserve">danych osobowych </w:t>
            </w:r>
            <w:r w:rsidRPr="003746B8">
              <w:t>ogranicza się</w:t>
            </w:r>
            <w:r w:rsidRPr="003746B8">
              <w:rPr>
                <w:b/>
                <w:i/>
              </w:rPr>
              <w:t xml:space="preserve"> ściśle</w:t>
            </w:r>
            <w:r w:rsidRPr="003746B8">
              <w:t xml:space="preserve"> do następujących danych:</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103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lastRenderedPageBreak/>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III – punkt 2 – podpunkt iii</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 xml:space="preserve">Tekst proponowany </w:t>
            </w:r>
            <w:r w:rsidRPr="003746B8">
              <w:t>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(iii)</w:t>
            </w:r>
            <w:r w:rsidRPr="003746B8">
              <w:tab/>
              <w:t xml:space="preserve">informacje dotyczące rachunków płatniczych w cyfrowym euro, </w:t>
            </w:r>
            <w:r w:rsidRPr="003746B8">
              <w:rPr>
                <w:b/>
                <w:i/>
              </w:rPr>
              <w:t>w tym</w:t>
            </w:r>
            <w:r w:rsidRPr="003746B8">
              <w:t xml:space="preserve"> unikatowy numer rachunku płatniczego w cyfrowym euro; oraz</w:t>
            </w:r>
          </w:p>
        </w:tc>
        <w:tc>
          <w:tcPr>
            <w:tcW w:w="4876" w:type="dxa"/>
            <w:hideMark/>
          </w:tcPr>
          <w:p w:rsidR="002F7FE1" w:rsidRPr="003746B8" w:rsidRDefault="00B029A7" w:rsidP="000462E9">
            <w:pPr>
              <w:pStyle w:val="Normal6"/>
              <w:rPr>
                <w:szCs w:val="24"/>
              </w:rPr>
            </w:pPr>
            <w:r w:rsidRPr="003746B8">
              <w:t>(iii)</w:t>
            </w:r>
            <w:r w:rsidRPr="003746B8">
              <w:tab/>
              <w:t xml:space="preserve">informacje dotyczące rachunków płatniczych w cyfrowym euro, </w:t>
            </w:r>
            <w:r w:rsidRPr="003746B8">
              <w:rPr>
                <w:b/>
                <w:i/>
              </w:rPr>
              <w:t>rozumiane jako</w:t>
            </w:r>
            <w:r w:rsidRPr="003746B8">
              <w:t xml:space="preserve"> unikatowy numer rach</w:t>
            </w:r>
            <w:r w:rsidRPr="003746B8">
              <w:t>unku płatniczego w cyfrowym euro; oraz</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104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III – punkt 2 – podpunkt iv</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(iv)</w:t>
            </w:r>
            <w:r w:rsidRPr="003746B8">
              <w:tab/>
            </w:r>
            <w:r w:rsidRPr="003746B8">
              <w:t xml:space="preserve">informacje dotyczące rachunków płatniczych w niecyfrowym euro, </w:t>
            </w:r>
            <w:r w:rsidRPr="003746B8">
              <w:rPr>
                <w:b/>
                <w:i/>
              </w:rPr>
              <w:t>w tym</w:t>
            </w:r>
            <w:r w:rsidRPr="003746B8">
              <w:t xml:space="preserve"> numer rachunku powiązanego rachunku płatniczego w niecyfrowym euro.</w:t>
            </w:r>
          </w:p>
        </w:tc>
        <w:tc>
          <w:tcPr>
            <w:tcW w:w="4876" w:type="dxa"/>
            <w:hideMark/>
          </w:tcPr>
          <w:p w:rsidR="002F7FE1" w:rsidRPr="003746B8" w:rsidRDefault="00B029A7" w:rsidP="000462E9">
            <w:pPr>
              <w:pStyle w:val="Normal6"/>
              <w:rPr>
                <w:szCs w:val="24"/>
              </w:rPr>
            </w:pPr>
            <w:r w:rsidRPr="003746B8">
              <w:t>(iv)</w:t>
            </w:r>
            <w:r w:rsidRPr="003746B8">
              <w:tab/>
              <w:t xml:space="preserve">informacje dotyczące rachunków płatniczych w niecyfrowym euro, </w:t>
            </w:r>
            <w:r w:rsidRPr="003746B8">
              <w:rPr>
                <w:b/>
                <w:i/>
              </w:rPr>
              <w:t>rozumiane jako</w:t>
            </w:r>
            <w:r w:rsidRPr="003746B8">
              <w:t xml:space="preserve"> numer rachunku powiązanego rachunku </w:t>
            </w:r>
            <w:r w:rsidRPr="003746B8">
              <w:t>płatniczego w niecyfrowym euro.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105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III – punkt 3 – wprowadzenie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w:t>
            </w:r>
            <w:r w:rsidRPr="003746B8">
              <w:tab/>
              <w:t xml:space="preserve">Do celów </w:t>
            </w:r>
            <w:r w:rsidRPr="003746B8">
              <w:t>określonych w</w:t>
            </w:r>
            <w:r w:rsidRPr="003746B8">
              <w:rPr>
                <w:b/>
                <w:i/>
              </w:rPr>
              <w:t> </w:t>
            </w:r>
            <w:r w:rsidRPr="003746B8">
              <w:t>art.</w:t>
            </w:r>
            <w:r w:rsidRPr="003746B8">
              <w:rPr>
                <w:b/>
                <w:i/>
              </w:rPr>
              <w:t> </w:t>
            </w:r>
            <w:r w:rsidRPr="003746B8">
              <w:t>34 ust.</w:t>
            </w:r>
            <w:r w:rsidRPr="003746B8">
              <w:rPr>
                <w:b/>
                <w:i/>
              </w:rPr>
              <w:t> </w:t>
            </w:r>
            <w:r w:rsidRPr="003746B8">
              <w:t>1 lit.</w:t>
            </w:r>
            <w:r w:rsidRPr="003746B8">
              <w:rPr>
                <w:b/>
                <w:i/>
              </w:rPr>
              <w:t> </w:t>
            </w:r>
            <w:r w:rsidRPr="003746B8">
              <w:t>c) przetwarzanie ogranicza się do następujących danych:</w:t>
            </w:r>
          </w:p>
        </w:tc>
        <w:tc>
          <w:tcPr>
            <w:tcW w:w="4876" w:type="dxa"/>
            <w:hideMark/>
          </w:tcPr>
          <w:p w:rsidR="002F7FE1" w:rsidRPr="003746B8" w:rsidRDefault="00B029A7" w:rsidP="000462E9">
            <w:pPr>
              <w:pStyle w:val="Normal6"/>
              <w:rPr>
                <w:szCs w:val="24"/>
              </w:rPr>
            </w:pPr>
            <w:r w:rsidRPr="003746B8">
              <w:t>3.</w:t>
            </w:r>
            <w:r w:rsidRPr="003746B8">
              <w:tab/>
              <w:t>Do celów określonych w</w:t>
            </w:r>
            <w:r w:rsidRPr="003746B8">
              <w:rPr>
                <w:b/>
                <w:i/>
              </w:rPr>
              <w:t xml:space="preserve"> </w:t>
            </w:r>
            <w:r w:rsidRPr="003746B8">
              <w:t>art.</w:t>
            </w:r>
            <w:r w:rsidRPr="003746B8">
              <w:rPr>
                <w:b/>
                <w:i/>
              </w:rPr>
              <w:t xml:space="preserve"> </w:t>
            </w:r>
            <w:r w:rsidRPr="003746B8">
              <w:t>34 ust.</w:t>
            </w:r>
            <w:r w:rsidRPr="003746B8">
              <w:rPr>
                <w:b/>
                <w:i/>
              </w:rPr>
              <w:t xml:space="preserve"> </w:t>
            </w:r>
            <w:r w:rsidRPr="003746B8">
              <w:t>1 lit.</w:t>
            </w:r>
            <w:r w:rsidRPr="003746B8">
              <w:rPr>
                <w:b/>
                <w:i/>
              </w:rPr>
              <w:t xml:space="preserve"> </w:t>
            </w:r>
            <w:r w:rsidRPr="003746B8">
              <w:t xml:space="preserve">c) przetwarzanie </w:t>
            </w:r>
            <w:r w:rsidRPr="003746B8">
              <w:rPr>
                <w:b/>
                <w:i/>
              </w:rPr>
              <w:t xml:space="preserve">danych osobowych </w:t>
            </w:r>
            <w:r w:rsidRPr="003746B8">
              <w:t>ogranicza się</w:t>
            </w:r>
            <w:r w:rsidRPr="003746B8">
              <w:rPr>
                <w:b/>
                <w:i/>
              </w:rPr>
              <w:t xml:space="preserve"> ściśle</w:t>
            </w:r>
            <w:r w:rsidRPr="003746B8">
              <w:t xml:space="preserve"> do następujących danych:</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106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III – punkt 3 – podpunkt i</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w:t>
            </w:r>
            <w:r w:rsidRPr="003746B8">
              <w:tab/>
              <w:t xml:space="preserve">identyfikator użytkownika, </w:t>
            </w:r>
            <w:r w:rsidRPr="003746B8">
              <w:rPr>
                <w:b/>
                <w:i/>
              </w:rPr>
              <w:t>w tym</w:t>
            </w:r>
            <w:r w:rsidRPr="003746B8">
              <w:t xml:space="preserve"> nazwy posiadaczy lokalnych urządzeń pamięciowych; oraz</w:t>
            </w:r>
          </w:p>
        </w:tc>
        <w:tc>
          <w:tcPr>
            <w:tcW w:w="4876" w:type="dxa"/>
            <w:hideMark/>
          </w:tcPr>
          <w:p w:rsidR="002F7FE1" w:rsidRPr="003746B8" w:rsidRDefault="00B029A7" w:rsidP="000462E9">
            <w:pPr>
              <w:pStyle w:val="Normal6"/>
              <w:rPr>
                <w:szCs w:val="24"/>
              </w:rPr>
            </w:pPr>
            <w:r w:rsidRPr="003746B8">
              <w:t>(i)</w:t>
            </w:r>
            <w:r w:rsidRPr="003746B8">
              <w:tab/>
              <w:t xml:space="preserve">identyfikator użytkownika, </w:t>
            </w:r>
            <w:r w:rsidRPr="003746B8">
              <w:rPr>
                <w:b/>
                <w:i/>
              </w:rPr>
              <w:t>rozumiany jako</w:t>
            </w:r>
            <w:r w:rsidRPr="003746B8">
              <w:t xml:space="preserve"> nazwy posiadaczy lokalnych urządzeń pamięciowych; oraz</w:t>
            </w:r>
          </w:p>
        </w:tc>
      </w:tr>
    </w:tbl>
    <w:p w:rsidR="002F7FE1" w:rsidRPr="003746B8" w:rsidRDefault="00B029A7" w:rsidP="002F7FE1">
      <w:r w:rsidRPr="003746B8">
        <w:rPr>
          <w:rStyle w:val="HideTWBExt"/>
        </w:rPr>
        <w:lastRenderedPageBreak/>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107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III – punkt 3 – podpunkt ii</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(ii)</w:t>
            </w:r>
            <w:r w:rsidRPr="003746B8">
              <w:tab/>
              <w:t xml:space="preserve">informacje dotyczące lokalnych urządzeń pamięciowych, </w:t>
            </w:r>
            <w:r w:rsidRPr="003746B8">
              <w:rPr>
                <w:b/>
                <w:i/>
              </w:rPr>
              <w:t>w tym</w:t>
            </w:r>
            <w:r w:rsidRPr="003746B8">
              <w:t xml:space="preserve"> identyfikator lokalnego urządzenia pamięciowego.</w:t>
            </w:r>
          </w:p>
        </w:tc>
        <w:tc>
          <w:tcPr>
            <w:tcW w:w="4876" w:type="dxa"/>
            <w:hideMark/>
          </w:tcPr>
          <w:p w:rsidR="002F7FE1" w:rsidRPr="003746B8" w:rsidRDefault="00B029A7" w:rsidP="000462E9">
            <w:pPr>
              <w:pStyle w:val="Normal6"/>
              <w:rPr>
                <w:szCs w:val="24"/>
              </w:rPr>
            </w:pPr>
            <w:r w:rsidRPr="003746B8">
              <w:t>(ii)</w:t>
            </w:r>
            <w:r w:rsidRPr="003746B8">
              <w:tab/>
              <w:t xml:space="preserve">informacje dotyczące lokalnych urządzeń pamięciowych, </w:t>
            </w:r>
            <w:r w:rsidRPr="003746B8">
              <w:rPr>
                <w:b/>
                <w:i/>
              </w:rPr>
              <w:t>rozumiane jako</w:t>
            </w:r>
            <w:r w:rsidRPr="003746B8">
              <w:t xml:space="preserve"> identyfikator lokalnego urządzenia pamięciowego.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108</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IV – punkt 1 – wprowadzenie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1.</w:t>
            </w:r>
            <w:r w:rsidRPr="003746B8">
              <w:tab/>
            </w:r>
            <w:r w:rsidRPr="003746B8">
              <w:t>Do celów określonych w</w:t>
            </w:r>
            <w:r w:rsidRPr="003746B8">
              <w:rPr>
                <w:b/>
                <w:i/>
              </w:rPr>
              <w:t> </w:t>
            </w:r>
            <w:r w:rsidRPr="003746B8">
              <w:t>art.</w:t>
            </w:r>
            <w:r w:rsidRPr="003746B8">
              <w:rPr>
                <w:b/>
                <w:i/>
              </w:rPr>
              <w:t> </w:t>
            </w:r>
            <w:r w:rsidRPr="003746B8">
              <w:t>35 ust.</w:t>
            </w:r>
            <w:r w:rsidRPr="003746B8">
              <w:rPr>
                <w:b/>
                <w:i/>
              </w:rPr>
              <w:t> </w:t>
            </w:r>
            <w:r w:rsidRPr="003746B8">
              <w:t>1 lit.</w:t>
            </w:r>
            <w:r w:rsidRPr="003746B8">
              <w:rPr>
                <w:b/>
                <w:i/>
              </w:rPr>
              <w:t> </w:t>
            </w:r>
            <w:r w:rsidRPr="003746B8">
              <w:t>a) przetwarzanie ogranicza się do następujących danych:</w:t>
            </w:r>
          </w:p>
        </w:tc>
        <w:tc>
          <w:tcPr>
            <w:tcW w:w="4876" w:type="dxa"/>
            <w:hideMark/>
          </w:tcPr>
          <w:p w:rsidR="002F7FE1" w:rsidRPr="003746B8" w:rsidRDefault="00B029A7" w:rsidP="000462E9">
            <w:pPr>
              <w:pStyle w:val="Normal6"/>
              <w:rPr>
                <w:szCs w:val="24"/>
              </w:rPr>
            </w:pPr>
            <w:r w:rsidRPr="003746B8">
              <w:t>1.</w:t>
            </w:r>
            <w:r w:rsidRPr="003746B8">
              <w:tab/>
              <w:t>Do celów określonych w</w:t>
            </w:r>
            <w:r w:rsidRPr="003746B8">
              <w:rPr>
                <w:b/>
                <w:i/>
              </w:rPr>
              <w:t xml:space="preserve"> </w:t>
            </w:r>
            <w:r w:rsidRPr="003746B8">
              <w:t>art.</w:t>
            </w:r>
            <w:r w:rsidRPr="003746B8">
              <w:rPr>
                <w:b/>
                <w:i/>
              </w:rPr>
              <w:t xml:space="preserve"> </w:t>
            </w:r>
            <w:r w:rsidRPr="003746B8">
              <w:t>35 ust.</w:t>
            </w:r>
            <w:r w:rsidRPr="003746B8">
              <w:rPr>
                <w:b/>
                <w:i/>
              </w:rPr>
              <w:t xml:space="preserve"> </w:t>
            </w:r>
            <w:r w:rsidRPr="003746B8">
              <w:t>1 lit.</w:t>
            </w:r>
            <w:r w:rsidRPr="003746B8">
              <w:rPr>
                <w:b/>
                <w:i/>
              </w:rPr>
              <w:t xml:space="preserve"> </w:t>
            </w:r>
            <w:r w:rsidRPr="003746B8">
              <w:t xml:space="preserve">a) przetwarzanie </w:t>
            </w:r>
            <w:r w:rsidRPr="003746B8">
              <w:rPr>
                <w:b/>
                <w:i/>
              </w:rPr>
              <w:t xml:space="preserve">danych osobowych </w:t>
            </w:r>
            <w:r w:rsidRPr="003746B8">
              <w:t>ogranicza się</w:t>
            </w:r>
            <w:r w:rsidRPr="003746B8">
              <w:rPr>
                <w:b/>
                <w:i/>
              </w:rPr>
              <w:t xml:space="preserve"> ściśle</w:t>
            </w:r>
            <w:r w:rsidRPr="003746B8">
              <w:t xml:space="preserve"> do następujących danych:</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w:t>
      </w:r>
      <w:r w:rsidRPr="003746B8">
        <w:rPr>
          <w:rStyle w:val="HideTWBExt"/>
          <w:b w:val="0"/>
        </w:rPr>
        <w:t>Am&gt;</w:t>
      </w:r>
      <w:r w:rsidRPr="003746B8">
        <w:t>109</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IV – punkt 1 – podpunkt i</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w:t>
            </w:r>
            <w:r w:rsidRPr="003746B8">
              <w:tab/>
              <w:t xml:space="preserve">informacje dotyczące rachunków płatniczych w cyfrowym euro, </w:t>
            </w:r>
            <w:r w:rsidRPr="003746B8">
              <w:rPr>
                <w:b/>
                <w:i/>
              </w:rPr>
              <w:t>w tym</w:t>
            </w:r>
            <w:r w:rsidRPr="003746B8">
              <w:t xml:space="preserve"> unikatowy numer rachunku płatniczego w cyfrowym euro; oraz</w:t>
            </w:r>
          </w:p>
        </w:tc>
        <w:tc>
          <w:tcPr>
            <w:tcW w:w="4876" w:type="dxa"/>
            <w:hideMark/>
          </w:tcPr>
          <w:p w:rsidR="002F7FE1" w:rsidRPr="003746B8" w:rsidRDefault="00B029A7" w:rsidP="000462E9">
            <w:pPr>
              <w:pStyle w:val="Normal6"/>
              <w:rPr>
                <w:szCs w:val="24"/>
              </w:rPr>
            </w:pPr>
            <w:r w:rsidRPr="003746B8">
              <w:t>(i)</w:t>
            </w:r>
            <w:r w:rsidRPr="003746B8">
              <w:tab/>
              <w:t xml:space="preserve">informacje dotyczące rachunków płatniczych w cyfrowym euro, </w:t>
            </w:r>
            <w:r w:rsidRPr="003746B8">
              <w:rPr>
                <w:b/>
                <w:i/>
              </w:rPr>
              <w:t>rozumiane jako</w:t>
            </w:r>
            <w:r w:rsidRPr="003746B8">
              <w:t xml:space="preserve"> unikatowy numer rachunku płatniczego w cyfrowym euro; oraz</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110</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w:t>
      </w:r>
      <w:r w:rsidRPr="003746B8">
        <w:t>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IV – punkt 1 – podpunkt ii</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(ii)</w:t>
            </w:r>
            <w:r w:rsidRPr="003746B8">
              <w:tab/>
              <w:t>informacje dotyczące transakcji płatniczych w</w:t>
            </w:r>
            <w:r w:rsidRPr="003746B8">
              <w:rPr>
                <w:b/>
                <w:i/>
              </w:rPr>
              <w:t xml:space="preserve"> </w:t>
            </w:r>
            <w:r w:rsidRPr="003746B8">
              <w:t>cyfrowym euro dokonywanych w</w:t>
            </w:r>
            <w:r w:rsidRPr="003746B8">
              <w:rPr>
                <w:b/>
                <w:i/>
              </w:rPr>
              <w:t xml:space="preserve"> </w:t>
            </w:r>
            <w:r w:rsidRPr="003746B8">
              <w:t xml:space="preserve">trybie online; informacje </w:t>
            </w:r>
            <w:r w:rsidRPr="003746B8">
              <w:t>związane z</w:t>
            </w:r>
            <w:r w:rsidRPr="003746B8">
              <w:rPr>
                <w:b/>
                <w:i/>
              </w:rPr>
              <w:t xml:space="preserve"> </w:t>
            </w:r>
            <w:r w:rsidRPr="003746B8">
              <w:t>unikatowym numerem rachunku płatniczego w</w:t>
            </w:r>
            <w:r w:rsidRPr="003746B8">
              <w:rPr>
                <w:b/>
                <w:i/>
              </w:rPr>
              <w:t xml:space="preserve"> </w:t>
            </w:r>
            <w:r w:rsidRPr="003746B8">
              <w:t xml:space="preserve">cyfrowym euro, </w:t>
            </w:r>
            <w:r w:rsidRPr="003746B8">
              <w:rPr>
                <w:b/>
                <w:i/>
              </w:rPr>
              <w:t>w tym</w:t>
            </w:r>
            <w:r w:rsidRPr="003746B8">
              <w:t xml:space="preserve"> kwota transakcji.</w:t>
            </w:r>
          </w:p>
        </w:tc>
        <w:tc>
          <w:tcPr>
            <w:tcW w:w="4876" w:type="dxa"/>
            <w:hideMark/>
          </w:tcPr>
          <w:p w:rsidR="002F7FE1" w:rsidRPr="003746B8" w:rsidRDefault="00B029A7" w:rsidP="000462E9">
            <w:pPr>
              <w:pStyle w:val="Normal6"/>
              <w:rPr>
                <w:szCs w:val="24"/>
              </w:rPr>
            </w:pPr>
            <w:r w:rsidRPr="003746B8">
              <w:t>(ii)</w:t>
            </w:r>
            <w:r w:rsidRPr="003746B8">
              <w:tab/>
              <w:t>informacje dotyczące transakcji płatniczych w</w:t>
            </w:r>
            <w:r w:rsidRPr="003746B8">
              <w:rPr>
                <w:b/>
                <w:i/>
              </w:rPr>
              <w:t> </w:t>
            </w:r>
            <w:r w:rsidRPr="003746B8">
              <w:t>cyfrowym euro dokonywanych w</w:t>
            </w:r>
            <w:r w:rsidRPr="003746B8">
              <w:rPr>
                <w:b/>
                <w:i/>
              </w:rPr>
              <w:t> </w:t>
            </w:r>
            <w:r w:rsidRPr="003746B8">
              <w:t>trybie online; informacje związane z</w:t>
            </w:r>
            <w:r w:rsidRPr="003746B8">
              <w:rPr>
                <w:b/>
                <w:i/>
              </w:rPr>
              <w:t> </w:t>
            </w:r>
            <w:r w:rsidRPr="003746B8">
              <w:t>unikatowym numerem rachunku płatniczego w</w:t>
            </w:r>
            <w:r w:rsidRPr="003746B8">
              <w:rPr>
                <w:b/>
                <w:i/>
              </w:rPr>
              <w:t> </w:t>
            </w:r>
            <w:r w:rsidRPr="003746B8">
              <w:t>cyfro</w:t>
            </w:r>
            <w:r w:rsidRPr="003746B8">
              <w:t xml:space="preserve">wym euro, </w:t>
            </w:r>
            <w:r w:rsidRPr="003746B8">
              <w:rPr>
                <w:b/>
                <w:i/>
              </w:rPr>
              <w:t>rozumiane jako</w:t>
            </w:r>
            <w:r w:rsidRPr="003746B8">
              <w:t xml:space="preserve"> kwota transakcji.</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111</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IV – punkt 2 – wprowadzenie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2.</w:t>
            </w:r>
            <w:r w:rsidRPr="003746B8">
              <w:tab/>
              <w:t>Do celów</w:t>
            </w:r>
            <w:r w:rsidRPr="003746B8">
              <w:t xml:space="preserve"> określonych w</w:t>
            </w:r>
            <w:r w:rsidRPr="003746B8">
              <w:rPr>
                <w:b/>
                <w:i/>
              </w:rPr>
              <w:t> </w:t>
            </w:r>
            <w:r w:rsidRPr="003746B8">
              <w:t>art.</w:t>
            </w:r>
            <w:r w:rsidRPr="003746B8">
              <w:rPr>
                <w:b/>
                <w:i/>
              </w:rPr>
              <w:t> </w:t>
            </w:r>
            <w:r w:rsidRPr="003746B8">
              <w:t>35 ust.</w:t>
            </w:r>
            <w:r w:rsidRPr="003746B8">
              <w:rPr>
                <w:b/>
                <w:i/>
              </w:rPr>
              <w:t> </w:t>
            </w:r>
            <w:r w:rsidRPr="003746B8">
              <w:t>1 lit.</w:t>
            </w:r>
            <w:r w:rsidRPr="003746B8">
              <w:rPr>
                <w:b/>
                <w:i/>
              </w:rPr>
              <w:t> </w:t>
            </w:r>
            <w:r w:rsidRPr="003746B8">
              <w:t>b) przetwarzanie ogranicza się do następujących danych:</w:t>
            </w:r>
          </w:p>
        </w:tc>
        <w:tc>
          <w:tcPr>
            <w:tcW w:w="4876" w:type="dxa"/>
            <w:hideMark/>
          </w:tcPr>
          <w:p w:rsidR="002F7FE1" w:rsidRPr="003746B8" w:rsidRDefault="00B029A7" w:rsidP="000462E9">
            <w:pPr>
              <w:pStyle w:val="Normal6"/>
              <w:rPr>
                <w:szCs w:val="24"/>
              </w:rPr>
            </w:pPr>
            <w:r w:rsidRPr="003746B8">
              <w:t>2.</w:t>
            </w:r>
            <w:r w:rsidRPr="003746B8">
              <w:tab/>
              <w:t>Do celów określonych w</w:t>
            </w:r>
            <w:r w:rsidRPr="003746B8">
              <w:rPr>
                <w:b/>
                <w:i/>
              </w:rPr>
              <w:t xml:space="preserve"> </w:t>
            </w:r>
            <w:r w:rsidRPr="003746B8">
              <w:t>art.</w:t>
            </w:r>
            <w:r w:rsidRPr="003746B8">
              <w:rPr>
                <w:b/>
                <w:i/>
              </w:rPr>
              <w:t xml:space="preserve"> </w:t>
            </w:r>
            <w:r w:rsidRPr="003746B8">
              <w:t>35 ust.</w:t>
            </w:r>
            <w:r w:rsidRPr="003746B8">
              <w:rPr>
                <w:b/>
                <w:i/>
              </w:rPr>
              <w:t xml:space="preserve"> </w:t>
            </w:r>
            <w:r w:rsidRPr="003746B8">
              <w:t>1 lit.</w:t>
            </w:r>
            <w:r w:rsidRPr="003746B8">
              <w:rPr>
                <w:b/>
                <w:i/>
              </w:rPr>
              <w:t xml:space="preserve"> </w:t>
            </w:r>
            <w:r w:rsidRPr="003746B8">
              <w:t xml:space="preserve">b) przetwarzanie </w:t>
            </w:r>
            <w:r w:rsidRPr="003746B8">
              <w:rPr>
                <w:b/>
                <w:i/>
              </w:rPr>
              <w:t xml:space="preserve">danych osobowych </w:t>
            </w:r>
            <w:r w:rsidRPr="003746B8">
              <w:t>ogranicza się</w:t>
            </w:r>
            <w:r w:rsidRPr="003746B8">
              <w:rPr>
                <w:b/>
                <w:i/>
              </w:rPr>
              <w:t xml:space="preserve"> ściśle</w:t>
            </w:r>
            <w:r w:rsidRPr="003746B8">
              <w:t xml:space="preserve"> do następujących danych:</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112</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IV – punkt 3</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3.</w:t>
            </w:r>
            <w:r w:rsidRPr="003746B8">
              <w:tab/>
              <w:t>Do celów określonych w</w:t>
            </w:r>
            <w:r w:rsidRPr="003746B8">
              <w:rPr>
                <w:b/>
                <w:i/>
              </w:rPr>
              <w:t> </w:t>
            </w:r>
            <w:r w:rsidRPr="003746B8">
              <w:t>art.</w:t>
            </w:r>
            <w:r w:rsidRPr="003746B8">
              <w:rPr>
                <w:b/>
                <w:i/>
              </w:rPr>
              <w:t> </w:t>
            </w:r>
            <w:r w:rsidRPr="003746B8">
              <w:t>35 ust.</w:t>
            </w:r>
            <w:r w:rsidRPr="003746B8">
              <w:rPr>
                <w:b/>
                <w:i/>
              </w:rPr>
              <w:t> </w:t>
            </w:r>
            <w:r w:rsidRPr="003746B8">
              <w:t>1 lit.</w:t>
            </w:r>
            <w:r w:rsidRPr="003746B8">
              <w:rPr>
                <w:b/>
                <w:i/>
              </w:rPr>
              <w:t> </w:t>
            </w:r>
            <w:r w:rsidRPr="003746B8">
              <w:t>c) przetwarzanie ogranicza się do danych wymaganych do celów</w:t>
            </w:r>
            <w:r w:rsidRPr="003746B8">
              <w:t xml:space="preserve"> analizy fałszerstw w</w:t>
            </w:r>
            <w:r w:rsidRPr="003746B8">
              <w:rPr>
                <w:b/>
                <w:i/>
              </w:rPr>
              <w:t> </w:t>
            </w:r>
            <w:r w:rsidRPr="003746B8">
              <w:t>transakcjach płatniczych w</w:t>
            </w:r>
            <w:r w:rsidRPr="003746B8">
              <w:rPr>
                <w:b/>
                <w:i/>
              </w:rPr>
              <w:t> </w:t>
            </w:r>
            <w:r w:rsidRPr="003746B8">
              <w:t>cyfrowym euro dokonywanych w</w:t>
            </w:r>
            <w:r w:rsidRPr="003746B8">
              <w:rPr>
                <w:b/>
                <w:i/>
              </w:rPr>
              <w:t> </w:t>
            </w:r>
            <w:r w:rsidRPr="003746B8">
              <w:t xml:space="preserve">trybie offline: obejmuje to informacje dotyczące lokalnych urządzeń pamięciowych, </w:t>
            </w:r>
            <w:r w:rsidRPr="003746B8">
              <w:rPr>
                <w:b/>
                <w:i/>
              </w:rPr>
              <w:t>w tym</w:t>
            </w:r>
            <w:r w:rsidRPr="003746B8">
              <w:t xml:space="preserve"> numer lokalnego urządzenia pamięciowego.</w:t>
            </w:r>
          </w:p>
        </w:tc>
        <w:tc>
          <w:tcPr>
            <w:tcW w:w="4876" w:type="dxa"/>
            <w:hideMark/>
          </w:tcPr>
          <w:p w:rsidR="002F7FE1" w:rsidRPr="003746B8" w:rsidRDefault="00B029A7" w:rsidP="000462E9">
            <w:pPr>
              <w:pStyle w:val="Normal6"/>
              <w:rPr>
                <w:szCs w:val="24"/>
              </w:rPr>
            </w:pPr>
            <w:r w:rsidRPr="003746B8">
              <w:t>3.</w:t>
            </w:r>
            <w:r w:rsidRPr="003746B8">
              <w:tab/>
              <w:t>Do celów określonych w</w:t>
            </w:r>
            <w:r w:rsidRPr="003746B8">
              <w:rPr>
                <w:b/>
                <w:i/>
              </w:rPr>
              <w:t xml:space="preserve"> </w:t>
            </w:r>
            <w:r w:rsidRPr="003746B8">
              <w:t>art.</w:t>
            </w:r>
            <w:r w:rsidRPr="003746B8">
              <w:rPr>
                <w:b/>
                <w:i/>
              </w:rPr>
              <w:t xml:space="preserve"> </w:t>
            </w:r>
            <w:r w:rsidRPr="003746B8">
              <w:t>35 ust.</w:t>
            </w:r>
            <w:r w:rsidRPr="003746B8">
              <w:rPr>
                <w:b/>
                <w:i/>
              </w:rPr>
              <w:t xml:space="preserve"> </w:t>
            </w:r>
            <w:r w:rsidRPr="003746B8">
              <w:t>1 lit.</w:t>
            </w:r>
            <w:r w:rsidRPr="003746B8">
              <w:rPr>
                <w:b/>
                <w:i/>
              </w:rPr>
              <w:t xml:space="preserve"> </w:t>
            </w:r>
            <w:r w:rsidRPr="003746B8">
              <w:t xml:space="preserve">c) </w:t>
            </w:r>
            <w:r w:rsidRPr="003746B8">
              <w:t xml:space="preserve">przetwarzanie </w:t>
            </w:r>
            <w:r w:rsidRPr="003746B8">
              <w:rPr>
                <w:b/>
                <w:i/>
              </w:rPr>
              <w:t xml:space="preserve">danych osobowych </w:t>
            </w:r>
            <w:r w:rsidRPr="003746B8">
              <w:t xml:space="preserve">ogranicza się </w:t>
            </w:r>
            <w:r w:rsidRPr="003746B8">
              <w:rPr>
                <w:b/>
                <w:i/>
              </w:rPr>
              <w:t xml:space="preserve">ściśle </w:t>
            </w:r>
            <w:r w:rsidRPr="003746B8">
              <w:t>do danych wymaganych do celów analizy fałszerstw w</w:t>
            </w:r>
            <w:r w:rsidRPr="003746B8">
              <w:rPr>
                <w:b/>
                <w:i/>
              </w:rPr>
              <w:t xml:space="preserve"> </w:t>
            </w:r>
            <w:r w:rsidRPr="003746B8">
              <w:t>transakcjach płatniczych w</w:t>
            </w:r>
            <w:r w:rsidRPr="003746B8">
              <w:rPr>
                <w:b/>
                <w:i/>
              </w:rPr>
              <w:t xml:space="preserve"> </w:t>
            </w:r>
            <w:r w:rsidRPr="003746B8">
              <w:t>cyfrowym euro dokonywanych w</w:t>
            </w:r>
            <w:r w:rsidRPr="003746B8">
              <w:rPr>
                <w:b/>
                <w:i/>
              </w:rPr>
              <w:t xml:space="preserve"> </w:t>
            </w:r>
            <w:r w:rsidRPr="003746B8">
              <w:t xml:space="preserve">trybie offline: obejmuje to informacje dotyczące lokalnych urządzeń pamięciowych, </w:t>
            </w:r>
            <w:r w:rsidRPr="003746B8">
              <w:rPr>
                <w:b/>
                <w:i/>
              </w:rPr>
              <w:t>rozumiane jako</w:t>
            </w:r>
            <w:r w:rsidRPr="003746B8">
              <w:t xml:space="preserve"> </w:t>
            </w:r>
            <w:r w:rsidRPr="003746B8">
              <w:t>numer lokalnego urządzenia pamięciowego.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113</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IV – punkt 4 – wprowadzenie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4.</w:t>
            </w:r>
            <w:r w:rsidRPr="003746B8">
              <w:tab/>
              <w:t xml:space="preserve">Do celów </w:t>
            </w:r>
            <w:r w:rsidRPr="003746B8">
              <w:t>określonych w</w:t>
            </w:r>
            <w:r w:rsidRPr="003746B8">
              <w:rPr>
                <w:b/>
                <w:i/>
              </w:rPr>
              <w:t> </w:t>
            </w:r>
            <w:r w:rsidRPr="003746B8">
              <w:t>art.</w:t>
            </w:r>
            <w:r w:rsidRPr="003746B8">
              <w:rPr>
                <w:b/>
                <w:i/>
              </w:rPr>
              <w:t> </w:t>
            </w:r>
            <w:r w:rsidRPr="003746B8">
              <w:t>35 ust.</w:t>
            </w:r>
            <w:r w:rsidRPr="003746B8">
              <w:rPr>
                <w:b/>
                <w:i/>
              </w:rPr>
              <w:t> </w:t>
            </w:r>
            <w:r w:rsidRPr="003746B8">
              <w:t>1 lit.</w:t>
            </w:r>
            <w:r w:rsidRPr="003746B8">
              <w:rPr>
                <w:b/>
                <w:i/>
              </w:rPr>
              <w:t> </w:t>
            </w:r>
            <w:r w:rsidRPr="003746B8">
              <w:t>d) i e) oraz na potrzeby pojedynczego punktu dostępu, o</w:t>
            </w:r>
            <w:r w:rsidRPr="003746B8">
              <w:rPr>
                <w:b/>
                <w:i/>
              </w:rPr>
              <w:t> </w:t>
            </w:r>
            <w:r w:rsidRPr="003746B8">
              <w:t>którym mowa w</w:t>
            </w:r>
            <w:r w:rsidRPr="003746B8">
              <w:rPr>
                <w:b/>
                <w:i/>
              </w:rPr>
              <w:t> </w:t>
            </w:r>
            <w:r w:rsidRPr="003746B8">
              <w:t>art.</w:t>
            </w:r>
            <w:r w:rsidRPr="003746B8">
              <w:rPr>
                <w:b/>
                <w:i/>
              </w:rPr>
              <w:t> 34</w:t>
            </w:r>
            <w:r w:rsidRPr="003746B8">
              <w:t xml:space="preserve"> ust.</w:t>
            </w:r>
            <w:r w:rsidRPr="003746B8">
              <w:rPr>
                <w:b/>
                <w:i/>
              </w:rPr>
              <w:t> </w:t>
            </w:r>
            <w:r w:rsidRPr="003746B8">
              <w:t>8, przetwarzanie ogranicza się do następujących danych:</w:t>
            </w:r>
          </w:p>
        </w:tc>
        <w:tc>
          <w:tcPr>
            <w:tcW w:w="4876" w:type="dxa"/>
            <w:hideMark/>
          </w:tcPr>
          <w:p w:rsidR="002F7FE1" w:rsidRPr="003746B8" w:rsidRDefault="00B029A7" w:rsidP="000462E9">
            <w:pPr>
              <w:pStyle w:val="Normal6"/>
              <w:rPr>
                <w:szCs w:val="24"/>
              </w:rPr>
            </w:pPr>
            <w:r w:rsidRPr="003746B8">
              <w:t>4.</w:t>
            </w:r>
            <w:r w:rsidRPr="003746B8">
              <w:tab/>
              <w:t>Do celów określonych w</w:t>
            </w:r>
            <w:r w:rsidRPr="003746B8">
              <w:rPr>
                <w:b/>
                <w:i/>
              </w:rPr>
              <w:t xml:space="preserve"> </w:t>
            </w:r>
            <w:r w:rsidRPr="003746B8">
              <w:t>art.</w:t>
            </w:r>
            <w:r w:rsidRPr="003746B8">
              <w:rPr>
                <w:b/>
                <w:i/>
              </w:rPr>
              <w:t xml:space="preserve"> </w:t>
            </w:r>
            <w:r w:rsidRPr="003746B8">
              <w:t>35 ust.</w:t>
            </w:r>
            <w:r w:rsidRPr="003746B8">
              <w:rPr>
                <w:b/>
                <w:i/>
              </w:rPr>
              <w:t xml:space="preserve"> </w:t>
            </w:r>
            <w:r w:rsidRPr="003746B8">
              <w:t>1 lit.</w:t>
            </w:r>
            <w:r w:rsidRPr="003746B8">
              <w:rPr>
                <w:b/>
                <w:i/>
              </w:rPr>
              <w:t xml:space="preserve"> </w:t>
            </w:r>
            <w:r w:rsidRPr="003746B8">
              <w:t>d) i e) oraz na potrzeby pojedynczego</w:t>
            </w:r>
            <w:r w:rsidRPr="003746B8">
              <w:t xml:space="preserve"> punktu dostępu, o</w:t>
            </w:r>
            <w:r w:rsidRPr="003746B8">
              <w:rPr>
                <w:b/>
                <w:i/>
              </w:rPr>
              <w:t xml:space="preserve"> </w:t>
            </w:r>
            <w:r w:rsidRPr="003746B8">
              <w:t>którym mowa w</w:t>
            </w:r>
            <w:r w:rsidRPr="003746B8">
              <w:rPr>
                <w:b/>
                <w:i/>
              </w:rPr>
              <w:t xml:space="preserve"> </w:t>
            </w:r>
            <w:r w:rsidRPr="003746B8">
              <w:t>art.</w:t>
            </w:r>
            <w:r w:rsidRPr="003746B8">
              <w:rPr>
                <w:b/>
                <w:i/>
              </w:rPr>
              <w:t xml:space="preserve"> 35</w:t>
            </w:r>
            <w:r w:rsidRPr="003746B8">
              <w:t xml:space="preserve"> ust.</w:t>
            </w:r>
            <w:r w:rsidRPr="003746B8">
              <w:rPr>
                <w:b/>
                <w:i/>
              </w:rPr>
              <w:t xml:space="preserve"> </w:t>
            </w:r>
            <w:r w:rsidRPr="003746B8">
              <w:t xml:space="preserve">8, przetwarzanie </w:t>
            </w:r>
            <w:r w:rsidRPr="003746B8">
              <w:rPr>
                <w:b/>
                <w:i/>
              </w:rPr>
              <w:t xml:space="preserve">danych osobowych </w:t>
            </w:r>
            <w:r w:rsidRPr="003746B8">
              <w:t>ogranicza się</w:t>
            </w:r>
            <w:r w:rsidRPr="003746B8">
              <w:rPr>
                <w:b/>
                <w:i/>
              </w:rPr>
              <w:t xml:space="preserve"> ściśle</w:t>
            </w:r>
            <w:r w:rsidRPr="003746B8">
              <w:t xml:space="preserve"> do następujących danych:</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114</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IV – punkt</w:t>
      </w:r>
      <w:r w:rsidRPr="003746B8">
        <w:t xml:space="preserve"> 4 – podpunkt iii</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(iii)</w:t>
            </w:r>
            <w:r w:rsidRPr="003746B8">
              <w:tab/>
              <w:t xml:space="preserve">informacje dotyczące rachunków płatniczych w cyfrowym euro, </w:t>
            </w:r>
            <w:r w:rsidRPr="003746B8">
              <w:rPr>
                <w:b/>
                <w:i/>
              </w:rPr>
              <w:t>w tym</w:t>
            </w:r>
            <w:r w:rsidRPr="003746B8">
              <w:t xml:space="preserve"> unikatowy numer rachunku płatniczego w cyfrowym euro, zasoby cyfrowego euro użytkownika, limit utrzymywanej kwot</w:t>
            </w:r>
            <w:r w:rsidRPr="003746B8">
              <w:t>y wybrany przez użytkownika oraz rodzaj rachunku w cyfrowym euro.</w:t>
            </w:r>
          </w:p>
        </w:tc>
        <w:tc>
          <w:tcPr>
            <w:tcW w:w="4876" w:type="dxa"/>
            <w:hideMark/>
          </w:tcPr>
          <w:p w:rsidR="002F7FE1" w:rsidRPr="003746B8" w:rsidRDefault="00B029A7" w:rsidP="000462E9">
            <w:pPr>
              <w:pStyle w:val="Normal6"/>
              <w:rPr>
                <w:szCs w:val="24"/>
              </w:rPr>
            </w:pPr>
            <w:r w:rsidRPr="003746B8">
              <w:t>(iii)</w:t>
            </w:r>
            <w:r w:rsidRPr="003746B8">
              <w:tab/>
              <w:t xml:space="preserve">informacje dotyczące rachunków płatniczych w cyfrowym euro, </w:t>
            </w:r>
            <w:r w:rsidRPr="003746B8">
              <w:rPr>
                <w:b/>
                <w:i/>
              </w:rPr>
              <w:t>rozumiane jako</w:t>
            </w:r>
            <w:r w:rsidRPr="003746B8">
              <w:t xml:space="preserve"> unikatowy numer rachunku płatniczego w cyfrowym euro, zasoby cyfrowego euro użytkownika, limit utrzymywanej k</w:t>
            </w:r>
            <w:r w:rsidRPr="003746B8">
              <w:t>woty wybrany przez użytkownika oraz rodzaj rachunku w cyfrowym euro.</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115</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V – akapit 1 – wprowadzenie</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 xml:space="preserve">Tekst proponowany przez </w:t>
            </w:r>
            <w:r w:rsidRPr="003746B8">
              <w:t>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Do celów określonych w</w:t>
            </w:r>
            <w:r w:rsidRPr="003746B8">
              <w:rPr>
                <w:b/>
                <w:i/>
              </w:rPr>
              <w:t> </w:t>
            </w:r>
            <w:r w:rsidRPr="003746B8">
              <w:t>art.</w:t>
            </w:r>
            <w:r w:rsidRPr="003746B8">
              <w:rPr>
                <w:b/>
                <w:i/>
              </w:rPr>
              <w:t> </w:t>
            </w:r>
            <w:r w:rsidRPr="003746B8">
              <w:t>36 ust.</w:t>
            </w:r>
            <w:r w:rsidRPr="003746B8">
              <w:rPr>
                <w:b/>
                <w:i/>
              </w:rPr>
              <w:t> </w:t>
            </w:r>
            <w:r w:rsidRPr="003746B8">
              <w:t>1 lit.</w:t>
            </w:r>
            <w:r w:rsidRPr="003746B8">
              <w:rPr>
                <w:b/>
                <w:i/>
              </w:rPr>
              <w:t> </w:t>
            </w:r>
            <w:r w:rsidRPr="003746B8">
              <w:t>a) przetwarzanie ogranicza się do danych wymaganych na potrzeby zapobiegania oszustwom i</w:t>
            </w:r>
            <w:r w:rsidRPr="003746B8">
              <w:rPr>
                <w:b/>
                <w:i/>
              </w:rPr>
              <w:t> </w:t>
            </w:r>
            <w:r w:rsidRPr="003746B8">
              <w:t>ich wykrywania przez dostawców usług płatniczych:</w:t>
            </w:r>
          </w:p>
        </w:tc>
        <w:tc>
          <w:tcPr>
            <w:tcW w:w="4876" w:type="dxa"/>
            <w:hideMark/>
          </w:tcPr>
          <w:p w:rsidR="002F7FE1" w:rsidRPr="003746B8" w:rsidRDefault="00B029A7" w:rsidP="000462E9">
            <w:pPr>
              <w:pStyle w:val="Normal6"/>
              <w:rPr>
                <w:szCs w:val="24"/>
              </w:rPr>
            </w:pPr>
            <w:r w:rsidRPr="003746B8">
              <w:t>Do celów określonych w</w:t>
            </w:r>
            <w:r w:rsidRPr="003746B8">
              <w:rPr>
                <w:b/>
                <w:i/>
              </w:rPr>
              <w:t xml:space="preserve"> </w:t>
            </w:r>
            <w:r w:rsidRPr="003746B8">
              <w:t>art.</w:t>
            </w:r>
            <w:r w:rsidRPr="003746B8">
              <w:rPr>
                <w:b/>
                <w:i/>
              </w:rPr>
              <w:t xml:space="preserve"> </w:t>
            </w:r>
            <w:r w:rsidRPr="003746B8">
              <w:t>36 ust.</w:t>
            </w:r>
            <w:r w:rsidRPr="003746B8">
              <w:rPr>
                <w:b/>
                <w:i/>
              </w:rPr>
              <w:t xml:space="preserve"> </w:t>
            </w:r>
            <w:r w:rsidRPr="003746B8">
              <w:t>1 lit.</w:t>
            </w:r>
            <w:r w:rsidRPr="003746B8">
              <w:rPr>
                <w:b/>
                <w:i/>
              </w:rPr>
              <w:t xml:space="preserve"> </w:t>
            </w:r>
            <w:r w:rsidRPr="003746B8">
              <w:t>a) przetwarza</w:t>
            </w:r>
            <w:r w:rsidRPr="003746B8">
              <w:t xml:space="preserve">nie </w:t>
            </w:r>
            <w:r w:rsidRPr="003746B8">
              <w:rPr>
                <w:b/>
                <w:i/>
              </w:rPr>
              <w:t xml:space="preserve">danych osobowych </w:t>
            </w:r>
            <w:r w:rsidRPr="003746B8">
              <w:t>ogranicza się</w:t>
            </w:r>
            <w:r w:rsidRPr="003746B8">
              <w:rPr>
                <w:b/>
                <w:i/>
              </w:rPr>
              <w:t xml:space="preserve"> ściśle</w:t>
            </w:r>
            <w:r w:rsidRPr="003746B8">
              <w:t xml:space="preserve"> do danych wymaganych na potrzeby zapobiegania oszustwom i</w:t>
            </w:r>
            <w:r w:rsidRPr="003746B8">
              <w:rPr>
                <w:b/>
                <w:i/>
              </w:rPr>
              <w:t xml:space="preserve"> </w:t>
            </w:r>
            <w:r w:rsidRPr="003746B8">
              <w:t>ich wykrywania przez dostawców usług płatniczych:</w:t>
            </w:r>
          </w:p>
        </w:tc>
      </w:tr>
    </w:tbl>
    <w:p w:rsidR="002F7FE1" w:rsidRPr="003746B8" w:rsidRDefault="00B029A7" w:rsidP="002F7FE1">
      <w:pPr>
        <w:rPr>
          <w:rStyle w:val="HideTWBExt"/>
        </w:rPr>
      </w:pPr>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116</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V – akapit 1 – podpunkt i</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w:t>
            </w:r>
            <w:r w:rsidRPr="003746B8">
              <w:tab/>
              <w:t xml:space="preserve">informacje dotyczące rachunków płatniczych w cyfrowym euro, </w:t>
            </w:r>
            <w:r w:rsidRPr="003746B8">
              <w:rPr>
                <w:b/>
                <w:i/>
              </w:rPr>
              <w:t>w tym</w:t>
            </w:r>
            <w:r w:rsidRPr="003746B8">
              <w:t xml:space="preserve"> unikatowy identyfikator rachunku w cyfrowym euro;</w:t>
            </w:r>
          </w:p>
        </w:tc>
        <w:tc>
          <w:tcPr>
            <w:tcW w:w="4876" w:type="dxa"/>
            <w:hideMark/>
          </w:tcPr>
          <w:p w:rsidR="002F7FE1" w:rsidRPr="003746B8" w:rsidRDefault="00B029A7" w:rsidP="000462E9">
            <w:pPr>
              <w:pStyle w:val="Normal6"/>
              <w:rPr>
                <w:szCs w:val="24"/>
              </w:rPr>
            </w:pPr>
            <w:r w:rsidRPr="003746B8">
              <w:t>(i)</w:t>
            </w:r>
            <w:r w:rsidRPr="003746B8">
              <w:tab/>
            </w:r>
            <w:r w:rsidRPr="003746B8">
              <w:t xml:space="preserve">informacje dotyczące rachunków płatniczych w cyfrowym euro, </w:t>
            </w:r>
            <w:r w:rsidRPr="003746B8">
              <w:rPr>
                <w:b/>
                <w:i/>
              </w:rPr>
              <w:t>rozumiane jako</w:t>
            </w:r>
            <w:r w:rsidRPr="003746B8">
              <w:t xml:space="preserve"> unikatowy identyfikator rachunku w cyfrowym euro;</w:t>
            </w:r>
          </w:p>
        </w:tc>
      </w:tr>
    </w:tbl>
    <w:p w:rsidR="002F7FE1" w:rsidRPr="003746B8" w:rsidRDefault="00B029A7" w:rsidP="002F7FE1">
      <w:r w:rsidRPr="003746B8">
        <w:rPr>
          <w:rStyle w:val="HideTWBExt"/>
        </w:rPr>
        <w:t>&lt;/Amend&gt;</w:t>
      </w:r>
    </w:p>
    <w:p w:rsidR="002F7FE1" w:rsidRPr="003746B8" w:rsidRDefault="002F7FE1" w:rsidP="002F7FE1"/>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117</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V – akapit</w:t>
      </w:r>
      <w:r w:rsidRPr="003746B8">
        <w:t xml:space="preserve"> 1 – podpunkt ii</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Tekst proponowany przez 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(ii)</w:t>
            </w:r>
            <w:r w:rsidRPr="003746B8">
              <w:tab/>
              <w:t xml:space="preserve">informacje dotyczące transakcji płatniczych w cyfrowym euro dokonywanych w trybie online, </w:t>
            </w:r>
            <w:r w:rsidRPr="003746B8">
              <w:rPr>
                <w:b/>
                <w:i/>
              </w:rPr>
              <w:t>w tym</w:t>
            </w:r>
            <w:r w:rsidRPr="003746B8">
              <w:t xml:space="preserve"> kwota transakcji; oraz</w:t>
            </w:r>
          </w:p>
        </w:tc>
        <w:tc>
          <w:tcPr>
            <w:tcW w:w="4876" w:type="dxa"/>
            <w:hideMark/>
          </w:tcPr>
          <w:p w:rsidR="002F7FE1" w:rsidRPr="003746B8" w:rsidRDefault="00B029A7" w:rsidP="000462E9">
            <w:pPr>
              <w:pStyle w:val="Normal6"/>
              <w:rPr>
                <w:szCs w:val="24"/>
              </w:rPr>
            </w:pPr>
            <w:r w:rsidRPr="003746B8">
              <w:t>(ii)</w:t>
            </w:r>
            <w:r w:rsidRPr="003746B8">
              <w:tab/>
              <w:t>informacje dotyczące transakcji płatniczych w cyfrowym e</w:t>
            </w:r>
            <w:r w:rsidRPr="003746B8">
              <w:t xml:space="preserve">uro dokonywanych w trybie online, </w:t>
            </w:r>
            <w:r w:rsidRPr="003746B8">
              <w:rPr>
                <w:b/>
                <w:i/>
              </w:rPr>
              <w:t>rozumiane jako</w:t>
            </w:r>
            <w:r w:rsidRPr="003746B8">
              <w:t xml:space="preserve"> kwota transakcji; oraz</w:t>
            </w:r>
          </w:p>
        </w:tc>
      </w:tr>
    </w:tbl>
    <w:p w:rsidR="002F7FE1" w:rsidRPr="003746B8" w:rsidRDefault="00B029A7" w:rsidP="002F7FE1">
      <w:r w:rsidRPr="003746B8">
        <w:rPr>
          <w:rStyle w:val="HideTWBExt"/>
        </w:rPr>
        <w:t>&lt;/Amend&gt;</w:t>
      </w:r>
    </w:p>
    <w:p w:rsidR="002F7FE1" w:rsidRPr="003746B8" w:rsidRDefault="00B029A7" w:rsidP="002F7FE1">
      <w:pPr>
        <w:pStyle w:val="AMNumberTabs0"/>
        <w:keepNext/>
      </w:pPr>
      <w:r w:rsidRPr="003746B8">
        <w:rPr>
          <w:rStyle w:val="HideTWBExt"/>
          <w:b w:val="0"/>
        </w:rPr>
        <w:t>&lt;Amend&gt;</w:t>
      </w:r>
      <w:r w:rsidRPr="003746B8">
        <w:t>Poprawka</w:t>
      </w:r>
      <w:r w:rsidRPr="003746B8">
        <w:tab/>
      </w:r>
      <w:r w:rsidRPr="003746B8">
        <w:tab/>
      </w:r>
      <w:r w:rsidRPr="003746B8">
        <w:rPr>
          <w:rStyle w:val="HideTWBExt"/>
          <w:b w:val="0"/>
        </w:rPr>
        <w:t>&lt;NumAm&gt;</w:t>
      </w:r>
      <w:r w:rsidRPr="003746B8">
        <w:t>118</w:t>
      </w:r>
      <w:r w:rsidRPr="003746B8">
        <w:rPr>
          <w:rStyle w:val="HideTWBExt"/>
          <w:b w:val="0"/>
        </w:rPr>
        <w:t>&lt;/NumAm&gt;</w:t>
      </w:r>
    </w:p>
    <w:p w:rsidR="002F7FE1" w:rsidRPr="003746B8" w:rsidRDefault="002F7FE1" w:rsidP="002F7FE1"/>
    <w:p w:rsidR="002F7FE1" w:rsidRPr="003746B8" w:rsidRDefault="00B029A7" w:rsidP="002F7FE1">
      <w:pPr>
        <w:pStyle w:val="NormalBold"/>
        <w:keepNext/>
      </w:pPr>
      <w:r w:rsidRPr="003746B8">
        <w:rPr>
          <w:rStyle w:val="HideTWBExt"/>
          <w:b w:val="0"/>
        </w:rPr>
        <w:t>&lt;DocAmend&gt;</w:t>
      </w:r>
      <w:r w:rsidRPr="003746B8">
        <w:t>Wniosek dotyczący rozporządzenia</w:t>
      </w:r>
      <w:r w:rsidRPr="003746B8">
        <w:rPr>
          <w:rStyle w:val="HideTWBExt"/>
          <w:b w:val="0"/>
        </w:rPr>
        <w:t>&lt;/DocAmend&gt;</w:t>
      </w:r>
    </w:p>
    <w:p w:rsidR="002F7FE1" w:rsidRPr="003746B8" w:rsidRDefault="00B029A7" w:rsidP="002F7FE1">
      <w:pPr>
        <w:pStyle w:val="NormalBold"/>
      </w:pPr>
      <w:r w:rsidRPr="003746B8">
        <w:rPr>
          <w:rStyle w:val="HideTWBExt"/>
          <w:b w:val="0"/>
        </w:rPr>
        <w:t>&lt;Article&gt;</w:t>
      </w:r>
      <w:r w:rsidRPr="003746B8">
        <w:t>Załącznik V – akapit 1 – podpunkt iii</w:t>
      </w:r>
      <w:r w:rsidRPr="003746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9E2" w:rsidRPr="003746B8" w:rsidTr="000462E9">
        <w:trPr>
          <w:jc w:val="center"/>
        </w:trPr>
        <w:tc>
          <w:tcPr>
            <w:tcW w:w="9752" w:type="dxa"/>
            <w:gridSpan w:val="2"/>
          </w:tcPr>
          <w:p w:rsidR="002F7FE1" w:rsidRPr="003746B8" w:rsidRDefault="002F7FE1" w:rsidP="000462E9">
            <w:pPr>
              <w:keepNext/>
            </w:pPr>
          </w:p>
        </w:tc>
      </w:tr>
      <w:tr w:rsidR="002859E2" w:rsidRPr="003746B8" w:rsidTr="000462E9">
        <w:trPr>
          <w:jc w:val="center"/>
        </w:trPr>
        <w:tc>
          <w:tcPr>
            <w:tcW w:w="4876" w:type="dxa"/>
            <w:hideMark/>
          </w:tcPr>
          <w:p w:rsidR="002F7FE1" w:rsidRPr="003746B8" w:rsidRDefault="00B029A7" w:rsidP="000462E9">
            <w:pPr>
              <w:pStyle w:val="ColumnHeading"/>
              <w:keepNext/>
            </w:pPr>
            <w:r w:rsidRPr="003746B8">
              <w:t xml:space="preserve">Tekst proponowany przez </w:t>
            </w:r>
            <w:r w:rsidRPr="003746B8">
              <w:t>Komisję</w:t>
            </w:r>
          </w:p>
        </w:tc>
        <w:tc>
          <w:tcPr>
            <w:tcW w:w="4876" w:type="dxa"/>
            <w:hideMark/>
          </w:tcPr>
          <w:p w:rsidR="002F7FE1" w:rsidRPr="003746B8" w:rsidRDefault="00B029A7" w:rsidP="000462E9">
            <w:pPr>
              <w:pStyle w:val="ColumnHeading"/>
              <w:keepNext/>
            </w:pPr>
            <w:r w:rsidRPr="003746B8">
              <w:t>Poprawka</w:t>
            </w:r>
          </w:p>
        </w:tc>
      </w:tr>
      <w:tr w:rsidR="002859E2" w:rsidRPr="003746B8" w:rsidTr="000462E9">
        <w:trPr>
          <w:jc w:val="center"/>
        </w:trPr>
        <w:tc>
          <w:tcPr>
            <w:tcW w:w="4876" w:type="dxa"/>
            <w:hideMark/>
          </w:tcPr>
          <w:p w:rsidR="002F7FE1" w:rsidRPr="003746B8" w:rsidRDefault="00B029A7" w:rsidP="000462E9">
            <w:pPr>
              <w:pStyle w:val="Normal6"/>
            </w:pPr>
            <w:r w:rsidRPr="003746B8">
              <w:t>(iii)</w:t>
            </w:r>
            <w:r w:rsidRPr="003746B8">
              <w:tab/>
              <w:t xml:space="preserve">informacje dotyczące sesji transakcji dokonywanych przez użytkownika cyfrowego euro, </w:t>
            </w:r>
            <w:r w:rsidRPr="003746B8">
              <w:rPr>
                <w:b/>
                <w:i/>
              </w:rPr>
              <w:t>w tym</w:t>
            </w:r>
            <w:r w:rsidRPr="003746B8">
              <w:t xml:space="preserve"> zakres adresów IP urządzenia.</w:t>
            </w:r>
          </w:p>
        </w:tc>
        <w:tc>
          <w:tcPr>
            <w:tcW w:w="4876" w:type="dxa"/>
            <w:hideMark/>
          </w:tcPr>
          <w:p w:rsidR="002F7FE1" w:rsidRPr="003746B8" w:rsidRDefault="00B029A7" w:rsidP="000462E9">
            <w:pPr>
              <w:pStyle w:val="Normal6"/>
              <w:rPr>
                <w:szCs w:val="24"/>
              </w:rPr>
            </w:pPr>
            <w:r w:rsidRPr="003746B8">
              <w:t>(iii)</w:t>
            </w:r>
            <w:r w:rsidRPr="003746B8">
              <w:tab/>
              <w:t xml:space="preserve">informacje dotyczące sesji transakcji dokonywanych przez użytkownika cyfrowego euro, </w:t>
            </w:r>
            <w:r w:rsidRPr="003746B8">
              <w:rPr>
                <w:b/>
                <w:i/>
              </w:rPr>
              <w:t>rozumiane jako</w:t>
            </w:r>
            <w:r w:rsidRPr="003746B8">
              <w:t xml:space="preserve"> zakres adresów IP urządzenia.</w:t>
            </w:r>
          </w:p>
        </w:tc>
      </w:tr>
    </w:tbl>
    <w:p w:rsidR="002F7FE1" w:rsidRPr="003746B8" w:rsidRDefault="00B029A7" w:rsidP="002F7FE1">
      <w:r w:rsidRPr="003746B8">
        <w:rPr>
          <w:rStyle w:val="HideTWBExt"/>
        </w:rPr>
        <w:t>&lt;/Amend&gt;&lt;/RepeatBlock-Amend&gt;</w:t>
      </w:r>
    </w:p>
    <w:p w:rsidR="002F7FE1" w:rsidRPr="003746B8" w:rsidRDefault="002F7FE1" w:rsidP="001E3AC4">
      <w:pPr>
        <w:pStyle w:val="Normal12a"/>
      </w:pPr>
    </w:p>
    <w:p w:rsidR="002F7FE1" w:rsidRPr="003746B8" w:rsidRDefault="002F7FE1">
      <w:pPr>
        <w:widowControl/>
        <w:sectPr w:rsidR="002F7FE1" w:rsidRPr="003746B8" w:rsidSect="00BE579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2F7FE1" w:rsidRPr="003746B8" w:rsidRDefault="00B029A7" w:rsidP="000462E9">
      <w:pPr>
        <w:pStyle w:val="PageHeadingNotTOC"/>
      </w:pPr>
      <w:bookmarkStart w:id="1" w:name="FootprintPageAD"/>
      <w:bookmarkStart w:id="2" w:name="_GoBack"/>
      <w:bookmarkEnd w:id="2"/>
      <w:r w:rsidRPr="003746B8">
        <w:lastRenderedPageBreak/>
        <w:t>ZAŁĄCZNIK: WYKAZ PODMIOTÓW, OD KTÓRYCH SPRAWOZDAWCA OTRZYMAŁ INFORMACJE</w:t>
      </w:r>
    </w:p>
    <w:p w:rsidR="002F7FE1" w:rsidRPr="003746B8" w:rsidRDefault="00B029A7" w:rsidP="000462E9">
      <w:pPr>
        <w:pStyle w:val="Normal24a"/>
      </w:pPr>
      <w:r w:rsidRPr="003746B8">
        <w:rPr>
          <w:rStyle w:val="HideTWBExt"/>
        </w:rPr>
        <w:t>&lt;FootprintIntro&gt;</w:t>
      </w:r>
      <w:r w:rsidRPr="003746B8">
        <w:t>Zgodnie z art. 8 załącznika I do Regulaminu sprawozdawca komisji opiniodawczej oświadcza, że ujął w</w:t>
      </w:r>
      <w:r w:rsidRPr="003746B8">
        <w:t xml:space="preserve"> swojej opinii informacje dotyczące kwestii związanych z tematem, które otrzymał podczas sporządzania opinii, do czasu przyjęcia jej przez komisję, od następujących przedstawicieli grup interesu objętych zakresem porozumienia międzyinstytucjonalnego w spra</w:t>
      </w:r>
      <w:r w:rsidRPr="003746B8">
        <w:t>wie obowiązkowego rejestru służącego przejrzystości</w:t>
      </w:r>
      <w:r w:rsidRPr="003746B8">
        <w:rPr>
          <w:rStyle w:val="FootnoteReference"/>
        </w:rPr>
        <w:footnoteReference w:id="1"/>
      </w:r>
      <w:r w:rsidRPr="003746B8">
        <w:t xml:space="preserve"> lub od następujących przedstawicieli organów publicznych państw trzecich, w tym ich misji dyplomatycznych i ambasad:</w:t>
      </w:r>
      <w:r w:rsidRPr="003746B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859E2" w:rsidRPr="003746B8" w:rsidTr="000462E9">
        <w:tc>
          <w:tcPr>
            <w:tcW w:w="9286" w:type="dxa"/>
            <w:shd w:val="clear" w:color="auto" w:fill="auto"/>
          </w:tcPr>
          <w:p w:rsidR="002F7FE1" w:rsidRPr="003746B8" w:rsidRDefault="00B029A7" w:rsidP="002F7FE1">
            <w:pPr>
              <w:pStyle w:val="NormalBoldCenter"/>
            </w:pPr>
            <w:r w:rsidRPr="003746B8">
              <w:t>1. Przedstawiciele grup interesu objęci zakresem porozumienia międzyi</w:t>
            </w:r>
            <w:r w:rsidRPr="003746B8">
              <w:t>nstytucjonalnego w sprawie obowiązkowego rejestru służącego przejrzystości</w:t>
            </w:r>
          </w:p>
        </w:tc>
      </w:tr>
      <w:tr w:rsidR="002859E2" w:rsidRPr="003746B8" w:rsidTr="000462E9">
        <w:tc>
          <w:tcPr>
            <w:tcW w:w="9286" w:type="dxa"/>
            <w:shd w:val="clear" w:color="auto" w:fill="auto"/>
          </w:tcPr>
          <w:p w:rsidR="002F7FE1" w:rsidRPr="003746B8" w:rsidRDefault="00B029A7" w:rsidP="002F7FE1">
            <w:pPr>
              <w:pStyle w:val="NormalSingle"/>
            </w:pPr>
            <w:r w:rsidRPr="003746B8">
              <w:t>FTI Consulting</w:t>
            </w:r>
          </w:p>
          <w:p w:rsidR="005956AA" w:rsidRPr="003746B8" w:rsidRDefault="005956AA" w:rsidP="002F7FE1">
            <w:pPr>
              <w:pStyle w:val="NormalSingle"/>
            </w:pPr>
          </w:p>
        </w:tc>
      </w:tr>
      <w:tr w:rsidR="002859E2" w:rsidRPr="003746B8" w:rsidTr="000462E9">
        <w:tc>
          <w:tcPr>
            <w:tcW w:w="9286" w:type="dxa"/>
            <w:shd w:val="clear" w:color="auto" w:fill="auto"/>
          </w:tcPr>
          <w:p w:rsidR="002F7FE1" w:rsidRPr="003746B8" w:rsidRDefault="00B029A7" w:rsidP="002F7FE1">
            <w:pPr>
              <w:pStyle w:val="NormalBoldCenter"/>
            </w:pPr>
            <w:r w:rsidRPr="003746B8">
              <w:t>2. Przedstawiciele organów publicznych państw trzecich, w tym ich misji dyplomatycznych i ambasad</w:t>
            </w:r>
          </w:p>
        </w:tc>
      </w:tr>
      <w:tr w:rsidR="002859E2" w:rsidRPr="003746B8" w:rsidTr="000462E9">
        <w:tc>
          <w:tcPr>
            <w:tcW w:w="9286" w:type="dxa"/>
            <w:shd w:val="clear" w:color="auto" w:fill="auto"/>
          </w:tcPr>
          <w:p w:rsidR="005956AA" w:rsidRPr="003746B8" w:rsidRDefault="00B029A7" w:rsidP="002F7FE1">
            <w:pPr>
              <w:pStyle w:val="NormalSingle"/>
            </w:pPr>
            <w:r w:rsidRPr="003746B8">
              <w:t>Brak</w:t>
            </w:r>
          </w:p>
          <w:p w:rsidR="000462E9" w:rsidRPr="003746B8" w:rsidRDefault="000462E9" w:rsidP="002F7FE1">
            <w:pPr>
              <w:pStyle w:val="NormalSingle"/>
            </w:pPr>
          </w:p>
        </w:tc>
      </w:tr>
    </w:tbl>
    <w:p w:rsidR="002F7FE1" w:rsidRPr="003746B8" w:rsidRDefault="00B029A7" w:rsidP="000462E9">
      <w:pPr>
        <w:pStyle w:val="Footprint12b"/>
      </w:pPr>
      <w:r w:rsidRPr="003746B8">
        <w:t xml:space="preserve">Powyższy wykaz został sporządzony na wyłączną </w:t>
      </w:r>
      <w:r w:rsidRPr="003746B8">
        <w:t>odpowiedzialność sprawozdawcy komisji opiniodawczej.</w:t>
      </w:r>
    </w:p>
    <w:p w:rsidR="002F7FE1" w:rsidRPr="003746B8" w:rsidRDefault="00B029A7" w:rsidP="000462E9">
      <w:pPr>
        <w:pStyle w:val="Footprint12b"/>
      </w:pPr>
      <w:r w:rsidRPr="003746B8">
        <w:t xml:space="preserve">Gdy osoby fizyczne są wymienione w wykazie z imienia i nazwiska, zidentyfikowane poprzez swoją funkcję lub wymienione z imienia i nazwiska wraz z podaniem ich funkcji, sprawozdawca komisji opiniodawczej </w:t>
      </w:r>
      <w:r w:rsidRPr="003746B8">
        <w:t>oświadcza, że przedstawił tym osobom fizycznym Oświadczenie o ochronie prywatności w Parlamencie Europejskim nr 484 (</w:t>
      </w:r>
      <w:hyperlink r:id="rId14" w:history="1">
        <w:r w:rsidRPr="003746B8">
          <w:rPr>
            <w:rStyle w:val="Hyperlink"/>
          </w:rPr>
          <w:t>https://www.europarl.europa.eu/data-protect/index.do</w:t>
        </w:r>
      </w:hyperlink>
      <w:r w:rsidRPr="003746B8">
        <w:t>), w którym przeds</w:t>
      </w:r>
      <w:r w:rsidRPr="003746B8">
        <w:t>tawione są warunki mające zastosowanie do przetwarzania danych osobowych tych osób oraz prawa związane z takim przetwarzaniem.</w:t>
      </w:r>
    </w:p>
    <w:p w:rsidR="009F25C0" w:rsidRPr="003746B8" w:rsidRDefault="009F25C0" w:rsidP="000462E9">
      <w:pPr>
        <w:pStyle w:val="Footprint12b"/>
      </w:pPr>
    </w:p>
    <w:p w:rsidR="009F25C0" w:rsidRPr="003746B8" w:rsidRDefault="009F25C0" w:rsidP="000462E9">
      <w:pPr>
        <w:pStyle w:val="Footprint12b"/>
      </w:pPr>
    </w:p>
    <w:p w:rsidR="002F7FE1" w:rsidRPr="003746B8" w:rsidRDefault="002F7FE1" w:rsidP="002F7FE1"/>
    <w:bookmarkEnd w:id="1"/>
    <w:bookmarkEnd w:id="0"/>
    <w:p w:rsidR="00334351" w:rsidRPr="003746B8" w:rsidRDefault="00B029A7" w:rsidP="00334351">
      <w:r w:rsidRPr="003746B8">
        <w:br w:type="page"/>
      </w:r>
    </w:p>
    <w:p w:rsidR="00334351" w:rsidRPr="003746B8" w:rsidRDefault="00B029A7" w:rsidP="00334351">
      <w:pPr>
        <w:pStyle w:val="PageHeadingNotTOC"/>
      </w:pPr>
      <w:bookmarkStart w:id="3" w:name="ProcPageAD"/>
      <w:r w:rsidRPr="003746B8">
        <w:lastRenderedPageBreak/>
        <w:t>PROCEDURA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859E2" w:rsidRPr="003746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b/>
                <w:bCs/>
                <w:color w:val="000000"/>
                <w:sz w:val="20"/>
                <w:szCs w:val="20"/>
              </w:rPr>
            </w:pPr>
            <w:r w:rsidRPr="003746B8">
              <w:rPr>
                <w:b/>
                <w:color w:val="000000"/>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color w:val="000000"/>
                <w:sz w:val="20"/>
                <w:szCs w:val="20"/>
              </w:rPr>
            </w:pPr>
            <w:r w:rsidRPr="003746B8">
              <w:rPr>
                <w:color w:val="000000"/>
                <w:sz w:val="20"/>
              </w:rPr>
              <w:t>Ustanowienie cyfrowego euro</w:t>
            </w:r>
          </w:p>
        </w:tc>
      </w:tr>
      <w:tr w:rsidR="002859E2" w:rsidRPr="003746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b/>
                <w:bCs/>
                <w:color w:val="000000"/>
                <w:sz w:val="20"/>
                <w:szCs w:val="20"/>
              </w:rPr>
            </w:pPr>
            <w:r w:rsidRPr="003746B8">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color w:val="000000"/>
                <w:sz w:val="20"/>
                <w:szCs w:val="20"/>
              </w:rPr>
            </w:pPr>
            <w:r w:rsidRPr="003746B8">
              <w:rPr>
                <w:color w:val="000000"/>
                <w:sz w:val="20"/>
              </w:rPr>
              <w:t>COM(2023)0369 – C9-0219/2023 – 2023/0212(COD)</w:t>
            </w:r>
          </w:p>
        </w:tc>
      </w:tr>
      <w:tr w:rsidR="002859E2" w:rsidRPr="003746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b/>
                <w:bCs/>
                <w:color w:val="000000"/>
                <w:sz w:val="20"/>
                <w:szCs w:val="20"/>
              </w:rPr>
            </w:pPr>
            <w:r w:rsidRPr="003746B8">
              <w:rPr>
                <w:b/>
                <w:color w:val="000000"/>
                <w:sz w:val="20"/>
              </w:rPr>
              <w:t>Komisja przedmiotowo właściwa</w:t>
            </w:r>
          </w:p>
          <w:p w:rsidR="00334351" w:rsidRPr="003746B8" w:rsidRDefault="00B029A7">
            <w:pPr>
              <w:autoSpaceDE w:val="0"/>
              <w:autoSpaceDN w:val="0"/>
              <w:adjustRightInd w:val="0"/>
              <w:rPr>
                <w:color w:val="000000"/>
                <w:sz w:val="20"/>
                <w:szCs w:val="20"/>
              </w:rPr>
            </w:pPr>
            <w:r w:rsidRPr="003746B8">
              <w:rPr>
                <w:color w:val="000000"/>
                <w:sz w:val="20"/>
              </w:rPr>
              <w:t>       Data ogłoszenia 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34351" w:rsidRPr="003746B8" w:rsidRDefault="00B029A7">
            <w:pPr>
              <w:autoSpaceDE w:val="0"/>
              <w:autoSpaceDN w:val="0"/>
              <w:adjustRightInd w:val="0"/>
              <w:rPr>
                <w:color w:val="000000"/>
                <w:sz w:val="20"/>
                <w:szCs w:val="20"/>
              </w:rPr>
            </w:pPr>
            <w:r w:rsidRPr="003746B8">
              <w:rPr>
                <w:color w:val="000000"/>
                <w:sz w:val="20"/>
              </w:rPr>
              <w:t>ECON</w:t>
            </w:r>
          </w:p>
          <w:p w:rsidR="00334351" w:rsidRPr="003746B8" w:rsidRDefault="00B029A7">
            <w:pPr>
              <w:autoSpaceDE w:val="0"/>
              <w:autoSpaceDN w:val="0"/>
              <w:adjustRightInd w:val="0"/>
              <w:rPr>
                <w:color w:val="000000"/>
                <w:sz w:val="20"/>
                <w:szCs w:val="20"/>
              </w:rPr>
            </w:pPr>
            <w:r w:rsidRPr="003746B8">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34351" w:rsidRPr="003746B8" w:rsidRDefault="003343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34351" w:rsidRPr="003746B8" w:rsidRDefault="003343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4351" w:rsidRPr="003746B8" w:rsidRDefault="00334351">
            <w:pPr>
              <w:autoSpaceDE w:val="0"/>
              <w:autoSpaceDN w:val="0"/>
              <w:adjustRightInd w:val="0"/>
              <w:rPr>
                <w:rFonts w:ascii="sans-serif" w:hAnsi="sans-serif" w:cs="sans-serif"/>
                <w:color w:val="000000"/>
              </w:rPr>
            </w:pPr>
          </w:p>
        </w:tc>
      </w:tr>
      <w:tr w:rsidR="002859E2" w:rsidRPr="003746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b/>
                <w:bCs/>
                <w:color w:val="000000"/>
                <w:sz w:val="20"/>
                <w:szCs w:val="20"/>
              </w:rPr>
            </w:pPr>
            <w:r w:rsidRPr="003746B8">
              <w:rPr>
                <w:b/>
                <w:color w:val="000000"/>
                <w:sz w:val="20"/>
              </w:rPr>
              <w:t>Opinia wydana przez</w:t>
            </w:r>
          </w:p>
          <w:p w:rsidR="00334351" w:rsidRPr="003746B8" w:rsidRDefault="00B029A7">
            <w:pPr>
              <w:autoSpaceDE w:val="0"/>
              <w:autoSpaceDN w:val="0"/>
              <w:adjustRightInd w:val="0"/>
              <w:rPr>
                <w:color w:val="000000"/>
                <w:sz w:val="20"/>
                <w:szCs w:val="20"/>
              </w:rPr>
            </w:pPr>
            <w:r w:rsidRPr="003746B8">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color w:val="000000"/>
                <w:sz w:val="20"/>
                <w:szCs w:val="20"/>
              </w:rPr>
            </w:pPr>
            <w:r w:rsidRPr="003746B8">
              <w:rPr>
                <w:color w:val="000000"/>
                <w:sz w:val="20"/>
              </w:rPr>
              <w:t>LIBE</w:t>
            </w:r>
          </w:p>
          <w:p w:rsidR="00334351" w:rsidRPr="003746B8" w:rsidRDefault="00B029A7">
            <w:pPr>
              <w:autoSpaceDE w:val="0"/>
              <w:autoSpaceDN w:val="0"/>
              <w:adjustRightInd w:val="0"/>
              <w:rPr>
                <w:color w:val="000000"/>
                <w:sz w:val="20"/>
                <w:szCs w:val="20"/>
              </w:rPr>
            </w:pPr>
            <w:r w:rsidRPr="003746B8">
              <w:rPr>
                <w:color w:val="000000"/>
                <w:sz w:val="20"/>
              </w:rPr>
              <w:t>19.10.2023</w:t>
            </w:r>
          </w:p>
        </w:tc>
      </w:tr>
      <w:tr w:rsidR="002859E2" w:rsidRPr="003746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b/>
                <w:bCs/>
                <w:color w:val="000000"/>
                <w:sz w:val="20"/>
                <w:szCs w:val="20"/>
              </w:rPr>
            </w:pPr>
            <w:r w:rsidRPr="003746B8">
              <w:rPr>
                <w:b/>
                <w:color w:val="000000"/>
                <w:sz w:val="20"/>
              </w:rPr>
              <w:t>Sprawozdawca komisji opiniodawczej</w:t>
            </w:r>
          </w:p>
          <w:p w:rsidR="00334351" w:rsidRPr="003746B8" w:rsidRDefault="00B029A7">
            <w:pPr>
              <w:autoSpaceDE w:val="0"/>
              <w:autoSpaceDN w:val="0"/>
              <w:adjustRightInd w:val="0"/>
              <w:rPr>
                <w:color w:val="000000"/>
                <w:sz w:val="20"/>
                <w:szCs w:val="20"/>
              </w:rPr>
            </w:pPr>
            <w:r w:rsidRPr="003746B8">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color w:val="000000"/>
                <w:sz w:val="20"/>
                <w:szCs w:val="20"/>
              </w:rPr>
            </w:pPr>
            <w:r w:rsidRPr="003746B8">
              <w:rPr>
                <w:color w:val="000000"/>
                <w:sz w:val="20"/>
              </w:rPr>
              <w:t>Emil Radev</w:t>
            </w:r>
          </w:p>
          <w:p w:rsidR="00334351" w:rsidRPr="003746B8" w:rsidRDefault="00B029A7">
            <w:pPr>
              <w:autoSpaceDE w:val="0"/>
              <w:autoSpaceDN w:val="0"/>
              <w:adjustRightInd w:val="0"/>
              <w:rPr>
                <w:color w:val="000000"/>
                <w:sz w:val="20"/>
                <w:szCs w:val="20"/>
              </w:rPr>
            </w:pPr>
            <w:r w:rsidRPr="003746B8">
              <w:rPr>
                <w:color w:val="000000"/>
                <w:sz w:val="20"/>
              </w:rPr>
              <w:t>3.7.2025</w:t>
            </w:r>
          </w:p>
        </w:tc>
      </w:tr>
      <w:tr w:rsidR="002859E2" w:rsidRPr="003746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b/>
                <w:bCs/>
                <w:color w:val="000000"/>
                <w:sz w:val="20"/>
                <w:szCs w:val="20"/>
              </w:rPr>
            </w:pPr>
            <w:r w:rsidRPr="003746B8">
              <w:rPr>
                <w:b/>
                <w:color w:val="000000"/>
                <w:sz w:val="20"/>
              </w:rPr>
              <w:t xml:space="preserve">Data </w:t>
            </w:r>
            <w:r w:rsidRPr="003746B8">
              <w:rPr>
                <w:b/>
                <w:color w:val="000000"/>
                <w:sz w:val="20"/>
              </w:rPr>
              <w:t>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34351" w:rsidRPr="003746B8" w:rsidRDefault="00B029A7">
            <w:pPr>
              <w:autoSpaceDE w:val="0"/>
              <w:autoSpaceDN w:val="0"/>
              <w:adjustRightInd w:val="0"/>
              <w:rPr>
                <w:color w:val="000000"/>
                <w:sz w:val="20"/>
                <w:szCs w:val="20"/>
              </w:rPr>
            </w:pPr>
            <w:r w:rsidRPr="003746B8">
              <w:rPr>
                <w:color w:val="000000"/>
                <w:sz w:val="20"/>
              </w:rPr>
              <w:t>15.7.2025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34351" w:rsidRPr="003746B8" w:rsidRDefault="003343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34351" w:rsidRPr="003746B8" w:rsidRDefault="003343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4351" w:rsidRPr="003746B8" w:rsidRDefault="00334351">
            <w:pPr>
              <w:autoSpaceDE w:val="0"/>
              <w:autoSpaceDN w:val="0"/>
              <w:adjustRightInd w:val="0"/>
              <w:rPr>
                <w:rFonts w:ascii="sans-serif" w:hAnsi="sans-serif" w:cs="sans-serif"/>
                <w:color w:val="000000"/>
              </w:rPr>
            </w:pPr>
          </w:p>
        </w:tc>
      </w:tr>
      <w:tr w:rsidR="002859E2" w:rsidRPr="003746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b/>
                <w:bCs/>
                <w:color w:val="000000"/>
                <w:sz w:val="20"/>
                <w:szCs w:val="20"/>
              </w:rPr>
            </w:pPr>
            <w:r w:rsidRPr="003746B8">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34351" w:rsidRPr="003746B8" w:rsidRDefault="00B029A7">
            <w:pPr>
              <w:autoSpaceDE w:val="0"/>
              <w:autoSpaceDN w:val="0"/>
              <w:adjustRightInd w:val="0"/>
              <w:rPr>
                <w:color w:val="000000"/>
                <w:sz w:val="20"/>
                <w:szCs w:val="20"/>
              </w:rPr>
            </w:pPr>
            <w:r w:rsidRPr="003746B8">
              <w:rPr>
                <w:color w:val="000000"/>
                <w:sz w:val="20"/>
              </w:rPr>
              <w:t>+:</w:t>
            </w:r>
          </w:p>
          <w:p w:rsidR="00334351" w:rsidRPr="003746B8" w:rsidRDefault="00B029A7">
            <w:pPr>
              <w:autoSpaceDE w:val="0"/>
              <w:autoSpaceDN w:val="0"/>
              <w:adjustRightInd w:val="0"/>
              <w:rPr>
                <w:color w:val="000000"/>
                <w:sz w:val="20"/>
                <w:szCs w:val="20"/>
              </w:rPr>
            </w:pPr>
            <w:r w:rsidRPr="003746B8">
              <w:rPr>
                <w:color w:val="000000"/>
                <w:sz w:val="20"/>
              </w:rPr>
              <w:t>–:</w:t>
            </w:r>
          </w:p>
          <w:p w:rsidR="00334351" w:rsidRPr="003746B8" w:rsidRDefault="00B029A7">
            <w:pPr>
              <w:autoSpaceDE w:val="0"/>
              <w:autoSpaceDN w:val="0"/>
              <w:adjustRightInd w:val="0"/>
              <w:rPr>
                <w:color w:val="000000"/>
                <w:sz w:val="20"/>
                <w:szCs w:val="20"/>
              </w:rPr>
            </w:pPr>
            <w:r w:rsidRPr="003746B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color w:val="000000"/>
                <w:sz w:val="20"/>
                <w:szCs w:val="20"/>
              </w:rPr>
            </w:pPr>
            <w:r w:rsidRPr="003746B8">
              <w:rPr>
                <w:color w:val="000000"/>
                <w:sz w:val="20"/>
              </w:rPr>
              <w:t>46</w:t>
            </w:r>
          </w:p>
          <w:p w:rsidR="00334351" w:rsidRPr="003746B8" w:rsidRDefault="00B029A7">
            <w:pPr>
              <w:autoSpaceDE w:val="0"/>
              <w:autoSpaceDN w:val="0"/>
              <w:adjustRightInd w:val="0"/>
              <w:rPr>
                <w:color w:val="000000"/>
                <w:sz w:val="20"/>
                <w:szCs w:val="20"/>
              </w:rPr>
            </w:pPr>
            <w:r w:rsidRPr="003746B8">
              <w:rPr>
                <w:color w:val="000000"/>
                <w:sz w:val="20"/>
              </w:rPr>
              <w:t>17</w:t>
            </w:r>
          </w:p>
          <w:p w:rsidR="00334351" w:rsidRPr="003746B8" w:rsidRDefault="00B029A7">
            <w:pPr>
              <w:autoSpaceDE w:val="0"/>
              <w:autoSpaceDN w:val="0"/>
              <w:adjustRightInd w:val="0"/>
              <w:rPr>
                <w:color w:val="000000"/>
                <w:sz w:val="20"/>
                <w:szCs w:val="20"/>
              </w:rPr>
            </w:pPr>
            <w:r w:rsidRPr="003746B8">
              <w:rPr>
                <w:color w:val="000000"/>
                <w:sz w:val="20"/>
              </w:rPr>
              <w:t>11</w:t>
            </w:r>
          </w:p>
        </w:tc>
      </w:tr>
      <w:tr w:rsidR="002859E2" w:rsidRPr="003746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b/>
                <w:bCs/>
                <w:color w:val="000000"/>
                <w:sz w:val="20"/>
                <w:szCs w:val="20"/>
              </w:rPr>
            </w:pPr>
            <w:r w:rsidRPr="003746B8">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color w:val="000000"/>
                <w:sz w:val="20"/>
                <w:szCs w:val="20"/>
              </w:rPr>
            </w:pPr>
            <w:r w:rsidRPr="003746B8">
              <w:rPr>
                <w:color w:val="000000"/>
                <w:sz w:val="20"/>
              </w:rPr>
              <w:t xml:space="preserve">Magdalena Adamowicz, Abir Al-Sahlani, Giuseppe Antoci, Francisco Assis, Malik Azmani, Nikola Bartůšek, Krzysztof Brejza, Saskia Bricmont, </w:t>
            </w:r>
            <w:r w:rsidRPr="003746B8">
              <w:rPr>
                <w:color w:val="000000"/>
                <w:sz w:val="20"/>
              </w:rPr>
              <w:t>Jaroslav Bžoch, Mélissa Camara, Susanna Ceccardi, Caterina Chinnici, Alessandro Ciriani, Lena Düpont, Marieke Ehlers, Estrella Galán, Raquel García Hermida-Van Der Walle, Evin Incir, Paolo Inselvini, Irena Joveva, Erik Kaliňák, Marina Kaljurand, Mariusz Ka</w:t>
            </w:r>
            <w:r w:rsidRPr="003746B8">
              <w:rPr>
                <w:color w:val="000000"/>
                <w:sz w:val="20"/>
              </w:rPr>
              <w:t xml:space="preserve">miński, Assita Kanko, Fabienne Keller, Moritz Körner, Murielle Laurent, Fabrice Leggeri, Jeroen Lenaers, Juan Fernando López Aguilar, Michael McNamara, Ana Catarina Mendes, Verena Mertens, Nadine Morano, Matjaž Nemec, Ana Miguel Pedro, Chloé Ridel, Ilaria </w:t>
            </w:r>
            <w:r w:rsidRPr="003746B8">
              <w:rPr>
                <w:color w:val="000000"/>
                <w:sz w:val="20"/>
              </w:rPr>
              <w:t>Salis, Birgit Sippel, Krzysztof Śmiszek, Petra Steger, Cecilia Strada, Tineke Strik, Georgiana Teodorescu, Tomas Tobé, Milan Uhrík, Tom Vandendriessche, Kristian Vigenin, Charlie Weimers, Sophie Wilmès, Ewa Zajączkowska-Hernik, Alessandro Zan, Javier Zarza</w:t>
            </w:r>
            <w:r w:rsidRPr="003746B8">
              <w:rPr>
                <w:color w:val="000000"/>
                <w:sz w:val="20"/>
              </w:rPr>
              <w:t>lejos</w:t>
            </w:r>
          </w:p>
        </w:tc>
      </w:tr>
      <w:tr w:rsidR="002859E2" w:rsidRPr="003746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b/>
                <w:bCs/>
                <w:color w:val="000000"/>
                <w:sz w:val="20"/>
                <w:szCs w:val="20"/>
              </w:rPr>
            </w:pPr>
            <w:r w:rsidRPr="003746B8">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color w:val="000000"/>
                <w:sz w:val="20"/>
                <w:szCs w:val="20"/>
              </w:rPr>
            </w:pPr>
            <w:r w:rsidRPr="003746B8">
              <w:rPr>
                <w:color w:val="000000"/>
                <w:sz w:val="20"/>
              </w:rPr>
              <w:t xml:space="preserve">Konstantinos Arvanitis, Fredis Beleris, David Casa, Geadis Geadi, Monika Hohlmeier, Nikola Minchev, Hannah Neumann, João Oliveira, Leoluca Orlando, Oliver Schenk, Alexander Sell, Sander Smit, António </w:t>
            </w:r>
            <w:r w:rsidRPr="003746B8">
              <w:rPr>
                <w:color w:val="000000"/>
                <w:sz w:val="20"/>
              </w:rPr>
              <w:t>Tânger Corrêa, Pekka Toveri, Roberto Vannacci</w:t>
            </w:r>
          </w:p>
        </w:tc>
      </w:tr>
      <w:tr w:rsidR="002859E2" w:rsidRPr="003746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b/>
                <w:bCs/>
                <w:color w:val="000000"/>
                <w:sz w:val="20"/>
                <w:szCs w:val="20"/>
              </w:rPr>
            </w:pPr>
            <w:r w:rsidRPr="003746B8">
              <w:rPr>
                <w:b/>
                <w:color w:val="000000"/>
                <w:sz w:val="20"/>
              </w:rPr>
              <w:t>Posłowie, o których mowa w art. 216 ust. 7 Regulaminu,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34351" w:rsidRPr="003746B8" w:rsidRDefault="00B029A7">
            <w:pPr>
              <w:autoSpaceDE w:val="0"/>
              <w:autoSpaceDN w:val="0"/>
              <w:adjustRightInd w:val="0"/>
              <w:rPr>
                <w:color w:val="000000"/>
                <w:sz w:val="20"/>
                <w:szCs w:val="20"/>
              </w:rPr>
            </w:pPr>
            <w:r w:rsidRPr="003746B8">
              <w:rPr>
                <w:color w:val="000000"/>
                <w:sz w:val="20"/>
              </w:rPr>
              <w:t>Laurent Castillo, Christian Doleschal, Pietro Fiocchi, Pär Holmgren, Andrey Kovatchev, Andrea Wechsler</w:t>
            </w:r>
          </w:p>
        </w:tc>
      </w:tr>
    </w:tbl>
    <w:p w:rsidR="00334351" w:rsidRPr="003746B8" w:rsidRDefault="00334351" w:rsidP="00334351"/>
    <w:bookmarkEnd w:id="3"/>
    <w:p w:rsidR="00334351" w:rsidRPr="003746B8" w:rsidRDefault="00334351" w:rsidP="00334351">
      <w:pPr>
        <w:sectPr w:rsidR="00334351" w:rsidRPr="003746B8" w:rsidSect="0033435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34351" w:rsidRPr="003746B8" w:rsidRDefault="00B029A7" w:rsidP="00C36610">
      <w:pPr>
        <w:pStyle w:val="PageHeadingNotTOC"/>
      </w:pPr>
      <w:bookmarkStart w:id="4" w:name="RollCallPageAD"/>
      <w:r w:rsidRPr="003746B8">
        <w:lastRenderedPageBreak/>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859E2" w:rsidRPr="003746B8" w:rsidTr="008920AC">
        <w:trPr>
          <w:cantSplit/>
        </w:trPr>
        <w:tc>
          <w:tcPr>
            <w:tcW w:w="1701" w:type="dxa"/>
            <w:shd w:val="pct10" w:color="000000" w:fill="FFFFFF"/>
            <w:vAlign w:val="center"/>
          </w:tcPr>
          <w:p w:rsidR="00334351" w:rsidRPr="003746B8" w:rsidRDefault="00B029A7" w:rsidP="003858C5">
            <w:pPr>
              <w:pStyle w:val="RollCallVotes"/>
            </w:pPr>
            <w:r w:rsidRPr="003746B8">
              <w:t>46</w:t>
            </w:r>
          </w:p>
        </w:tc>
        <w:tc>
          <w:tcPr>
            <w:tcW w:w="7371" w:type="dxa"/>
            <w:shd w:val="pct10" w:color="000000" w:fill="FFFFFF"/>
          </w:tcPr>
          <w:p w:rsidR="00334351" w:rsidRPr="003746B8" w:rsidRDefault="00B029A7" w:rsidP="003858C5">
            <w:pPr>
              <w:pStyle w:val="RollCallSymbols14pt"/>
            </w:pPr>
            <w:r w:rsidRPr="003746B8">
              <w:t>+</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PPE</w:t>
            </w:r>
          </w:p>
        </w:tc>
        <w:tc>
          <w:tcPr>
            <w:tcW w:w="7371" w:type="dxa"/>
            <w:shd w:val="clear" w:color="auto" w:fill="FFFFFF"/>
          </w:tcPr>
          <w:p w:rsidR="00334351" w:rsidRPr="003746B8" w:rsidRDefault="00B029A7" w:rsidP="003858C5">
            <w:pPr>
              <w:pStyle w:val="RollCallTable"/>
            </w:pPr>
            <w:r w:rsidRPr="003746B8">
              <w:t xml:space="preserve">Magdalena Adamowicz, Fredis Beleris, Krzysztof Brejza, David Casa, Caterina Chinnici, Christian Doleschal, Lena Düpont, Monika Hohlmeier, </w:t>
            </w:r>
            <w:r w:rsidRPr="003746B8">
              <w:t>Andrey Kovatchev, Jeroen Lenaers, Verena Mertens, Ana Miguel Pedro, Oliver Schenk, Tomas Tobé, Pekka Toveri, Andrea Wechsler, Javier Zarzalejos</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PfE</w:t>
            </w:r>
          </w:p>
        </w:tc>
        <w:tc>
          <w:tcPr>
            <w:tcW w:w="7371" w:type="dxa"/>
            <w:shd w:val="clear" w:color="auto" w:fill="FFFFFF"/>
          </w:tcPr>
          <w:p w:rsidR="00334351" w:rsidRPr="003746B8" w:rsidRDefault="00B029A7" w:rsidP="003858C5">
            <w:pPr>
              <w:pStyle w:val="RollCallTable"/>
            </w:pPr>
            <w:r w:rsidRPr="003746B8">
              <w:t>Jaroslav Bžoch</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Renew</w:t>
            </w:r>
          </w:p>
        </w:tc>
        <w:tc>
          <w:tcPr>
            <w:tcW w:w="7371" w:type="dxa"/>
            <w:shd w:val="clear" w:color="auto" w:fill="FFFFFF"/>
          </w:tcPr>
          <w:p w:rsidR="00334351" w:rsidRPr="003746B8" w:rsidRDefault="00B029A7" w:rsidP="003858C5">
            <w:pPr>
              <w:pStyle w:val="RollCallTable"/>
            </w:pPr>
            <w:r w:rsidRPr="003746B8">
              <w:t xml:space="preserve">Abir Al-Sahlani, Malik Azmani, Raquel García Hermida-Van Der Walle, Irena Joveva, </w:t>
            </w:r>
            <w:r w:rsidRPr="003746B8">
              <w:t>Fabienne Keller, Moritz Körner, Michael McNamara, Nikola Minchev, Sophie Wilmès</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S&amp;D</w:t>
            </w:r>
          </w:p>
        </w:tc>
        <w:tc>
          <w:tcPr>
            <w:tcW w:w="7371" w:type="dxa"/>
            <w:shd w:val="clear" w:color="auto" w:fill="FFFFFF"/>
          </w:tcPr>
          <w:p w:rsidR="00334351" w:rsidRPr="003746B8" w:rsidRDefault="00B029A7" w:rsidP="003858C5">
            <w:pPr>
              <w:pStyle w:val="RollCallTable"/>
            </w:pPr>
            <w:r w:rsidRPr="003746B8">
              <w:t>Francisco Assis, Evin Incir, Marina Kaljurand, Murielle Laurent, Juan Fernando López Aguilar, Ana Catarina Mendes, Matjaž Nemec, Chloé Ridel, Birgit Sippel, Krzysztof Śmis</w:t>
            </w:r>
            <w:r w:rsidRPr="003746B8">
              <w:t>zek, Cecilia Strada, Kristian Vigenin, Alessandro Zan</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Verts/ALE</w:t>
            </w:r>
          </w:p>
        </w:tc>
        <w:tc>
          <w:tcPr>
            <w:tcW w:w="7371" w:type="dxa"/>
            <w:shd w:val="clear" w:color="auto" w:fill="FFFFFF"/>
          </w:tcPr>
          <w:p w:rsidR="00334351" w:rsidRPr="003746B8" w:rsidRDefault="00B029A7" w:rsidP="003858C5">
            <w:pPr>
              <w:pStyle w:val="RollCallTable"/>
            </w:pPr>
            <w:r w:rsidRPr="003746B8">
              <w:t>Saskia Bricmont, Mélissa Camara, Pär Holmgren, Hannah Neumann, Leoluca Orlando, Tineke Strik</w:t>
            </w:r>
          </w:p>
        </w:tc>
      </w:tr>
    </w:tbl>
    <w:p w:rsidR="00334351" w:rsidRPr="003746B8" w:rsidRDefault="00334351"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859E2" w:rsidRPr="003746B8" w:rsidTr="008920AC">
        <w:trPr>
          <w:cantSplit/>
        </w:trPr>
        <w:tc>
          <w:tcPr>
            <w:tcW w:w="1701" w:type="dxa"/>
            <w:shd w:val="pct10" w:color="000000" w:fill="FFFFFF"/>
            <w:vAlign w:val="center"/>
          </w:tcPr>
          <w:p w:rsidR="00334351" w:rsidRPr="003746B8" w:rsidRDefault="00B029A7" w:rsidP="003858C5">
            <w:pPr>
              <w:pStyle w:val="RollCallVotes"/>
            </w:pPr>
            <w:r w:rsidRPr="003746B8">
              <w:t>17</w:t>
            </w:r>
          </w:p>
        </w:tc>
        <w:tc>
          <w:tcPr>
            <w:tcW w:w="7371" w:type="dxa"/>
            <w:shd w:val="pct10" w:color="000000" w:fill="FFFFFF"/>
          </w:tcPr>
          <w:p w:rsidR="00334351" w:rsidRPr="003746B8" w:rsidRDefault="00B029A7" w:rsidP="003858C5">
            <w:pPr>
              <w:pStyle w:val="RollCallSymbols14pt"/>
            </w:pPr>
            <w:r w:rsidRPr="003746B8">
              <w:t>-</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ECR</w:t>
            </w:r>
          </w:p>
        </w:tc>
        <w:tc>
          <w:tcPr>
            <w:tcW w:w="7371" w:type="dxa"/>
            <w:shd w:val="clear" w:color="auto" w:fill="FFFFFF"/>
          </w:tcPr>
          <w:p w:rsidR="00334351" w:rsidRPr="003746B8" w:rsidRDefault="00B029A7" w:rsidP="003858C5">
            <w:pPr>
              <w:pStyle w:val="RollCallTable"/>
            </w:pPr>
            <w:r w:rsidRPr="003746B8">
              <w:t>Geadis Geadi, Mariusz Kamiński, Assita Kanko, Georgiana Teodorescu, Charlie Weimers</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ESN</w:t>
            </w:r>
          </w:p>
        </w:tc>
        <w:tc>
          <w:tcPr>
            <w:tcW w:w="7371" w:type="dxa"/>
            <w:shd w:val="clear" w:color="auto" w:fill="FFFFFF"/>
          </w:tcPr>
          <w:p w:rsidR="00334351" w:rsidRPr="003746B8" w:rsidRDefault="00B029A7" w:rsidP="003858C5">
            <w:pPr>
              <w:pStyle w:val="RollCallTable"/>
            </w:pPr>
            <w:r w:rsidRPr="003746B8">
              <w:t>Alexander Sell, Milan Uhrík, Ewa Zajączkowska-Hernik</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NI</w:t>
            </w:r>
          </w:p>
        </w:tc>
        <w:tc>
          <w:tcPr>
            <w:tcW w:w="7371" w:type="dxa"/>
            <w:shd w:val="clear" w:color="auto" w:fill="FFFFFF"/>
          </w:tcPr>
          <w:p w:rsidR="00334351" w:rsidRPr="003746B8" w:rsidRDefault="00B029A7" w:rsidP="003858C5">
            <w:pPr>
              <w:pStyle w:val="RollCallTable"/>
            </w:pPr>
            <w:r w:rsidRPr="003746B8">
              <w:t>Erik Kaliňák</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PfE</w:t>
            </w:r>
          </w:p>
        </w:tc>
        <w:tc>
          <w:tcPr>
            <w:tcW w:w="7371" w:type="dxa"/>
            <w:shd w:val="clear" w:color="auto" w:fill="FFFFFF"/>
          </w:tcPr>
          <w:p w:rsidR="00334351" w:rsidRPr="003746B8" w:rsidRDefault="00B029A7" w:rsidP="003858C5">
            <w:pPr>
              <w:pStyle w:val="RollCallTable"/>
            </w:pPr>
            <w:r w:rsidRPr="003746B8">
              <w:t>Susanna Ceccardi, Marieke Ehlers, Fabrice Leggeri, Petra Steger, António Tânger Corrêa, Tom Vandendriessche, Roberto Vannacci</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The Left</w:t>
            </w:r>
          </w:p>
        </w:tc>
        <w:tc>
          <w:tcPr>
            <w:tcW w:w="7371" w:type="dxa"/>
            <w:shd w:val="clear" w:color="auto" w:fill="FFFFFF"/>
          </w:tcPr>
          <w:p w:rsidR="00334351" w:rsidRPr="003746B8" w:rsidRDefault="00B029A7" w:rsidP="003858C5">
            <w:pPr>
              <w:pStyle w:val="RollCallTable"/>
            </w:pPr>
            <w:r w:rsidRPr="003746B8">
              <w:t>João Oliveira</w:t>
            </w:r>
          </w:p>
        </w:tc>
      </w:tr>
    </w:tbl>
    <w:p w:rsidR="00334351" w:rsidRPr="003746B8" w:rsidRDefault="00334351"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859E2" w:rsidRPr="003746B8" w:rsidTr="008920AC">
        <w:trPr>
          <w:cantSplit/>
        </w:trPr>
        <w:tc>
          <w:tcPr>
            <w:tcW w:w="1701" w:type="dxa"/>
            <w:shd w:val="pct10" w:color="000000" w:fill="FFFFFF"/>
            <w:vAlign w:val="center"/>
          </w:tcPr>
          <w:p w:rsidR="00334351" w:rsidRPr="003746B8" w:rsidRDefault="00B029A7" w:rsidP="003858C5">
            <w:pPr>
              <w:pStyle w:val="RollCallVotes"/>
            </w:pPr>
            <w:r w:rsidRPr="003746B8">
              <w:t>11</w:t>
            </w:r>
          </w:p>
        </w:tc>
        <w:tc>
          <w:tcPr>
            <w:tcW w:w="7371" w:type="dxa"/>
            <w:shd w:val="pct10" w:color="000000" w:fill="FFFFFF"/>
          </w:tcPr>
          <w:p w:rsidR="00334351" w:rsidRPr="003746B8" w:rsidRDefault="00B029A7" w:rsidP="003858C5">
            <w:pPr>
              <w:pStyle w:val="RollCallSymbols14pt"/>
            </w:pPr>
            <w:r w:rsidRPr="003746B8">
              <w:t>0</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ECR</w:t>
            </w:r>
          </w:p>
        </w:tc>
        <w:tc>
          <w:tcPr>
            <w:tcW w:w="7371" w:type="dxa"/>
            <w:shd w:val="clear" w:color="auto" w:fill="FFFFFF"/>
          </w:tcPr>
          <w:p w:rsidR="00334351" w:rsidRPr="003746B8" w:rsidRDefault="00B029A7" w:rsidP="003858C5">
            <w:pPr>
              <w:pStyle w:val="RollCallTable"/>
            </w:pPr>
            <w:r w:rsidRPr="003746B8">
              <w:t xml:space="preserve">Alessandro </w:t>
            </w:r>
            <w:r w:rsidRPr="003746B8">
              <w:t>Ciriani, Pietro Fiocchi, Paolo Inselvini</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PPE</w:t>
            </w:r>
          </w:p>
        </w:tc>
        <w:tc>
          <w:tcPr>
            <w:tcW w:w="7371" w:type="dxa"/>
            <w:shd w:val="clear" w:color="auto" w:fill="FFFFFF"/>
          </w:tcPr>
          <w:p w:rsidR="00334351" w:rsidRPr="003746B8" w:rsidRDefault="00B029A7" w:rsidP="003858C5">
            <w:pPr>
              <w:pStyle w:val="RollCallTable"/>
            </w:pPr>
            <w:r w:rsidRPr="003746B8">
              <w:t>Laurent Castillo, Nadine Morano, Sander Smit</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PfE</w:t>
            </w:r>
          </w:p>
        </w:tc>
        <w:tc>
          <w:tcPr>
            <w:tcW w:w="7371" w:type="dxa"/>
            <w:shd w:val="clear" w:color="auto" w:fill="FFFFFF"/>
          </w:tcPr>
          <w:p w:rsidR="00334351" w:rsidRPr="003746B8" w:rsidRDefault="00B029A7" w:rsidP="003858C5">
            <w:pPr>
              <w:pStyle w:val="RollCallTable"/>
            </w:pPr>
            <w:r w:rsidRPr="003746B8">
              <w:t>Nikola Bartůšek</w:t>
            </w:r>
          </w:p>
        </w:tc>
      </w:tr>
      <w:tr w:rsidR="002859E2" w:rsidRPr="003746B8" w:rsidTr="008920AC">
        <w:trPr>
          <w:cantSplit/>
        </w:trPr>
        <w:tc>
          <w:tcPr>
            <w:tcW w:w="1701" w:type="dxa"/>
            <w:shd w:val="clear" w:color="auto" w:fill="FFFFFF"/>
          </w:tcPr>
          <w:p w:rsidR="00334351" w:rsidRPr="003746B8" w:rsidRDefault="00B029A7" w:rsidP="003858C5">
            <w:pPr>
              <w:pStyle w:val="RollCallTable"/>
            </w:pPr>
            <w:r w:rsidRPr="003746B8">
              <w:t>The Left</w:t>
            </w:r>
          </w:p>
        </w:tc>
        <w:tc>
          <w:tcPr>
            <w:tcW w:w="7371" w:type="dxa"/>
            <w:shd w:val="clear" w:color="auto" w:fill="FFFFFF"/>
          </w:tcPr>
          <w:p w:rsidR="00334351" w:rsidRPr="003746B8" w:rsidRDefault="00B029A7" w:rsidP="003858C5">
            <w:pPr>
              <w:pStyle w:val="RollCallTable"/>
            </w:pPr>
            <w:r w:rsidRPr="003746B8">
              <w:t>Giuseppe Antoci, Konstantinos Arvanitis, Estrella Galán, Ilaria Salis</w:t>
            </w:r>
          </w:p>
        </w:tc>
      </w:tr>
    </w:tbl>
    <w:p w:rsidR="00334351" w:rsidRPr="003746B8" w:rsidRDefault="00334351" w:rsidP="00147FBF">
      <w:pPr>
        <w:pStyle w:val="Normal12a"/>
      </w:pPr>
    </w:p>
    <w:p w:rsidR="00334351" w:rsidRPr="003746B8" w:rsidRDefault="00B029A7" w:rsidP="00B735E3">
      <w:r w:rsidRPr="003746B8">
        <w:t>Objaśnienie używanych znaków:</w:t>
      </w:r>
    </w:p>
    <w:p w:rsidR="00334351" w:rsidRPr="003746B8" w:rsidRDefault="00B029A7" w:rsidP="003858C5">
      <w:pPr>
        <w:pStyle w:val="RollCallTabs"/>
      </w:pPr>
      <w:r w:rsidRPr="003746B8">
        <w:t>+</w:t>
      </w:r>
      <w:r w:rsidRPr="003746B8">
        <w:tab/>
        <w:t>:</w:t>
      </w:r>
      <w:r w:rsidRPr="003746B8">
        <w:tab/>
        <w:t>za</w:t>
      </w:r>
    </w:p>
    <w:p w:rsidR="00334351" w:rsidRPr="003746B8" w:rsidRDefault="00B029A7" w:rsidP="003858C5">
      <w:pPr>
        <w:pStyle w:val="RollCallTabs"/>
      </w:pPr>
      <w:r w:rsidRPr="003746B8">
        <w:t>-</w:t>
      </w:r>
      <w:r w:rsidRPr="003746B8">
        <w:tab/>
        <w:t>:</w:t>
      </w:r>
      <w:r w:rsidRPr="003746B8">
        <w:tab/>
        <w:t>przeciw</w:t>
      </w:r>
    </w:p>
    <w:p w:rsidR="00334351" w:rsidRPr="003746B8" w:rsidRDefault="00B029A7" w:rsidP="003858C5">
      <w:pPr>
        <w:pStyle w:val="RollCallTabs"/>
      </w:pPr>
      <w:r w:rsidRPr="003746B8">
        <w:t>0</w:t>
      </w:r>
      <w:r w:rsidRPr="003746B8">
        <w:tab/>
        <w:t>:</w:t>
      </w:r>
      <w:r w:rsidRPr="003746B8">
        <w:tab/>
      </w:r>
      <w:r w:rsidRPr="003746B8">
        <w:t>wstrzymało się</w:t>
      </w:r>
    </w:p>
    <w:p w:rsidR="00334351" w:rsidRPr="003746B8" w:rsidRDefault="00334351" w:rsidP="00207509"/>
    <w:bookmarkEnd w:id="4"/>
    <w:p w:rsidR="002F7FE1" w:rsidRPr="003746B8" w:rsidRDefault="002F7FE1" w:rsidP="00334351"/>
    <w:sectPr w:rsidR="002F7FE1" w:rsidRPr="003746B8" w:rsidSect="0033435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E579D" w:rsidRDefault="00B029A7">
      <w:r w:rsidRPr="00BE579D">
        <w:separator/>
      </w:r>
    </w:p>
  </w:endnote>
  <w:endnote w:type="continuationSeparator" w:id="0">
    <w:p w:rsidR="00000000" w:rsidRPr="00BE579D" w:rsidRDefault="00B029A7">
      <w:r w:rsidRPr="00BE57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79D" w:rsidRPr="00BE579D" w:rsidRDefault="00BE579D" w:rsidP="00BE579D">
    <w:pPr>
      <w:pStyle w:val="EPFooter"/>
    </w:pPr>
    <w:r w:rsidRPr="00BE579D">
      <w:t>PE</w:t>
    </w:r>
    <w:r w:rsidRPr="00BE579D">
      <w:rPr>
        <w:rStyle w:val="HideTWBExt"/>
      </w:rPr>
      <w:t>&lt;NoPE&gt;</w:t>
    </w:r>
    <w:r w:rsidRPr="00BE579D">
      <w:t>775.581</w:t>
    </w:r>
    <w:r w:rsidRPr="00BE579D">
      <w:rPr>
        <w:rStyle w:val="HideTWBExt"/>
      </w:rPr>
      <w:t>&lt;/NoPE&gt;&lt;Version&gt;</w:t>
    </w:r>
    <w:r w:rsidRPr="00BE579D">
      <w:t>v01-00</w:t>
    </w:r>
    <w:r w:rsidRPr="00BE579D">
      <w:rPr>
        <w:rStyle w:val="HideTWBExt"/>
      </w:rPr>
      <w:t>&lt;/Version&gt;</w:t>
    </w:r>
    <w:r w:rsidRPr="00BE579D">
      <w:tab/>
    </w:r>
    <w:r w:rsidRPr="00BE579D">
      <w:fldChar w:fldCharType="begin"/>
    </w:r>
    <w:r w:rsidRPr="00BE579D">
      <w:instrText xml:space="preserve"> PAGE  \* MERGEFORMAT </w:instrText>
    </w:r>
    <w:r w:rsidRPr="00BE579D">
      <w:fldChar w:fldCharType="separate"/>
    </w:r>
    <w:r w:rsidR="00B029A7">
      <w:rPr>
        <w:noProof/>
      </w:rPr>
      <w:t>70</w:t>
    </w:r>
    <w:r w:rsidRPr="00BE579D">
      <w:fldChar w:fldCharType="end"/>
    </w:r>
    <w:r w:rsidRPr="00BE579D">
      <w:t>/</w:t>
    </w:r>
    <w:fldSimple w:instr=" NUMPAGES  \* MERGEFORMAT ">
      <w:r w:rsidR="00B029A7">
        <w:rPr>
          <w:noProof/>
        </w:rPr>
        <w:t>71</w:t>
      </w:r>
    </w:fldSimple>
    <w:r w:rsidRPr="00BE579D">
      <w:tab/>
    </w:r>
    <w:r w:rsidRPr="00BE579D">
      <w:rPr>
        <w:rStyle w:val="HideTWBExt"/>
      </w:rPr>
      <w:t>&lt;PathFdR&gt;</w:t>
    </w:r>
    <w:r w:rsidRPr="00BE579D">
      <w:t>AD\1324704PL.docx</w:t>
    </w:r>
    <w:r w:rsidRPr="00BE579D">
      <w:rPr>
        <w:rStyle w:val="HideTWBExt"/>
      </w:rPr>
      <w:t>&lt;/PathFdR&gt;</w:t>
    </w:r>
  </w:p>
  <w:p w:rsidR="000462E9" w:rsidRPr="00BE579D" w:rsidRDefault="00BE579D" w:rsidP="00BE579D">
    <w:pPr>
      <w:pStyle w:val="EPFooter2"/>
    </w:pPr>
    <w:r w:rsidRPr="00BE579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79D" w:rsidRPr="00BE579D" w:rsidRDefault="00BE579D" w:rsidP="00BE579D">
    <w:pPr>
      <w:pStyle w:val="EPFooter"/>
    </w:pPr>
    <w:r w:rsidRPr="00BE579D">
      <w:rPr>
        <w:rStyle w:val="HideTWBExt"/>
      </w:rPr>
      <w:t>&lt;PathFdR&gt;</w:t>
    </w:r>
    <w:r w:rsidRPr="00BE579D">
      <w:t>AD\1324704PL.docx</w:t>
    </w:r>
    <w:r w:rsidRPr="00BE579D">
      <w:rPr>
        <w:rStyle w:val="HideTWBExt"/>
      </w:rPr>
      <w:t>&lt;/PathFdR&gt;</w:t>
    </w:r>
    <w:r w:rsidRPr="00BE579D">
      <w:tab/>
    </w:r>
    <w:r w:rsidRPr="00BE579D">
      <w:fldChar w:fldCharType="begin"/>
    </w:r>
    <w:r w:rsidRPr="00BE579D">
      <w:instrText xml:space="preserve"> PAGE  \* MERGEFORMAT </w:instrText>
    </w:r>
    <w:r w:rsidRPr="00BE579D">
      <w:fldChar w:fldCharType="separate"/>
    </w:r>
    <w:r w:rsidR="00B029A7">
      <w:rPr>
        <w:noProof/>
      </w:rPr>
      <w:t>71</w:t>
    </w:r>
    <w:r w:rsidRPr="00BE579D">
      <w:fldChar w:fldCharType="end"/>
    </w:r>
    <w:r w:rsidRPr="00BE579D">
      <w:t>/</w:t>
    </w:r>
    <w:fldSimple w:instr=" NUMPAGES  \* MERGEFORMAT ">
      <w:r w:rsidR="00B029A7">
        <w:rPr>
          <w:noProof/>
        </w:rPr>
        <w:t>71</w:t>
      </w:r>
    </w:fldSimple>
    <w:r w:rsidRPr="00BE579D">
      <w:tab/>
      <w:t>PE</w:t>
    </w:r>
    <w:r w:rsidRPr="00BE579D">
      <w:rPr>
        <w:rStyle w:val="HideTWBExt"/>
      </w:rPr>
      <w:t>&lt;NoPE&gt;</w:t>
    </w:r>
    <w:r w:rsidRPr="00BE579D">
      <w:t>775.581</w:t>
    </w:r>
    <w:r w:rsidRPr="00BE579D">
      <w:rPr>
        <w:rStyle w:val="HideTWBExt"/>
      </w:rPr>
      <w:t>&lt;/NoPE&gt;&lt;Version&gt;</w:t>
    </w:r>
    <w:r w:rsidRPr="00BE579D">
      <w:t>v01-00</w:t>
    </w:r>
    <w:r w:rsidRPr="00BE579D">
      <w:rPr>
        <w:rStyle w:val="HideTWBExt"/>
      </w:rPr>
      <w:t>&lt;/Version&gt;</w:t>
    </w:r>
  </w:p>
  <w:p w:rsidR="000462E9" w:rsidRPr="00BE579D" w:rsidRDefault="00BE579D" w:rsidP="00BE579D">
    <w:pPr>
      <w:pStyle w:val="EPFooter2"/>
    </w:pPr>
    <w:r w:rsidRPr="00BE579D">
      <w:tab/>
    </w:r>
    <w:r w:rsidRPr="00BE579D">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79D" w:rsidRPr="00BE579D" w:rsidRDefault="00BE579D" w:rsidP="00BE579D">
    <w:pPr>
      <w:pStyle w:val="EPFooter"/>
    </w:pPr>
    <w:r w:rsidRPr="00BE579D">
      <w:rPr>
        <w:rStyle w:val="HideTWBExt"/>
      </w:rPr>
      <w:t>&lt;PathFdR&gt;</w:t>
    </w:r>
    <w:r w:rsidRPr="00BE579D">
      <w:t>AD\1324704PL.docx</w:t>
    </w:r>
    <w:r w:rsidRPr="00BE579D">
      <w:rPr>
        <w:rStyle w:val="HideTWBExt"/>
      </w:rPr>
      <w:t>&lt;/PathFdR&gt;</w:t>
    </w:r>
    <w:r w:rsidRPr="00BE579D">
      <w:tab/>
    </w:r>
    <w:r w:rsidRPr="00BE579D">
      <w:tab/>
      <w:t>PE</w:t>
    </w:r>
    <w:r w:rsidRPr="00BE579D">
      <w:rPr>
        <w:rStyle w:val="HideTWBExt"/>
      </w:rPr>
      <w:t>&lt;NoPE&gt;</w:t>
    </w:r>
    <w:r w:rsidRPr="00BE579D">
      <w:t>775.581</w:t>
    </w:r>
    <w:r w:rsidRPr="00BE579D">
      <w:rPr>
        <w:rStyle w:val="HideTWBExt"/>
      </w:rPr>
      <w:t>&lt;/NoPE&gt;&lt;Version&gt;</w:t>
    </w:r>
    <w:r w:rsidRPr="00BE579D">
      <w:t>v01-00</w:t>
    </w:r>
    <w:r w:rsidRPr="00BE579D">
      <w:rPr>
        <w:rStyle w:val="HideTWBExt"/>
      </w:rPr>
      <w:t>&lt;/Version&gt;</w:t>
    </w:r>
  </w:p>
  <w:p w:rsidR="000462E9" w:rsidRPr="00BE579D" w:rsidRDefault="00BE579D" w:rsidP="00BE579D">
    <w:pPr>
      <w:pStyle w:val="EPFooter2"/>
    </w:pPr>
    <w:r w:rsidRPr="00BE579D">
      <w:t>PL</w:t>
    </w:r>
    <w:r w:rsidRPr="00BE579D">
      <w:tab/>
    </w:r>
    <w:r w:rsidRPr="00BE579D">
      <w:rPr>
        <w:b w:val="0"/>
        <w:i/>
        <w:color w:val="C0C0C0"/>
        <w:sz w:val="22"/>
      </w:rPr>
      <w:t>Zjednoczona w różnorodności</w:t>
    </w:r>
    <w:r w:rsidRPr="00BE579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2E9" w:rsidRPr="00BE579D" w:rsidRDefault="00B029A7">
      <w:r w:rsidRPr="00BE579D">
        <w:separator/>
      </w:r>
    </w:p>
  </w:footnote>
  <w:footnote w:type="continuationSeparator" w:id="0">
    <w:p w:rsidR="000462E9" w:rsidRPr="00BE579D" w:rsidRDefault="00B029A7">
      <w:r w:rsidRPr="00BE579D">
        <w:continuationSeparator/>
      </w:r>
    </w:p>
  </w:footnote>
  <w:footnote w:id="1">
    <w:p w:rsidR="000462E9" w:rsidRPr="00BE579D" w:rsidRDefault="00B029A7">
      <w:pPr>
        <w:pStyle w:val="FootnoteText"/>
      </w:pPr>
      <w:r w:rsidRPr="00BE579D">
        <w:rPr>
          <w:rStyle w:val="FootnoteReference"/>
        </w:rPr>
        <w:footnoteRef/>
      </w:r>
      <w:r w:rsidRPr="00BE579D">
        <w:t xml:space="preserve"> Porozumienie międzyinstytucjonalne z 20 maja 2021 r. pomiędzy Parlamentem Europejskim, Radą Unii Europejskiej i Komisją Europejską w sprawie obowiązkowego rejestru służącego przejrzystości (Dz.U</w:t>
      </w:r>
      <w:r w:rsidR="003746B8">
        <w:t>. L 207 z 11.6.2021, s. 1. ELI:</w:t>
      </w:r>
      <w:r w:rsidRPr="00BE579D">
        <w:t xml:space="preserve"> </w:t>
      </w:r>
      <w:hyperlink r:id="rId1" w:history="1">
        <w:r w:rsidRPr="00BE579D">
          <w:rPr>
            <w:rStyle w:val="Hyperlink"/>
            <w:sz w:val="24"/>
          </w:rPr>
          <w:t>http://data.europa.eu/eli/agree_interinstit/2021/611/oj</w:t>
        </w:r>
      </w:hyperlink>
      <w:r w:rsidRPr="00BE579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6B8" w:rsidRDefault="00374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6B8" w:rsidRDefault="003746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6B8" w:rsidRDefault="003746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MNU" w:val=" 2"/>
    <w:docVar w:name="AMPLURMNU" w:val=" 2"/>
    <w:docVar w:name="AUTHORMFMNU" w:val=" 1"/>
    <w:docVar w:name="CJMNU" w:val="1"/>
    <w:docVar w:name="CODEMNU" w:val=" 1"/>
    <w:docVar w:name="COM2KEY" w:val="ECON"/>
    <w:docVar w:name="COMKEY" w:val="LIBE"/>
    <w:docVar w:name="CONTRIBUTIONMNU" w:val=" 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459444 HideTWBInt;}}{\*\rsidtbl \rsid24658\rsid223860\rsid735077\rsid1718133\rsid2892074\rsid3565327_x000d__x000a_\rsid4666813\rsid6641733\rsid6965704\rsid7823322\rsid9636012\rsid10377208\rsid11215221\rsid11549030\rsid12154954\rsid13459444\rsid14382809\rsid14424199\rsid15204470\rsid15285974\rsid15950462\rsid16324206\rsid16662270}{\mmathPr\mmathFont34\mbrkBin0_x000d__x000a_\mbrkBinSub0\msmallFrac0\mdispDef1\mlMargin0\mrMargin0\mdefJc1\mwrapIndent1440\mintLim0\mnaryLim1}{\info{\author LECUYER Katarzyna}{\operator LECUYER Katarzyna}{\creatim\yr2025\mo7\dy9\hr14\min43}{\revtim\yr2025\mo7\dy9\hr14\min43}{\version1}{\edmins0}_x000d__x000a_{\nofpages1}{\nofwords2}{\nofchars16}{\nofcharsws17}{\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59444\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965704 \chftnsep _x000d__x000a_\par }}{\*\ftnsepc \ltrpar \pard\plain \ltrpar\ql \li0\ri0\widctlpar\wrapdefault\aspalpha\aspnum\faauto\adjustright\rin0\lin0\itap0 \rtlch\fcs1 \af0\afs20\alang1025 \ltrch\fcs0 \fs24\lang2057\langfe2057\cgrid\langnp2057\langfenp2057 {\rtlch\fcs1 \af0 _x000d__x000a_\ltrch\fcs0 \insrsid6965704 \chftnsepc _x000d__x000a_\par }}{\*\aftnsep \ltrpar \pard\plain \ltrpar\ql \li0\ri0\widctlpar\wrapdefault\aspalpha\aspnum\faauto\adjustright\rin0\lin0\itap0 \rtlch\fcs1 \af0\afs20\alang1025 \ltrch\fcs0 \fs24\lang2057\langfe2057\cgrid\langnp2057\langfenp2057 {\rtlch\fcs1 \af0 _x000d__x000a_\ltrch\fcs0 \insrsid6965704 \chftnsep _x000d__x000a_\par }}{\*\aftnsepc \ltrpar \pard\plain \ltrpar\ql \li0\ri0\widctlpar\wrapdefault\aspalpha\aspnum\faauto\adjustright\rin0\lin0\itap0 \rtlch\fcs1 \af0\afs20\alang1025 \ltrch\fcs0 \fs24\lang2057\langfe2057\cgrid\langnp2057\langfenp2057 {\rtlch\fcs1 \af0 _x000d__x000a_\ltrch\fcs0 \insrsid69657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459444\charrsid4785796 {\*\bkmkstart ReplaceBookmark}#}{\rtlch\fcs1 \af1 \ltrch\fcs0 _x000d__x000a_\cs17\v\f1\fs20\cf15\insrsid13459444\charrsid4785796 &gt;&gt;&gt;CVAR@@AmendA}{\rtlch\fcs1 \af0 \ltrch\fcs0 \insrsid13459444\charrsid4785796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e_x000d__x000a_2d20cf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2360379 HideTWBExt;}{_x000d__x000a_\s18\ql \li0\ri0\sa120\nowidctlpar\wrapdefault\aspalpha\aspnum\faauto\adjustright\rin0\lin0\itap0 \rtlch\fcs1 \af0\afs20\alang1025 \ltrch\fcs0 \fs24\lang2057\langfe2057\cgrid\langnp2057\langfenp2057 \sbasedon0 \snext18 \spriority0 \styrsid2360379 _x000d__x000a_Normal6a;}{\s19\ql \li0\ri0\nowidctlpar\wrapdefault\aspalpha\aspnum\faauto\adjustright\rin0\lin0\itap0 \rtlch\fcs1 \af0\afs20\alang1025 \ltrch\fcs0 \b\fs24\lang2057\langfe2057\cgrid\langnp2057\langfenp2057 \sbasedon0 \snext19 \spriority0 \styrsid2360379 _x000d__x000a_NormalBold;}{\*\cs20 \additive \v\f1\fs20\cf15 \spriority0 \styrsid2360379 HideTWBInt;}{\s21\qc \li0\ri0\sa240\nowidctlpar\wrapdefault\aspalpha\aspnum\faauto\adjustright\rin0\lin0\itap0 \rtlch\fcs1 \af0\afs20\alang1025 \ltrch\fcs0 _x000d__x000a_\i\fs24\lang2057\langfe2057\cgrid\langnp2057\langfenp2057 \sbasedon0 \snext21 \spriority0 \styrsid236037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360379 AmNumberTabs;}{\s23\ql \li0\ri0\sb240\nowidctlpar\wrapdefault\aspalpha\aspnum\faauto\adjustright\rin0\lin0\itap0 \rtlch\fcs1 _x000d__x000a_\af0\afs20\alang1025 \ltrch\fcs0 \b\fs24\lang2057\langfe2057\cgrid\langnp2057\langfenp2057 \sbasedon0 \snext23 \spriority0 \styrsid2360379 NormalBold12b;}}{\*\rsidtbl \rsid24658\rsid223860\rsid735077\rsid1718133\rsid2360379\rsid2892074\rsid3565327_x000d__x000a_\rsid4666813\rsid6641733\rsid7823322\rsid9636012\rsid10377208\rsid1090475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7\dy9\hr14\min40}{\revtim\yr2025\mo7\dy9\hr14\min40}{\version1}{\edmins0}{\nofpages1}_x000d__x000a_{\nofwords30}{\nofchars175}{\nofcharsws20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6037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904758 \chftnsep _x000d__x000a_\par }}{\*\ftnsepc \ltrpar \pard\plain \ltrpar\ql \li0\ri0\widctlpar\wrapdefault\aspalpha\aspnum\faauto\adjustright\rin0\lin0\itap0 \rtlch\fcs1 \af0\afs20\alang1025 \ltrch\fcs0 \fs24\lang2057\langfe2057\cgrid\langnp2057\langfenp2057 {\rtlch\fcs1 \af0 _x000d__x000a_\ltrch\fcs0 \insrsid10904758 \chftnsepc _x000d__x000a_\par }}{\*\aftnsep \ltrpar \pard\plain \ltrpar\ql \li0\ri0\widctlpar\wrapdefault\aspalpha\aspnum\faauto\adjustright\rin0\lin0\itap0 \rtlch\fcs1 \af0\afs20\alang1025 \ltrch\fcs0 \fs24\lang2057\langfe2057\cgrid\langnp2057\langfenp2057 {\rtlch\fcs1 \af0 _x000d__x000a_\ltrch\fcs0 \insrsid10904758 \chftnsep _x000d__x000a_\par }}{\*\aftnsepc \ltrpar \pard\plain \ltrpar\ql \li0\ri0\widctlpar\wrapdefault\aspalpha\aspnum\faauto\adjustright\rin0\lin0\itap0 \rtlch\fcs1 \af0\afs20\alang1025 \ltrch\fcs0 \fs24\lang2057\langfe2057\cgrid\langnp2057\langfenp2057 {\rtlch\fcs1 \af0 _x000d__x000a_\ltrch\fcs0 \insrsid109047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360379 \rtlch\fcs1 _x000d__x000a_\af0\afs20\alang1025 \ltrch\fcs0 \b\fs24\lang2057\langfe2057\cgrid\langnp2057\langfenp2057 {\rtlch\fcs1 \af1 \ltrch\fcs0 \cs17\b0\v\fs20\cf9\lang1024\langfe1024\loch\af1\hich\af1\dbch\af31501\noproof\insrsid2360379\charrsid4785796 {\*\bkmkstart restartA}_x000d__x000a_\hich\af1\dbch\af31501\loch\f1 &lt;A\hich\af1\dbch\af31501\loch\f1 mendA&gt;}{\rtlch\fcs1 \af0 \ltrch\fcs0 \insrsid2360379\charrsid4785796 Amendment\tab \tab }{\rtlch\fcs1 \af1 \ltrch\fcs0 _x000d__x000a_\cs17\b0\v\fs20\cf9\lang1024\langfe1024\loch\af1\hich\af1\dbch\af31501\noproof\insrsid2360379\charrsid4785796 \hich\af1\dbch\af31501\loch\f1 &lt;NumAmA&gt;}{\rtlch\fcs1 \af0 \ltrch\fcs0 \insrsid2360379\charrsid4785796 #}{\rtlch\fcs1 \af1 \ltrch\fcs0 _x000d__x000a_\cs20\v\f1\fs20\cf15\insrsid2360379\charrsid4785796 ENMIENDA@NRAM@}{\rtlch\fcs1 \af0 \ltrch\fcs0 \insrsid2360379\charrsid4785796 #}{\rtlch\fcs1 \af1 \ltrch\fcs0 _x000d__x000a_\cs17\b0\v\fs20\cf9\lang1024\langfe1024\loch\af1\hich\af1\dbch\af31501\noproof\insrsid2360379\charrsid4785796 \hich\af1\dbch\af31501\loch\f1 &lt;/NumAmA&gt;}{\rtlch\fcs1 \af0 \ltrch\fcs0 \insrsid2360379\charrsid4785796 _x000d__x000a_\par }\pard\plain \ltrpar\s23\ql \li0\ri0\sb240\keepn\nowidctlpar\wrapdefault\aspalpha\aspnum\faauto\adjustright\rin0\lin0\itap0\pararsid2360379 \rtlch\fcs1 \af0\afs20\alang1025 \ltrch\fcs0 \b\fs24\lang2057\langfe2057\cgrid\langnp2057\langfenp2057 {_x000d__x000a_\rtlch\fcs1 \af1 \ltrch\fcs0 \cs17\b0\v\fs20\cf9\lang1024\langfe1024\loch\af1\hich\af1\dbch\af31501\noproof\insrsid2360379\charrsid4785796 \hich\af1\dbch\af31501\loch\f1 &lt;DocAmend&gt;}{\rtlch\fcs1 \af0 \ltrch\fcs0 \insrsid2360379\charrsid4785796 _x000d__x000a_Draft legislative resolution}{\rtlch\fcs1 \af1 \ltrch\fcs0 \cs17\b0\v\fs20\cf9\lang1024\langfe1024\loch\af1\hich\af1\dbch\af31501\noproof\insrsid2360379\charrsid4785796 \hich\af1\dbch\af31501\loch\f1 &lt;/DocAmend&gt;}{\rtlch\fcs1 \af0 \ltrch\fcs0 _x000d__x000a_\insrsid2360379\charrsid4785796 _x000d__x000a_\par }\pard\plain \ltrpar\s19\ql \li0\ri0\nowidctlpar\wrapdefault\aspalpha\aspnum\faauto\adjustright\rin0\lin0\itap0\pararsid2360379 \rtlch\fcs1 \af0\afs20\alang1025 \ltrch\fcs0 \b\fs24\lang2057\langfe2057\cgrid\langnp2057\langfenp2057 {\rtlch\fcs1 \af1 _x000d__x000a_\ltrch\fcs0 \cs17\b0\v\fs20\cf9\lang1024\langfe1024\loch\af1\hich\af1\dbch\af31501\noproof\insrsid2360379\charrsid4785796 \hich\af1\dbch\af31501\loch\f1 &lt;Article&gt;}{\rtlch\fcs1 \af0 \ltrch\fcs0 \cf10\insrsid2360379\charrsid12019547 \u9668\'3f}{\rtlch\fcs1 _x000d__x000a_\af0 \ltrch\fcs0 \insrsid2360379\charrsid4785796 #}{\rtlch\fcs1 \af1 \ltrch\fcs0 \cs20\v\f1\fs20\cf15\insrsid2360379\charrsid4785796 TVTRESPART@RESPART@}{\rtlch\fcs1 \af0 \ltrch\fcs0 \insrsid2360379\charrsid4785796 #}{\rtlch\fcs1 \af0 \ltrch\fcs0 _x000d__x000a_\cf10\insrsid2360379\charrsid12019547 \u9658\'3f}{\rtlch\fcs1 \af1 \ltrch\fcs0 \cs17\b0\v\fs20\cf9\lang1024\langfe1024\loch\af1\hich\af1\dbch\af31501\noproof\insrsid2360379\charrsid4785796 \hich\af1\dbch\af31501\loch\f1 &lt;/Article&gt;}{\rtlch\fcs1 \af0 _x000d__x000a_\ltrch\fcs0 \insrsid2360379\charrsid478579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360379\charrsid4785796 \cell }\pard\plain \ltrpar\ql \li0\ri0\widctlpar\intbl\wrapdefault\aspalpha\aspnum\faauto\adjustright\rin0\lin0 \rtlch\fcs1 _x000d__x000a_\af0\afs20\alang1025 \ltrch\fcs0 \fs24\lang2057\langfe2057\cgrid\langnp2057\langfenp2057 {\rtlch\fcs1 \af0 \ltrch\fcs0 \insrsid2360379\charrsid478579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2057\langfe2057\cgrid\langnp2057\langfenp2057 {\rtlch\fcs1 \af0 \ltrch\fcs0 \insrsid2360379\charrsid4785796 Draft legislative resolution\cell Amendment\cell }\pard\plain \ltrpar_x000d__x000a_\ql \li0\ri0\widctlpar\intbl\wrapdefault\aspalpha\aspnum\faauto\adjustright\rin0\lin0 \rtlch\fcs1 \af0\afs20\alang1025 \ltrch\fcs0 \fs24\lang2057\langfe2057\cgrid\langnp2057\langfenp2057 {\rtlch\fcs1 \af0 \ltrch\fcs0 \insrsid2360379\charrsid478579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360379\charrsid4785796 ##\cell ##}{\rtlch\fcs1 \af0\afs24 \ltrch\fcs0 \insrsid2360379\charrsid4785796 \cell }\pard\plain \ltrpar\ql \li0\ri0\widctlpar\intbl\wrapdefault\aspalpha\aspnum\faauto\adjustright\rin0\lin0 \rtlch\fcs1 _x000d__x000a_\af0\afs20\alang1025 \ltrch\fcs0 \fs24\lang2057\langfe2057\cgrid\langnp2057\langfenp2057 {\rtlch\fcs1 \af0 \ltrch\fcs0 \insrsid2360379\charrsid478579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2360379\charrsid4785796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3_x000d__x000a_9aa4ce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3746514 HideTWBExt;}{_x000d__x000a_\s18\ql \li0\ri0\sa120\nowidctlpar\wrapdefault\aspalpha\aspnum\faauto\adjustright\rin0\lin0\itap0 \rtlch\fcs1 \af0\afs20\alang1025 \ltrch\fcs0 \fs24\lang2057\langfe2057\cgrid\langnp2057\langfenp2057 \sbasedon0 \snext18 \spriority0 \styrsid3746514 _x000d__x000a_Normal6a;}{\s19\ql \li0\ri0\nowidctlpar\wrapdefault\aspalpha\aspnum\faauto\adjustright\rin0\lin0\itap0 \rtlch\fcs1 \af0\afs20\alang1025 \ltrch\fcs0 \b\fs24\lang2057\langfe2057\cgrid\langnp2057\langfenp2057 \sbasedon0 \snext19 \spriority0 \styrsid3746514 _x000d__x000a_NormalBold;}{\s20\ql \li0\ri0\sa240\nowidctlpar\wrapdefault\aspalpha\aspnum\faauto\adjustright\rin0\lin0\itap0 \rtlch\fcs1 \af0\afs20\alang1025 \ltrch\fcs0 \i\fs24\lang2057\langfe2057\cgrid\langnp2057\langfenp2057 _x000d__x000a_\sbasedon0 \snext20 \spriority0 \styrsid3746514 AmJustText;}{\s21\qc \li0\ri0\sb240\sa240\nowidctlpar\wrapdefault\aspalpha\aspnum\faauto\adjustright\rin0\lin0\itap0 \rtlch\fcs1 \af0\afs20\alang1025 \ltrch\fcs0 _x000d__x000a_\i\fs24\lang2057\langfe2057\cgrid\langnp2057\langfenp2057 \sbasedon0 \snext21 \spriority0 \styrsid3746514 AmCrossRef;}{\*\cs22 \additive \v\f1\fs20\cf15 \spriority0 \styrsid3746514 HideTWBInt;}{_x000d__x000a_\s23\qc \li0\ri0\sb240\sa240\keepn\nowidctlpar\wrapdefault\aspalpha\aspnum\faauto\adjustright\rin0\lin0\itap0 \rtlch\fcs1 \af0\afs20\alang1025 \ltrch\fcs0 \i\fs24\lang2057\langfe2057\cgrid\langnp2057\langfenp2057 _x000d__x000a_\sbasedon0 \snext20 \spriority0 \styrsid3746514 AmJustTitle;}{\s24\qc \li0\ri0\sa240\nowidctlpar\wrapdefault\aspalpha\aspnum\faauto\adjustright\rin0\lin0\itap0 \rtlch\fcs1 \af0\afs20\alang1025 \ltrch\fcs0 _x000d__x000a_\i\fs24\lang2057\langfe2057\cgrid\langnp2057\langfenp2057 \sbasedon0 \snext24 \spriority0 \styrsid3746514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3746514 AmNumberTabs;}{\s26\ql \li0\ri0\sb240\nowidctlpar\wrapdefault\aspalpha\aspnum\faauto\adjustright\rin0\lin0\itap0 \rtlch\fcs1 _x000d__x000a_\af0\afs20\alang1025 \ltrch\fcs0 \b\fs24\lang2057\langfe2057\cgrid\langnp2057\langfenp2057 \sbasedon0 \snext26 \spriority0 \styrsid3746514 NormalBold12b;}}{\*\rsidtbl \rsid24658\rsid223860\rsid419993\rsid735077\rsid1718133\rsid2892074\rsid3565327_x000d__x000a_\rsid3746514\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7\dy9\hr14\min40}{\revtim\yr2025\mo7\dy9\hr14\min40}{\version1}{\edmins0}{\nofpages1}_x000d__x000a_{\nofwords97}{\nofchars568}{\nofcharsws65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746514\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19993 \chftnsep _x000d__x000a_\par }}{\*\ftnsepc \ltrpar \pard\plain \ltrpar\ql \li0\ri0\widctlpar\wrapdefault\aspalpha\aspnum\faauto\adjustright\rin0\lin0\itap0 \rtlch\fcs1 \af0\afs20\alang1025 \ltrch\fcs0 \fs24\lang2057\langfe2057\cgrid\langnp2057\langfenp2057 {\rtlch\fcs1 \af0 _x000d__x000a_\ltrch\fcs0 \insrsid419993 \chftnsepc _x000d__x000a_\par }}{\*\aftnsep \ltrpar \pard\plain \ltrpar\ql \li0\ri0\widctlpar\wrapdefault\aspalpha\aspnum\faauto\adjustright\rin0\lin0\itap0 \rtlch\fcs1 \af0\afs20\alang1025 \ltrch\fcs0 \fs24\lang2057\langfe2057\cgrid\langnp2057\langfenp2057 {\rtlch\fcs1 \af0 _x000d__x000a_\ltrch\fcs0 \insrsid419993 \chftnsep _x000d__x000a_\par }}{\*\aftnsepc \ltrpar \pard\plain \ltrpar\ql \li0\ri0\widctlpar\wrapdefault\aspalpha\aspnum\faauto\adjustright\rin0\lin0\itap0 \rtlch\fcs1 \af0\afs20\alang1025 \ltrch\fcs0 \fs24\lang2057\langfe2057\cgrid\langnp2057\langfenp2057 {\rtlch\fcs1 \af0 _x000d__x000a_\ltrch\fcs0 \insrsid4199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746514 \rtlch\fcs1 _x000d__x000a_\af0\afs20\alang1025 \ltrch\fcs0 \b\fs24\lang2057\langfe2057\cgrid\langnp2057\langfenp2057 {\rtlch\fcs1 \af1 \ltrch\fcs0 \cs17\b0\v\fs20\cf9\lang1024\langfe1024\loch\af1\hich\af1\dbch\af31501\noproof\insrsid3746514\charrsid4785796 {\*\bkmkstart restartB}_x000d__x000a_\hich\af1\dbch\af31501\loch\f1 &lt;AmendB&gt;}{\rtlch\fcs1 \af0 \ltrch\fcs0 \insrsid3746514\charrsid4785796 Amendment\tab \tab }{\rtlch\fcs1 \af1 \ltrch\fcs0 _x000d__x000a_\cs17\b0\v\fs20\cf9\lang1024\langfe1024\loch\af1\hich\af1\dbch\af31501\noproof\insrsid3746514\charrsid4785796 \hich\af1\dbch\af31501\loch\f1 &lt;NumAmB&gt;}{\rtlch\fcs1 \af0 \ltrch\fcs0 \insrsid3746514\charrsid4785796 #}{\rtlch\fcs1 \af1 \ltrch\fcs0 _x000d__x000a_\cs22\v\f1\fs20\cf15\insrsid3746514\charrsid4785796 ENMIENDA@NRAM@}{\rtlch\fcs1 \af0 \ltrch\fcs0 \insrsid3746514\charrsid4785796 #}{\rtlch\fcs1 \af1 \ltrch\fcs0 _x000d__x000a_\cs17\b0\v\fs20\cf9\lang1024\langfe1024\loch\af1\hich\af1\dbch\af31501\noproof\insrsid3746514\charrsid4785796 \hich\af1\dbch\af31501\loch\f1 &lt;/NumAmB&gt;}{\rtlch\fcs1 \af0 \ltrch\fcs0 \insrsid3746514\charrsid4785796 _x000d__x000a_\par }\pard\plain \ltrpar\s26\ql \li0\ri0\sb240\keepn\nowidctlpar\wrapdefault\aspalpha\aspnum\faauto\adjustright\rin0\lin0\itap0\pararsid3746514 \rtlch\fcs1 \af0\afs20\alang1025 \ltrch\fcs0 \b\fs24\lang2057\langfe2057\cgrid\langnp2057\langfenp2057 {_x000d__x000a_\rtlch\fcs1 \af1 \ltrch\fcs0 \cs17\b0\v\fs20\cf9\lang1024\langfe1024\loch\af1\hich\af1\dbch\af31501\noproof\insrsid3746514\charrsid4785796 \hich\af1\dbch\af31501\loch\f1 &lt;DocAmend&gt;}{\rtlch\fcs1 \af0 \ltrch\fcs0 \insrsid3746514\charrsid4785796 #}{_x000d__x000a_\rtlch\fcs1 \af1 \ltrch\fcs0 \cs22\v\f1\fs20\cf15\insrsid3746514\charrsid4785796 MNU[OPTPROPOSALCOD][OPTPROPOSALCNS][OPTPROPOSALNLE][OPTPROPOSALINL]@CHOICE@CODEMNU}{\rtlch\fcs1 \af0 \ltrch\fcs0 \insrsid3746514\charrsid4785796 ##}{\rtlch\fcs1 \af1 _x000d__x000a_\ltrch\fcs0 \cs22\v\f1\fs20\cf15\insrsid3746514\charrsid4785796 MNU[AMACTYES][NOTAPP]@CHOICE@AMACTMNU}{\rtlch\fcs1 \af0 \ltrch\fcs0 \insrsid3746514\charrsid4785796 #}{\rtlch\fcs1 \af1 \ltrch\fcs0 _x000d__x000a_\cs17\b0\v\fs20\cf9\lang1024\langfe1024\loch\af1\hich\af1\dbch\af31501\noproof\insrsid3746514\charrsid4785796 \hich\af1\dbch\af31501\loch\f1 &lt;/DocAmend&gt;}{\rtlch\fcs1 \af0 \ltrch\fcs0 \insrsid3746514\charrsid4785796 _x000d__x000a_\par }\pard\plain \ltrpar\s19\ql \li0\ri0\keepn\nowidctlpar\wrapdefault\aspalpha\aspnum\faauto\adjustright\rin0\lin0\itap0\pararsid3746514 \rtlch\fcs1 \af0\afs20\alang1025 \ltrch\fcs0 \b\fs24\lang2057\langfe2057\cgrid\langnp2057\langfenp2057 {\rtlch\fcs1 \af1 _x000d__x000a_\ltrch\fcs0 \cs17\b0\v\fs20\cf9\lang1024\langfe1024\loch\af1\hich\af1\dbch\af31501\noproof\insrsid3746514\charrsid4785796 \hich\af1\dbch\af31501\loch\f1 &lt;Article&gt;}{\rtlch\fcs1 \af0 \ltrch\fcs0 \insrsid3746514\charrsid4785796 #}{\rtlch\fcs1 \af1 _x000d__x000a_\ltrch\fcs0 \cs22\v\f1\fs20\cf15\insrsid3746514\charrsid4785796 MNU[AMACTPARTYES][AMACTPARTNO]@CHOICE@AMACTMNU}{\rtlch\fcs1 \af0 \ltrch\fcs0 \insrsid3746514\charrsid4785796 #}{\rtlch\fcs1 \af1 \ltrch\fcs0 _x000d__x000a_\cs17\b0\v\fs20\cf9\lang1024\langfe1024\loch\af1\hich\af1\dbch\af31501\noproof\insrsid3746514\charrsid4785796 \hich\af1\dbch\af31501\loch\f1 &lt;/Article&gt;}{\rtlch\fcs1 \af0 \ltrch\fcs0 \insrsid3746514\charrsid4785796 _x000d__x000a_\par }\pard\plain \ltrpar\ql \li0\ri0\keepn\widctlpar\wrapdefault\aspalpha\aspnum\faauto\adjustright\rin0\lin0\itap0\pararsid3746514 \rtlch\fcs1 \af0\afs20\alang1025 \ltrch\fcs0 \fs24\lang2057\langfe2057\cgrid\langnp2057\langfenp2057 {\rtlch\fcs1 \af1 _x000d__x000a_\ltrch\fcs0 \cs17\v\fs20\cf9\lang1024\langfe1024\loch\af1\hich\af1\dbch\af31501\noproof\insrsid3746514\charrsid4785796 \hich\af1\dbch\af31501\loch\f1 &lt;DocAmend2&gt;&lt;OptDel&gt;}{\rtlch\fcs1 \af0 \ltrch\fcs0 \insrsid3746514\charrsid4785796 #}{\rtlch\fcs1 \af1 _x000d__x000a_\ltrch\fcs0 \cs22\v\f1\fs20\cf15\insrsid3746514\charrsid4785796 MNU[OPTNRACTYES][NOTAPP]@CHOICE@AMACTMNU}{\rtlch\fcs1 \af0 \ltrch\fcs0 \insrsid3746514\charrsid4785796 #}{\rtlch\fcs1 \af1 \ltrch\fcs0 _x000d__x000a_\cs17\v\fs20\cf9\lang1024\langfe1024\loch\af1\hich\af1\dbch\af31501\noproof\insrsid3746514\charrsid4785796 \hich\af1\dbch\af31501\loch\f1 &lt;/OptDel&gt;&lt;/DocAmend2&gt;}{\rtlch\fcs1 \af0 \ltrch\fcs0 \insrsid3746514\charrsid4785796 _x000d__x000a_\par }\pard \ltrpar\ql \li0\ri0\widctlpar\wrapdefault\aspalpha\aspnum\faauto\adjustright\rin0\lin0\itap0\pararsid3746514 {\rtlch\fcs1 \af1 \ltrch\fcs0 \cs17\v\fs20\cf9\lang1024\langfe1024\loch\af1\hich\af1\dbch\af31501\noproof\insrsid3746514\charrsid4785796 _x000d__x000a_\hich\af1\dbch\af31501\loch\f1 &lt;Article2&gt;&lt;OptDel&gt;}{\rtlch\fcs1 \af0 \ltrch\fcs0 \insrsid3746514\charrsid4785796 #}{\rtlch\fcs1 \af1 \ltrch\fcs0 \cs22\v\f1\fs20\cf15\insrsid3746514\charrsid4785796 MNU[OPTACTPARTYES][NOTAPP]@CHOICE@AMACTMNU}{\rtlch\fcs1 _x000d__x000a_\af0 \ltrch\fcs0 \insrsid3746514\charrsid4785796 #}{\rtlch\fcs1 \af1 \ltrch\fcs0 \cs17\v\fs20\cf9\lang1024\langfe1024\loch\af1\hich\af1\dbch\af31501\noproof\insrsid3746514\charrsid4785796 \hich\af1\dbch\af31501\loch\f1 &lt;/OptDel&gt;&lt;/Article2&gt;}{\rtlch\fcs1 _x000d__x000a_\af0 \ltrch\fcs0 \insrsid3746514\charrsid478579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3746514\charrsid4785796 \cell }\pard\plain \ltrpar\ql \li0\ri0\widctlpar\intbl\wrapdefault\aspalpha\aspnum\faauto\adjustright\rin0\lin0 \rtlch\fcs1 _x000d__x000a_\af0\afs20\alang1025 \ltrch\fcs0 \fs24\lang2057\langfe2057\cgrid\langnp2057\langfenp2057 {\rtlch\fcs1 \af0 \ltrch\fcs0 \insrsid3746514\charrsid478579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2057\langfe2057\cgrid\langnp2057\langfenp2057 {\rtlch\fcs1 \af0 \ltrch\fcs0 _x000d__x000a_\insrsid3746514\charrsid4785796 #}{\rtlch\fcs1 \af1 \ltrch\fcs0 \cs22\v\f1\fs20\cf15\insrsid3746514\charrsid4785796 MNU[OPTLEFTAMACT][LEFTPROP]@CHOICE@AMACTMNU}{\rtlch\fcs1 \af0 \ltrch\fcs0 \insrsid3746514\charrsid4785796 #\cell Amendment\cell _x000d__x000a_}\pard\plain \ltrpar\ql \li0\ri0\widctlpar\intbl\wrapdefault\aspalpha\aspnum\faauto\adjustright\rin0\lin0 \rtlch\fcs1 \af0\afs20\alang1025 \ltrch\fcs0 \fs24\lang2057\langfe2057\cgrid\langnp2057\langfenp2057 {\rtlch\fcs1 \af0 \ltrch\fcs0 _x000d__x000a_\insrsid3746514\charrsid478579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3746514\charrsid4785796 ##\cell ##}{\rtlch\fcs1 \af0\afs24 \ltrch\fcs0 \insrsid3746514\charrsid4785796 \cell }\pard\plain \ltrpar\ql \li0\ri0\widctlpar\intbl\wrapdefault\aspalpha\aspnum\faauto\adjustright\rin0\lin0 \rtlch\fcs1 _x000d__x000a_\af0\afs20\alang1025 \ltrch\fcs0 \fs24\lang2057\langfe2057\cgrid\langnp2057\langfenp2057 {\rtlch\fcs1 \af0 \ltrch\fcs0 \insrsid3746514\charrsid478579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3746514 \rtlch\fcs1 \af0\afs20\alang1025 \ltrch\fcs0 \i\fs24\lang2057\langfe2057\cgrid\langnp2057\langfenp2057 {\rtlch\fcs1 \af1 \ltrch\fcs0 _x000d__x000a_\cs17\i0\v\fs20\cf9\lang1024\langfe1024\loch\af1\hich\af1\dbch\af31501\noproof\insrsid3746514\charrsid4785796 \hich\af1\dbch\af31501\loch\f1 &lt;OptDel&gt;}{\rtlch\fcs1 \af0 \ltrch\fcs0 \insrsid3746514\charrsid4785796 #}{\rtlch\fcs1 \af1 \ltrch\fcs0 _x000d__x000a_\cs22\v\f1\fs20\cf15\insrsid3746514\charrsid4785796 MNU[CROSSREFNO][CROSSREFYES]@CHOICE@}{\rtlch\fcs1 \af0 \ltrch\fcs0 \insrsid3746514\charrsid4785796 #}{\rtlch\fcs1 \af1 \ltrch\fcs0 _x000d__x000a_\cs17\i0\v\fs20\cf9\lang1024\langfe1024\loch\af1\hich\af1\dbch\af31501\noproof\insrsid3746514\charrsid4785796 \hich\af1\dbch\af31501\loch\f1 &lt;/OptDel&gt;}{\rtlch\fcs1 \af0 \ltrch\fcs0 \insrsid3746514\charrsid4785796 _x000d__x000a_\par }\pard\plain \ltrpar\s23\qc \li0\ri0\sb240\sa240\keepn\nowidctlpar\wrapdefault\aspalpha\aspnum\faauto\adjustright\rin0\lin0\itap0\pararsid3746514 \rtlch\fcs1 \af0\afs20\alang1025 \ltrch\fcs0 \i\fs24\lang2057\langfe2057\cgrid\langnp2057\langfenp2057 {_x000d__x000a_\rtlch\fcs1 \af1 \ltrch\fcs0 \cs17\i0\v\fs20\cf9\lang1024\langfe1024\loch\af1\hich\af1\dbch\af31501\noproof\insrsid3746514\charrsid4785796 \hich\af1\dbch\af31501\loch\f1 &lt;TitreJust&gt;}{\rtlch\fcs1 \af0 \ltrch\fcs0 \insrsid3746514\charrsid4785796 _x000d__x000a_Justification}{\rtlch\fcs1 \af1 \ltrch\fcs0 \cs17\i0\v\fs20\cf9\lang1024\langfe1024\loch\af1\hich\af1\dbch\af31501\noproof\insrsid3746514\charrsid4785796 \hich\af1\dbch\af31501\loch\f1 &lt;/TitreJust&gt;}{\rtlch\fcs1 \af0 \ltrch\fcs0 _x000d__x000a_\insrsid3746514\charrsid4785796 _x000d__x000a_\par }\pard\plain \ltrpar\s20\ql \li0\ri0\sa240\nowidctlpar\wrapdefault\aspalpha\aspnum\faauto\adjustright\rin0\lin0\itap0\pararsid3746514 \rtlch\fcs1 \af0\afs20\alang1025 \ltrch\fcs0 \i\fs24\lang2057\langfe2057\cgrid\langnp2057\langfenp2057 {\rtlch\fcs1 \af1 _x000d__x000a_\ltrch\fcs0 \cs17\i0\v\fs20\cf9\lang1024\langfe1024\loch\af1\hich\af1\dbch\af31501\noproof\insrsid3746514\charrsid4785796 \hich\af1\dbch\af31501\loch\f1 &lt;OptDelPrev&gt;}{\rtlch\fcs1 \af0 \ltrch\fcs0 \insrsid3746514\charrsid4785796 #}{\rtlch\fcs1 \af1 _x000d__x000a_\ltrch\fcs0 \cs22\v\f1\fs20\cf15\insrsid3746514\charrsid4785796 MNU[TEXTJUSTYES][TEXTJUSTNO]@CHOICE@}{\rtlch\fcs1 \af0 \ltrch\fcs0 \insrsid3746514\charrsid4785796 #}{\rtlch\fcs1 \af1 \ltrch\fcs0 _x000d__x000a_\cs17\i0\v\fs20\cf9\lang1024\langfe1024\loch\af1\hich\af1\dbch\af31501\noproof\insrsid3746514\charrsid4785796 \hich\af1\dbch\af31501\loch\f1 &lt;/OptDelPrev&gt;}{\rtlch\fcs1 \af0 \ltrch\fcs0 \insrsid3746514\charrsid4785796 _x000d__x000a_\par }\pard\plain \ltrpar\ql \li0\ri0\widctlpar\wrapdefault\aspalpha\aspnum\faauto\adjustright\rin0\lin0\itap0\pararsid3746514 \rtlch\fcs1 \af0\afs20\alang1025 \ltrch\fcs0 \fs24\lang2057\langfe2057\cgrid\langnp2057\langfenp2057 {\rtlch\fcs1 \af1 \ltrch\fcs0 _x000d__x000a_\cs17\v\fs20\cf9\lang1024\langfe1024\loch\af1\hich\af1\dbch\af31501\noproof\insrsid3746514\charrsid478579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5_x000d__x000a_bda5ce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14703468 HideTWBExt;}{_x000d__x000a_\s18\ql \li0\ri0\sa120\nowidctlpar\wrapdefault\aspalpha\aspnum\faauto\adjustright\rin0\lin0\itap0 \rtlch\fcs1 \af0\afs20\alang1025 \ltrch\fcs0 \fs24\lang2057\langfe2057\cgrid\langnp2057\langfenp2057 \sbasedon0 \snext18 \spriority0 \styrsid14703468 _x000d__x000a_Normal6a;}{\s19\ql \li0\ri0\nowidctlpar\wrapdefault\aspalpha\aspnum\faauto\adjustright\rin0\lin0\itap0 \rtlch\fcs1 \af0\afs20\alang1025 \ltrch\fcs0 \b\fs24\lang2057\langfe2057\cgrid\langnp2057\langfenp2057 \sbasedon0 \snext19 \spriority0 \styrsid14703468 _x000d__x000a_NormalBold;}{\s20\ql \li0\ri0\sa240\nowidctlpar\wrapdefault\aspalpha\aspnum\faauto\adjustright\rin0\lin0\itap0 \rtlch\fcs1 \af0\afs20\alang1025 \ltrch\fcs0 \i\fs24\lang2057\langfe2057\cgrid\langnp2057\langfenp2057 _x000d__x000a_\sbasedon0 \snext20 \spriority0 \styrsid14703468 AmJustText;}{\s21\qc \li0\ri0\sb240\sa240\nowidctlpar\wrapdefault\aspalpha\aspnum\faauto\adjustright\rin0\lin0\itap0 \rtlch\fcs1 \af0\afs20\alang1025 \ltrch\fcs0 _x000d__x000a_\i\fs24\lang2057\langfe2057\cgrid\langnp2057\langfenp2057 \sbasedon0 \snext21 \spriority0 \styrsid14703468 AmCrossRef;}{\*\cs22 \additive \v\f1\fs20\cf15 \spriority0 \styrsid14703468 HideTWBInt;}{_x000d__x000a_\s23\qc \li0\ri0\sb240\sa240\keepn\nowidctlpar\wrapdefault\aspalpha\aspnum\faauto\adjustright\rin0\lin0\itap0 \rtlch\fcs1 \af0\afs20\alang1025 \ltrch\fcs0 \i\fs24\lang2057\langfe2057\cgrid\langnp2057\langfenp2057 _x000d__x000a_\sbasedon0 \snext20 \spriority0 \styrsid14703468 AmJustTitle;}{\s24\qc \li0\ri0\sa240\nowidctlpar\wrapdefault\aspalpha\aspnum\faauto\adjustright\rin0\lin0\itap0 \rtlch\fcs1 \af0\afs20\alang1025 \ltrch\fcs0 _x000d__x000a_\i\fs24\lang2057\langfe2057\cgrid\langnp2057\langfenp2057 \sbasedon0 \snext24 \spriority0 \styrsid14703468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703468 AmNumberTabs;}{\s26\ql \li0\ri0\sb240\nowidctlpar\wrapdefault\aspalpha\aspnum\faauto\adjustright\rin0\lin0\itap0 \rtlch\fcs1 _x000d__x000a_\af0\afs20\alang1025 \ltrch\fcs0 \b\fs24\lang2057\langfe2057\cgrid\langnp2057\langfenp2057 \sbasedon0 \snext26 \spriority0 \styrsid14703468 NormalBold12b;}}{\*\rsidtbl \rsid24658\rsid223860\rsid735077\rsid1718133\rsid2321440\rsid2892074\rsid3565327_x000d__x000a_\rsid4666813\rsid6641733\rsid7823322\rsid9636012\rsid10377208\rsid11215221\rsid11549030\rsid12154954\rsid14382809\rsid14424199\rsid14703468\rsid15204470\rsid15285974\rsid15950462\rsid16324206\rsid16662270}{\mmathPr\mmathFont34\mbrkBin0\mbrkBinSub0_x000d__x000a_\msmallFrac0\mdispDef1\mlMargin0\mrMargin0\mdefJc1\mwrapIndent1440\mintLim0\mnaryLim1}{\info{\author LECUYER Katarzyna}{\operator LECUYER Katarzyna}{\creatim\yr2025\mo7\dy9\hr14\min43}{\revtim\yr2025\mo7\dy9\hr14\min43}{\version1}{\edmins0}{\nofpages1}_x000d__x000a_{\nofwords108}{\nofchars553}{\nofcharsws588}{\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03468\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2321440 \chftnsep _x000d__x000a_\par }}{\*\ftnsepc \ltrpar \pard\plain \ltrpar\ql \li0\ri0\widctlpar\wrapdefault\aspalpha\aspnum\faauto\adjustright\rin0\lin0\itap0 \rtlch\fcs1 \af0\afs20\alang1025 \ltrch\fcs0 \fs24\lang2057\langfe2057\cgrid\langnp2057\langfenp2057 {\rtlch\fcs1 \af0 _x000d__x000a_\ltrch\fcs0 \insrsid2321440 \chftnsepc _x000d__x000a_\par }}{\*\aftnsep \ltrpar \pard\plain \ltrpar\ql \li0\ri0\widctlpar\wrapdefault\aspalpha\aspnum\faauto\adjustright\rin0\lin0\itap0 \rtlch\fcs1 \af0\afs20\alang1025 \ltrch\fcs0 \fs24\lang2057\langfe2057\cgrid\langnp2057\langfenp2057 {\rtlch\fcs1 \af0 _x000d__x000a_\ltrch\fcs0 \insrsid2321440 \chftnsep _x000d__x000a_\par }}{\*\aftnsepc \ltrpar \pard\plain \ltrpar\ql \li0\ri0\widctlpar\wrapdefault\aspalpha\aspnum\faauto\adjustright\rin0\lin0\itap0 \rtlch\fcs1 \af0\afs20\alang1025 \ltrch\fcs0 \fs24\lang2057\langfe2057\cgrid\langnp2057\langfenp2057 {\rtlch\fcs1 \af0 _x000d__x000a_\ltrch\fcs0 \insrsid2321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703468 \rtlch\fcs1 _x000d__x000a_\af0\afs20\alang1025 \ltrch\fcs0 \b\fs24\lang2057\langfe2057\cgrid\langnp2057\langfenp2057 {\rtlch\fcs1 \af1 \ltrch\fcs0 \cs17\b0\v\fs20\cf9\lang1024\langfe1024\loch\af1\hich\af1\dbch\af31501\noproof\insrsid14703468\charrsid4785796 {\*\bkmkstart restart}_x000d__x000a_\hich\af1\dbch\af31501\loch\f1 &lt;}{\rtlch\fcs1 \af1 \ltrch\fcs0 \cs17\b0\v\fs20\cf9\lang1024\langfe1024\loch\af1\hich\af1\dbch\af31501\noproof\insrsid14703468 \hich\af1\dbch\af31501\loch\f1 Amend}{\rtlch\fcs1 \af1 \ltrch\fcs0 _x000d__x000a_\cs17\b0\v\fs20\cf9\lang1024\langfe1024\loch\af1\hich\af1\dbch\af31501\noproof\insrsid14703468\charrsid4785796 \hich\af1\dbch\af31501\loch\f1 &gt;}{\rtlch\fcs1 \af0 \ltrch\fcs0 \insrsid14703468\charrsid4785796 Amendment\tab \tab }{\rtlch\fcs1 \af1 _x000d__x000a_\ltrch\fcs0 \cs17\b0\v\fs20\cf9\lang1024\langfe1024\loch\af1\hich\af1\dbch\af31501\noproof\insrsid14703468\charrsid4785796 \hich\af1\dbch\af31501\loch\f1 &lt;}{\rtlch\fcs1 \af1 \ltrch\fcs0 _x000d__x000a_\cs17\b0\v\fs20\cf9\lang1024\langfe1024\loch\af1\hich\af1\dbch\af31501\noproof\insrsid14703468 \hich\af1\dbch\af31501\loch\f1 NumAm&gt;}{\rtlch\fcs1 \af0 \ltrch\fcs0 \insrsid14703468\charrsid4785796 #}{\rtlch\fcs1 \af1 \ltrch\fcs0 _x000d__x000a_\cs22\v\f1\fs20\cf15\insrsid14703468\charrsid4785796 ENMIENDA@NRAM@}{\rtlch\fcs1 \af0 \ltrch\fcs0 \insrsid14703468\charrsid4785796 #}{\rtlch\fcs1 \af1 \ltrch\fcs0 _x000d__x000a_\cs17\b0\v\fs20\cf9\lang1024\langfe1024\loch\af1\hich\af1\dbch\af31501\noproof\insrsid14703468\charrsid4785796 \hich\af1\dbch\af31501\loch\f1 &lt;/}{\rtlch\fcs1 \af1 \ltrch\fcs0 _x000d__x000a_\cs17\b0\v\fs20\cf9\lang1024\langfe1024\loch\af1\hich\af1\dbch\af31501\noproof\insrsid14703468 \hich\af1\dbch\af31501\loch\f1 NumAm&gt;}{\rtlch\fcs1 \af0 \ltrch\fcs0 \insrsid14703468\charrsid4785796 _x000d__x000a_\par }\pard\plain \ltrpar\s26\ql \li0\ri0\sb240\keepn\nowidctlpar\wrapdefault\aspalpha\aspnum\faauto\adjustright\rin0\lin0\itap0\pararsid14703468 \rtlch\fcs1 \af0\afs20\alang1025 \ltrch\fcs0 \b\fs24\lang2057\langfe2057\cgrid\langnp2057\langfenp2057 {_x000d__x000a_\rtlch\fcs1 \af1 \ltrch\fcs0 \cs17\b0\v\fs20\cf9\lang1024\langfe1024\loch\af1\hich\af1\dbch\af31501\noproof\insrsid14703468\charrsid4785796 \hich\af1\dbch\af31501\loch\f1 &lt;DocAmend&gt;}{\rtlch\fcs1 \af0 \ltrch\fcs0 \insrsid14703468\charrsid4785796 #}{_x000d__x000a_\rtlch\fcs1 \af1 \ltrch\fcs0 \cs22\v\f1\fs20\cf15\insrsid14703468\charrsid4785796 MNU[OPTPROPOSALCOD][OPTPROPOSALCNS][OPTPROPOSALNLE][OPTPROPOSALINL]@CHOICE@CODEMNU}{\rtlch\fcs1 \af0 \ltrch\fcs0 \insrsid14703468\charrsid4785796 ##}{\rtlch\fcs1 \af1 _x000d__x000a_\ltrch\fcs0 \cs22\v\f1\fs20\cf15\insrsid14703468\charrsid4785796 MNU[AMACTYES][NOTAPP]@CHOICE@AMACTMNU}{\rtlch\fcs1 \af0 \ltrch\fcs0 \insrsid14703468\charrsid4785796 #}{\rtlch\fcs1 \af1 \ltrch\fcs0 _x000d__x000a_\cs17\b0\v\fs20\cf9\lang1024\langfe1024\loch\af1\hich\af1\dbch\af31501\noproof\insrsid14703468\charrsid4785796 \hich\af1\dbch\af31501\loch\f1 &lt;/DocAmend&gt;}{\rtlch\fcs1 \af0 \ltrch\fcs0 \insrsid14703468\charrsid4785796 _x000d__x000a_\par }\pard\plain \ltrpar\s19\ql \li0\ri0\keepn\nowidctlpar\wrapdefault\aspalpha\aspnum\faauto\adjustright\rin0\lin0\itap0\pararsid14703468 \rtlch\fcs1 \af0\afs20\alang1025 \ltrch\fcs0 \b\fs24\lang2057\langfe2057\cgrid\langnp2057\langfenp2057 {\rtlch\fcs1 _x000d__x000a_\af1 \ltrch\fcs0 \cs17\b0\v\fs20\cf9\lang1024\langfe1024\loch\af1\hich\af1\dbch\af31501\noproof\insrsid14703468\charrsid4785796 \hich\af1\dbch\af31501\loch\f1 &lt;Article&gt;}{\rtlch\fcs1 \af0 \ltrch\fcs0 \insrsid14703468\charrsid4785796 #}{\rtlch\fcs1 \af1 _x000d__x000a_\ltrch\fcs0 \cs22\v\f1\fs20\cf15\insrsid14703468\charrsid4785796 MNU[AMACTPARTYES][AMACTPARTNO]@CHOICE@AMACTMNU}{\rtlch\fcs1 \af0 \ltrch\fcs0 \insrsid14703468\charrsid4785796 #}{\rtlch\fcs1 \af1 \ltrch\fcs0 _x000d__x000a_\cs17\b0\v\fs20\cf9\lang1024\langfe1024\loch\af1\hich\af1\dbch\af31501\noproof\insrsid14703468\charrsid4785796 \hich\af1\dbch\af31501\loch\f1 &lt;/Article&gt;}{\rtlch\fcs1 \af0 \ltrch\fcs0 \insrsid14703468\charrsid4785796 _x000d__x000a_\par }\pard\plain \ltrpar\ql \li0\ri0\keepn\widctlpar\wrapdefault\aspalpha\aspnum\faauto\adjustright\rin0\lin0\itap0\pararsid14703468 \rtlch\fcs1 \af0\afs20\alang1025 \ltrch\fcs0 \fs24\lang2057\langfe2057\cgrid\langnp2057\langfenp2057 {\rtlch\fcs1 \af1 _x000d__x000a_\ltrch\fcs0 \cs17\v\fs20\cf9\lang1024\langfe1024\loch\af1\hich\af1\dbch\af31501\noproof\insrsid14703468\charrsid4785796 \hich\af1\dbch\af31501\loch\f1 &lt;DocAmend2&gt;&lt;OptDel&gt;}{\rtlch\fcs1 \af0 \ltrch\fcs0 \insrsid14703468\charrsid4785796 #}{\rtlch\fcs1 \af1 _x000d__x000a_\ltrch\fcs0 \cs22\v\f1\fs20\cf15\insrsid14703468\charrsid4785796 MNU[OPTNRACTYES][NOTAPP]@CHOICE@AMACTMNU}{\rtlch\fcs1 \af0 \ltrch\fcs0 \insrsid14703468\charrsid4785796 #}{\rtlch\fcs1 \af1 \ltrch\fcs0 _x000d__x000a_\cs17\v\fs20\cf9\lang1024\langfe1024\loch\af1\hich\af1\dbch\af31501\noproof\insrsid14703468\charrsid4785796 \hich\af1\dbch\af31501\loch\f1 &lt;/OptDel&gt;&lt;/DocAmend2&gt;}{\rtlch\fcs1 \af0 \ltrch\fcs0 \insrsid14703468\charrsid4785796 _x000d__x000a_\par }\pard \ltrpar\ql \li0\ri0\widctlpar\wrapdefault\aspalpha\aspnum\faauto\adjustright\rin0\lin0\itap0\pararsid14703468 {\rtlch\fcs1 \af1 \ltrch\fcs0 \cs17\v\fs20\cf9\lang1024\langfe1024\loch\af1\hich\af1\dbch\af31501\noproof\insrsid14703468\charrsid4785796 _x000d__x000a_\hich\af1\dbch\af31501\loch\f1 &lt;Article2&gt;&lt;OptDel&gt;}{\rtlch\fcs1 \af0 \ltrch\fcs0 \insrsid14703468\charrsid4785796 #}{\rtlch\fcs1 \af1 \ltrch\fcs0 \cs22\v\f1\fs20\cf15\insrsid14703468\charrsid4785796 MNU[OPTACTPARTYES][NOTAPP]@CHOICE@AMACTMNU}{\rtlch\fcs1 _x000d__x000a_\af0 \ltrch\fcs0 \insrsid14703468\charrsid4785796 #}{\rtlch\fcs1 \af1 \ltrch\fcs0 \cs17\v\fs20\cf9\lang1024\langfe1024\loch\af1\hich\af1\dbch\af31501\noproof\insrsid14703468\charrsid4785796 \hich\af1\dbch\af31501\loch\f1 &lt;/OptDel&gt;&lt;/Article2&gt;}{\rtlch\fcs1 _x000d__x000a_\af0 \ltrch\fcs0 \insrsid14703468\charrsid478579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4703468\charrsid4785796 \cell }\pard\plain \ltrpar\ql \li0\ri0\widctlpar\intbl\wrapdefault\aspalpha\aspnum\faauto\adjustright\rin0\lin0 \rtlch\fcs1 _x000d__x000a_\af0\afs20\alang1025 \ltrch\fcs0 \fs24\lang2057\langfe2057\cgrid\langnp2057\langfenp2057 {\rtlch\fcs1 \af0 \ltrch\fcs0 \insrsid14703468\charrsid478579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2057\langfe2057\cgrid\langnp2057\langfenp2057 {\rtlch\fcs1 \af0 \ltrch\fcs0 _x000d__x000a_\insrsid14703468\charrsid4785796 #}{\rtlch\fcs1 \af1 \ltrch\fcs0 \cs22\v\f1\fs20\cf15\insrsid14703468\charrsid4785796 MNU[OPTLEFTAMACT][LEFTPROP]@CHOICE@AMACTMNU}{\rtlch\fcs1 \af0 \ltrch\fcs0 \insrsid14703468\charrsid4785796 #\cell Amendment\cell _x000d__x000a_}\pard\plain \ltrpar\ql \li0\ri0\widctlpar\intbl\wrapdefault\aspalpha\aspnum\faauto\adjustright\rin0\lin0 \rtlch\fcs1 \af0\afs20\alang1025 \ltrch\fcs0 \fs24\lang2057\langfe2057\cgrid\langnp2057\langfenp2057 {\rtlch\fcs1 \af0 \ltrch\fcs0 _x000d__x000a_\insrsid14703468\charrsid478579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4703468\charrsid4785796 ##\cell ##}{\rtlch\fcs1 \af0\afs24 \ltrch\fcs0 \insrsid14703468\charrsid4785796 \cell }\pard\plain \ltrpar\ql \li0\ri0\widctlpar\intbl\wrapdefault\aspalpha\aspnum\faauto\adjustright\rin0\lin0 \rtlch\fcs1 _x000d__x000a_\af0\afs20\alang1025 \ltrch\fcs0 \fs24\lang2057\langfe2057\cgrid\langnp2057\langfenp2057 {\rtlch\fcs1 \af0 \ltrch\fcs0 \insrsid14703468\charrsid478579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14703468 \rtlch\fcs1 \af0\afs20\alang1025 \ltrch\fcs0 \i\fs24\lang2057\langfe2057\cgrid\langnp2057\langfenp2057 {\rtlch\fcs1 \af1 \ltrch\fcs0 _x000d__x000a_\cs17\i0\v\fs20\cf9\lang1024\langfe1024\loch\af1\hich\af1\dbch\af31501\noproof\insrsid14703468\charrsid4785796 \hich\af1\dbch\af31501\loch\f1 &lt;OptDel&gt;}{\rtlch\fcs1 \af0 \ltrch\fcs0 \insrsid14703468\charrsid4785796 #}{\rtlch\fcs1 \af1 \ltrch\fcs0 _x000d__x000a_\cs22\v\f1\fs20\cf15\insrsid14703468\charrsid4785796 MNU[CROSSREFNO][CROSSREFYES]@CHOICE@}{\rtlch\fcs1 \af0 \ltrch\fcs0 \insrsid14703468\charrsid4785796 #}{\rtlch\fcs1 \af1 \ltrch\fcs0 _x000d__x000a_\cs17\i0\v\fs20\cf9\lang1024\langfe1024\loch\af1\hich\af1\dbch\af31501\noproof\insrsid14703468\charrsid4785796 \hich\af1\dbch\af31501\loch\f1 &lt;/OptDel&gt;}{\rtlch\fcs1 \af0 \ltrch\fcs0 \insrsid14703468\charrsid4785796 _x000d__x000a_\par }\pard\plain \ltrpar\s23\qc \li0\ri0\sb240\sa240\keepn\nowidctlpar\wrapdefault\aspalpha\aspnum\faauto\adjustright\rin0\lin0\itap0\pararsid14703468 \rtlch\fcs1 \af0\afs20\alang1025 \ltrch\fcs0 \i\fs24\lang2057\langfe2057\cgrid\langnp2057\langfenp2057 {_x000d__x000a_\rtlch\fcs1 \af1 \ltrch\fcs0 \cs17\i0\v\fs20\cf9\lang1024\langfe1024\loch\af1\hich\af1\dbch\af31501\noproof\insrsid14703468\charrsid4785796 \hich\af1\dbch\af31501\loch\f1 &lt;TitreJust&gt;}{\rtlch\fcs1 \af0 \ltrch\fcs0 \insrsid14703468\charrsid4785796 _x000d__x000a_Justification}{\rtlch\fcs1 \af1 \ltrch\fcs0 \cs17\i0\v\fs20\cf9\lang1024\langfe1024\loch\af1\hich\af1\dbch\af31501\noproof\insrsid14703468\charrsid4785796 \hich\af1\dbch\af31501\loch\f1 &lt;/TitreJust&gt;}{\rtlch\fcs1 \af0 \ltrch\fcs0 _x000d__x000a_\insrsid14703468\charrsid4785796 _x000d__x000a_\par }\pard\plain \ltrpar\s20\ql \li0\ri0\sa240\nowidctlpar\wrapdefault\aspalpha\aspnum\faauto\adjustright\rin0\lin0\itap0\pararsid14703468 \rtlch\fcs1 \af0\afs20\alang1025 \ltrch\fcs0 \i\fs24\lang2057\langfe2057\cgrid\langnp2057\langfenp2057 {\rtlch\fcs1 _x000d__x000a_\af1 \ltrch\fcs0 \cs17\i0\v\fs20\cf9\lang1024\langfe1024\loch\af1\hich\af1\dbch\af31501\noproof\insrsid14703468\charrsid4785796 \hich\af1\dbch\af31501\loch\f1 &lt;OptDelPrev&gt;}{\rtlch\fcs1 \af0 \ltrch\fcs0 \insrsid14703468\charrsid4785796 #}{\rtlch\fcs1 \af1 _x000d__x000a_\ltrch\fcs0 \cs22\v\f1\fs20\cf15\insrsid14703468\charrsid4785796 MNU[TEXTJUSTYES][TEXTJUSTNO]@CHOICE@}{\rtlch\fcs1 \af0 \ltrch\fcs0 \insrsid14703468\charrsid4785796 #}{\rtlch\fcs1 \af1 \ltrch\fcs0 _x000d__x000a_\cs17\i0\v\fs20\cf9\lang1024\langfe1024\loch\af1\hich\af1\dbch\af31501\noproof\insrsid14703468\charrsid4785796 \hich\af1\dbch\af31501\loch\f1 &lt;/OptDelPrev&gt;}{\rtlch\fcs1 \af0 \ltrch\fcs0 \insrsid14703468\charrsid4785796 _x000d__x000a_\par }\pard\plain \ltrpar\ql \li0\ri0\widctlpar\wrapdefault\aspalpha\aspnum\faauto\adjustright\rin0\lin0\itap0\pararsid14703468 \rtlch\fcs1 \af0\afs20\alang1025 \ltrch\fcs0 \fs24\lang2057\langfe2057\cgrid\langnp2057\langfenp2057 {\rtlch\fcs1 \af1 \ltrch\fcs0 _x000d__x000a_\cs17\v\fs20\cf9\lang1024\langfe1024\loch\af1\hich\af1\dbch\af31501\noproof\insrsid14703468\charrsid4785796 \hich\af1\dbch\af31501\loch\f1 &lt;/}{\rtlch\fcs1 \af1 \ltrch\fcs0 _x000d__x000a_\cs17\v\fs20\cf9\lang1024\langfe1024\loch\af1\hich\af1\dbch\af31501\noproof\insrsid14703468 \hich\af1\dbch\af31501\loch\f1 Amend}{\rtlch\fcs1 \af1 \ltrch\fcs0 _x000d__x000a_\cs17\v\fs20\cf9\lang1024\langfe1024\loch\af1\hich\af1\dbch\af31501\noproof\insrsid14703468\charrsid4785796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ad_x000d__x000a_cc21cf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06774 HideTWBExt;}{_x000d__x000a_\s18\ql \li0\ri0\sa120\nowidctlpar\wrapdefault\aspalpha\aspnum\faauto\adjustright\rin0\lin0\itap0 \rtlch\fcs1 \af0\afs20\alang1025 \ltrch\fcs0 \fs24\lang2057\langfe2057\cgrid\langnp2057\langfenp2057 \sbasedon0 \snext18 \spriority0 \styrsid4806774 _x000d__x000a_Normal6a;}{\s19\ql \li0\ri0\nowidctlpar\wrapdefault\aspalpha\aspnum\faauto\adjustright\rin0\lin0\itap0 \rtlch\fcs1 \af0\afs20\alang1025 \ltrch\fcs0 \b\fs24\lang2057\langfe2057\cgrid\langnp2057\langfenp2057 \sbasedon0 \snext19 \spriority0 \styrsid4806774 _x000d__x000a_NormalBold;}{\s20\qc \li0\ri0\sa240\nowidctlpar\wrapdefault\aspalpha\aspnum\faauto\adjustright\rin0\lin0\itap0 \rtlch\fcs1 \af0\afs20\alang1025 \ltrch\fcs0 \i\fs24\lang2057\langfe2057\cgrid\langnp2057\langfenp2057 _x000d__x000a_\sbasedon0 \snext20 \spriority0 \styrsid480677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806774 AmNumberTabs;}{\s22\ql \li0\ri0\sb240\nowidctlpar\wrapdefault\aspalpha\aspnum\faauto\adjustright\rin0\lin0\itap0 \rtlch\fcs1 _x000d__x000a_\af0\afs20\alang1025 \ltrch\fcs0 \b\fs24\lang2057\langfe2057\cgrid\langnp2057\langfenp2057 \sbasedon0 \snext22 \spriority0 \styrsid4806774 NormalBold12b;}}{\*\rsidtbl \rsid24658\rsid223860\rsid735077\rsid1718133\rsid2892074\rsid3565327\rsid4666813_x000d__x000a_\rsid4806774\rsid6641733\rsid7823322\rsid9636012\rsid10377208\rsid11215221\rsid11549030\rsid12154954\rsid14106165\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7\dy9\hr14\min40}{\revtim\yr2025\mo7\dy9\hr14\min40}{\version1}{\edmins0}{\nofpages1}_x000d__x000a_{\nofwords23}{\nofchars140}{\nofcharsws1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06774\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4106165 \chftnsep _x000d__x000a_\par }}{\*\ftnsepc \ltrpar \pard\plain \ltrpar\ql \li0\ri0\widctlpar\wrapdefault\aspalpha\aspnum\faauto\adjustright\rin0\lin0\itap0 \rtlch\fcs1 \af0\afs20\alang1025 \ltrch\fcs0 \fs24\lang2057\langfe2057\cgrid\langnp2057\langfenp2057 {\rtlch\fcs1 \af0 _x000d__x000a_\ltrch\fcs0 \insrsid14106165 \chftnsepc _x000d__x000a_\par }}{\*\aftnsep \ltrpar \pard\plain \ltrpar\ql \li0\ri0\widctlpar\wrapdefault\aspalpha\aspnum\faauto\adjustright\rin0\lin0\itap0 \rtlch\fcs1 \af0\afs20\alang1025 \ltrch\fcs0 \fs24\lang2057\langfe2057\cgrid\langnp2057\langfenp2057 {\rtlch\fcs1 \af0 _x000d__x000a_\ltrch\fcs0 \insrsid14106165 \chftnsep _x000d__x000a_\par }}{\*\aftnsepc \ltrpar \pard\plain \ltrpar\ql \li0\ri0\widctlpar\wrapdefault\aspalpha\aspnum\faauto\adjustright\rin0\lin0\itap0 \rtlch\fcs1 \af0\afs20\alang1025 \ltrch\fcs0 \fs24\lang2057\langfe2057\cgrid\langnp2057\langfenp2057 {\rtlch\fcs1 \af0 _x000d__x000a_\ltrch\fcs0 \insrsid14106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806774 \rtlch\fcs1 _x000d__x000a_\af0\afs20\alang1025 \ltrch\fcs0 \b\fs24\lang2057\langfe2057\cgrid\langnp2057\langfenp2057 {\rtlch\fcs1 \af0 \ltrch\fcs0 \cs17\b0\v\fs20\cf9\lang1024\langfe1024\loch\af1\hich\af1\dbch\af31501\noproof\insrsid4806774\charrsid15879488 {\*\bkmkstart restartA}_x000d__x000a_\hich\af1\dbch\af31501\loch\f1 &lt;AmendA&gt;}{\rtlch\fcs1 \af0 \ltrch\fcs0 \insrsid4806774\charrsid15879488 [ZAMENDMENT]\tab \tab }{\rtlch\fcs1 \af0 \ltrch\fcs0 _x000d__x000a_\cs17\b0\v\fs20\cf9\lang1024\langfe1024\loch\af1\hich\af1\dbch\af31501\noproof\insrsid4806774\charrsid15879488 \hich\af1\dbch\af31501\loch\f1 &lt;NumAmA&gt;}{\rtlch\fcs1 \af0 \ltrch\fcs0 \insrsid4806774\charrsid15879488 [ZNRAM]}{\rtlch\fcs1 \af0 \ltrch\fcs0 _x000d__x000a_\cs17\b0\v\fs20\cf9\lang1024\langfe1024\loch\af1\hich\af1\dbch\af31501\noproof\insrsid4806774\charrsid15879488 \hich\af1\dbch\af31501\loch\f1 &lt;/NumAmA&gt;}{\rtlch\fcs1 \af0 \ltrch\fcs0 \insrsid4806774\charrsid15879488 _x000d__x000a_\par }\pard\plain \ltrpar\s22\ql \li0\ri0\sb240\keepn\nowidctlpar\wrapdefault\aspalpha\aspnum\faauto\adjustright\rin0\lin0\itap0\pararsid4806774 \rtlch\fcs1 \af0\afs20\alang1025 \ltrch\fcs0 \b\fs24\lang2057\langfe2057\cgrid\langnp2057\langfenp2057 {_x000d__x000a_\rtlch\fcs1 \af0 \ltrch\fcs0 \cs17\b0\v\fs20\cf9\lang1024\langfe1024\loch\af1\hich\af1\dbch\af31501\noproof\langnp1036\insrsid4806774\charrsid11356624 \hich\af1\dbch\af31501\loch\f1 &lt;DocAmend&gt;}{\rtlch\fcs1 \af0 \ltrch\fcs0 _x000d__x000a_\lang1036\langfe2057\langnp1036\insrsid4806774\charrsid11356624 [ZRESOLUTION]}{\rtlch\fcs1 \af0 \ltrch\fcs0 \cs17\b0\v\fs20\cf9\lang1024\langfe1024\loch\af1\hich\af1\dbch\af31501\noproof\langnp1036\insrsid4806774\charrsid11356624 _x000d__x000a_\hich\af1\dbch\af31501\loch\f1 &lt;/DocAmend&gt;}{\rtlch\fcs1 \af0 \ltrch\fcs0 \lang1036\langfe2057\langnp1036\insrsid4806774\charrsid11356624 _x000d__x000a_\par }\pard\plain \ltrpar\s19\ql \li0\ri0\nowidctlpar\wrapdefault\aspalpha\aspnum\faauto\adjustright\rin0\lin0\itap0\pararsid4806774 \rtlch\fcs1 \af0\afs20\alang1025 \ltrch\fcs0 \b\fs24\lang2057\langfe2057\cgrid\langnp2057\langfenp2057 {\rtlch\fcs1 \af0 _x000d__x000a_\ltrch\fcs0 \cs17\b0\v\fs20\cf9\lang1024\langfe1024\loch\af1\hich\af1\dbch\af31501\noproof\langnp1036\insrsid4806774\charrsid11356624 \hich\af1\dbch\af31501\loch\f1 &lt;Article&gt;}{\rtlch\fcs1 \af0 \ltrch\fcs0 _x000d__x000a_\lang1036\langfe2057\langnp1036\insrsid4806774\charrsid11356624 [ZRESPART]}{\rtlch\fcs1 \af0 \ltrch\fcs0 \cs17\b0\v\fs20\cf9\lang1024\langfe1024\loch\af1\hich\af1\dbch\af31501\noproof\langnp1036\insrsid4806774\charrsid11356624 _x000d__x000a_\hich\af1\dbch\af31501\loch\f1 &lt;/Article&gt;}{\rtlch\fcs1 \af0 \ltrch\fcs0 \lang1036\langfe2057\langnp1036\insrsid4806774\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806774\charrsid11356624 \cell }\pard \ltrpar_x000d__x000a_\ql \li0\ri0\widctlpar\intbl\wrapdefault\aspalpha\aspnum\faauto\adjustright\rin0\lin0 {\rtlch\fcs1 \af0 \ltrch\fcs0 \insrsid4806774\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4806774\charrsid15879488 [ZLEFTA]\cell [ZRIGHT]\cell }\pard\plain \ltrpar\ql \li0\ri0\widctlpar\intbl\wrapdefault\aspalpha\aspnum\faauto\adjustright\rin0\lin0 _x000d__x000a_\rtlch\fcs1 \af0\afs20\alang1025 \ltrch\fcs0 \fs24\lang2057\langfe2057\cgrid\langnp2057\langfenp2057 {\rtlch\fcs1 \af0 \ltrch\fcs0 \insrsid4806774\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806774\charrsid15879488 [ZTEXTL]\cell [ZTEXTR]}{\rtlch\fcs1 \af0\afs24 \ltrch\fcs0 \insrsid4806774\charrsid15879488 \cell }\pard\plain \ltrpar\ql \li0\ri0\widctlpar\intbl\wrapdefault\aspalpha\aspnum\faauto\adjustright\rin0\lin0 \rtlch\fcs1 _x000d__x000a_\af0\afs20\alang1025 \ltrch\fcs0 \fs24\lang2057\langfe2057\cgrid\langnp2057\langfenp2057 {\rtlch\fcs1 \af0 \ltrch\fcs0 \insrsid4806774\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806774 {\rtlch\fcs1 \af0 \ltrch\fcs0 \cs17\v\fs20\cf9\lang1024\langfe1024\loch\af1\hich\af1\dbch\af31501\noproof\insrsid4806774\charrsid15879488 _x000d__x000a_\hich\af1\dbch\af31501\loch\f1 &lt;/AmendA&gt;}{\rtlch\fcs1 \af0 \ltrch\fcs0 \insrsid480677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84_x000d__x000a_0197ce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36107 HideTWBExt;}{_x000d__x000a_\s18\ql \li0\ri0\sa120\nowidctlpar\wrapdefault\aspalpha\aspnum\faauto\adjustright\rin0\lin0\itap0 \rtlch\fcs1 \af0\afs20\alang1025 \ltrch\fcs0 \fs24\lang2057\langfe2057\cgrid\langnp2057\langfenp2057 \sbasedon0 \snext18 \spriority0 \styrsid14636107 _x000d__x000a_Normal6a;}{\s19\ql \li0\ri0\nowidctlpar\wrapdefault\aspalpha\aspnum\faauto\adjustright\rin0\lin0\itap0 \rtlch\fcs1 \af0\afs20\alang1025 \ltrch\fcs0 \b\fs24\lang2057\langfe2057\cgrid\langnp2057\langfenp2057 \sbasedon0 \snext19 \spriority0 \styrsid14636107 _x000d__x000a_NormalBold;}{\s20\ql \li0\ri0\sa240\nowidctlpar\wrapdefault\aspalpha\aspnum\faauto\adjustright\rin0\lin0\itap0 \rtlch\fcs1 \af0\afs20\alang1025 \ltrch\fcs0 \i\fs24\lang2057\langfe2057\cgrid\langnp2057\langfenp2057 _x000d__x000a_\sbasedon0 \snext20 \spriority0 \styrsid14636107 AmJustText;}{\s21\qc \li0\ri0\sb240\sa240\nowidctlpar\wrapdefault\aspalpha\aspnum\faauto\adjustright\rin0\lin0\itap0 \rtlch\fcs1 \af0\afs20\alang1025 \ltrch\fcs0 _x000d__x000a_\i\fs24\lang2057\langfe2057\cgrid\langnp2057\langfenp2057 \sbasedon0 \snext21 \spriority0 \styrsid14636107 AmCrossRef;}{\s22\qc \li0\ri0\sb240\sa240\keepn\nowidctlpar\wrapdefault\aspalpha\aspnum\faauto\adjustright\rin0\lin0\itap0 \rtlch\fcs1 _x000d__x000a_\af0\afs20\alang1025 \ltrch\fcs0 \i\fs24\lang2057\langfe2057\cgrid\langnp2057\langfenp2057 \sbasedon0 \snext20 \spriority0 \styrsid14636107 AmJustTitle;}{\s23\qc \li0\ri0\sa240\nowidctlpar\wrapdefault\aspalpha\aspnum\faauto\adjustright\rin0\lin0\itap0 _x000d__x000a_\rtlch\fcs1 \af0\afs20\alang1025 \ltrch\fcs0 \i\fs24\lang2057\langfe2057\cgrid\langnp2057\langfenp2057 \sbasedon0 \snext23 \spriority0 \styrsid1463610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636107 AmNumberTabs;}{\s25\ql \li0\ri0\sb240\nowidctlpar\wrapdefault\aspalpha\aspnum\faauto\adjustright\rin0\lin0\itap0 \rtlch\fcs1 _x000d__x000a_\af0\afs20\alang1025 \ltrch\fcs0 \b\fs24\lang2057\langfe2057\cgrid\langnp2057\langfenp2057 \sbasedon0 \snext25 \spriority0 \styrsid14636107 NormalBold12b;}}{\*\rsidtbl \rsid24658\rsid223860\rsid735077\rsid1718133\rsid2892074\rsid3565327\rsid4666813_x000d__x000a_\rsid6641733\rsid7471976\rsid7823322\rsid9636012\rsid10377208\rsid11215221\rsid11549030\rsid12154954\rsid14382809\rsid14424199\rsid14636107\rsid15204470\rsid15285974\rsid15950462\rsid16324206\rsid16662270}{\mmathPr\mmathFont34\mbrkBin0\mbrkBinSub0_x000d__x000a_\msmallFrac0\mdispDef1\mlMargin0\mrMargin0\mdefJc1\mwrapIndent1440\mintLim0\mnaryLim1}{\info{\author LECUYER Katarzyna}{\operator LECUYER Katarzyna}{\creatim\yr2025\mo7\dy9\hr14\min40}{\revtim\yr2025\mo7\dy9\hr14\min40}{\version1}{\edmins0}{\nofpages1}_x000d__x000a_{\nofwords54}{\nofchars318}{\nofcharsws36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3610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7471976 \chftnsep _x000d__x000a_\par }}{\*\ftnsepc \ltrpar \pard\plain \ltrpar\ql \li0\ri0\widctlpar\wrapdefault\aspalpha\aspnum\faauto\adjustright\rin0\lin0\itap0 \rtlch\fcs1 \af0\afs20\alang1025 \ltrch\fcs0 \fs24\lang2057\langfe2057\cgrid\langnp2057\langfenp2057 {\rtlch\fcs1 \af0 _x000d__x000a_\ltrch\fcs0 \insrsid7471976 \chftnsepc _x000d__x000a_\par }}{\*\aftnsep \ltrpar \pard\plain \ltrpar\ql \li0\ri0\widctlpar\wrapdefault\aspalpha\aspnum\faauto\adjustright\rin0\lin0\itap0 \rtlch\fcs1 \af0\afs20\alang1025 \ltrch\fcs0 \fs24\lang2057\langfe2057\cgrid\langnp2057\langfenp2057 {\rtlch\fcs1 \af0 _x000d__x000a_\ltrch\fcs0 \insrsid7471976 \chftnsep _x000d__x000a_\par }}{\*\aftnsepc \ltrpar \pard\plain \ltrpar\ql \li0\ri0\widctlpar\wrapdefault\aspalpha\aspnum\faauto\adjustright\rin0\lin0\itap0 \rtlch\fcs1 \af0\afs20\alang1025 \ltrch\fcs0 \fs24\lang2057\langfe2057\cgrid\langnp2057\langfenp2057 {\rtlch\fcs1 \af0 _x000d__x000a_\ltrch\fcs0 \insrsid74719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636107 \rtlch\fcs1 _x000d__x000a_\af0\afs20\alang1025 \ltrch\fcs0 \b\fs24\lang2057\langfe2057\cgrid\langnp2057\langfenp2057 {\rtlch\fcs1 \af0 \ltrch\fcs0 \cs17\b0\v\fs20\cf9\lang1024\langfe1024\loch\af1\hich\af1\dbch\af31501\noproof\insrsid14636107\charrsid15879488 {\*\bkmkstart restartB_x000d__x000a_}\hich\af1\dbch\af31501\loch\f1 &lt;AmendB&gt;}{\rtlch\fcs1 \af0 \ltrch\fcs0 \insrsid14636107\charrsid15879488 [ZAMENDMENT]\tab \tab }{\rtlch\fcs1 \af0 \ltrch\fcs0 _x000d__x000a_\cs17\b0\v\fs20\cf9\lang1024\langfe1024\loch\af1\hich\af1\dbch\af31501\noproof\insrsid14636107\charrsid15879488 \hich\af1\dbch\af31501\loch\f1 &lt;NumAmB&gt;}{\rtlch\fcs1 \af0 \ltrch\fcs0 \insrsid14636107\charrsid15879488 [ZNRAM]}{\rtlch\fcs1 \af0 \ltrch\fcs0 _x000d__x000a_\cs17\b0\v\fs20\cf9\lang1024\langfe1024\loch\af1\hich\af1\dbch\af31501\noproof\insrsid14636107\charrsid15879488 \hich\af1\dbch\af31501\loch\f1 &lt;/NumAmB&gt;}{\rtlch\fcs1 \af0 \ltrch\fcs0 \insrsid14636107\charrsid15879488 _x000d__x000a_\par }\pard\plain \ltrpar\s25\ql \li0\ri0\sb240\keepn\nowidctlpar\wrapdefault\aspalpha\aspnum\faauto\adjustright\rin0\lin0\itap0\pararsid14636107 \rtlch\fcs1 \af0\afs20\alang1025 \ltrch\fcs0 \b\fs24\lang2057\langfe2057\cgrid\langnp2057\langfenp2057 {_x000d__x000a_\rtlch\fcs1 \af0 \ltrch\fcs0 \cs17\b0\v\fs20\cf9\lang1024\langfe1024\loch\af1\hich\af1\dbch\af31501\noproof\insrsid14636107\charrsid15879488 \hich\af1\dbch\af31501\loch\f1 &lt;DocAmend&gt;}{\rtlch\fcs1 \af0 \ltrch\fcs0 \insrsid14636107\charrsid15879488 _x000d__x000a_[ZPROPOSAL][ZAMACT]}{\rtlch\fcs1 \af0 \ltrch\fcs0 \cs17\b0\v\fs20\cf9\lang1024\langfe1024\loch\af1\hich\af1\dbch\af31501\noproof\insrsid14636107\charrsid15879488 \hich\af1\dbch\af31501\loch\f1 &lt;/DocAmend&gt;}{\rtlch\fcs1 \af0 \ltrch\fcs0 _x000d__x000a_\insrsid14636107\charrsid15879488 _x000d__x000a_\par }\pard\plain \ltrpar\s19\ql \li0\ri0\keepn\nowidctlpar\wrapdefault\aspalpha\aspnum\faauto\adjustright\rin0\lin0\itap0\pararsid14636107 \rtlch\fcs1 \af0\afs20\alang1025 \ltrch\fcs0 \b\fs24\lang2057\langfe2057\cgrid\langnp2057\langfenp2057 {\rtlch\fcs1 _x000d__x000a_\af0 \ltrch\fcs0 \cs17\b0\v\fs20\cf9\lang1024\langfe1024\loch\af1\hich\af1\dbch\af31501\noproof\insrsid14636107\charrsid15879488 \hich\af1\dbch\af31501\loch\f1 &lt;Article&gt;}{\rtlch\fcs1 \af0 \ltrch\fcs0 \insrsid14636107\charrsid15879488 [ZAMPART]}{_x000d__x000a_\rtlch\fcs1 \af0 \ltrch\fcs0 \cs17\b0\v\fs20\cf9\lang1024\langfe1024\loch\af1\hich\af1\dbch\af31501\noproof\insrsid14636107\charrsid15879488 \hich\af1\dbch\af31501\loch\f1 &lt;/Article&gt;}{\rtlch\fcs1 \af0 \ltrch\fcs0 \insrsid14636107\charrsid15879488 _x000d__x000a_\par }\pard\plain \ltrpar\ql \li0\ri0\keepn\widctlpar\wrapdefault\aspalpha\aspnum\faauto\adjustright\rin0\lin0\itap0\pararsid14636107 \rtlch\fcs1 \af0\afs20\alang1025 \ltrch\fcs0 \fs24\lang2057\langfe2057\cgrid\langnp2057\langfenp2057 {\rtlch\fcs1 \af0 _x000d__x000a_\ltrch\fcs0 \cs17\v\fs20\cf9\lang1024\langfe1024\loch\af1\hich\af1\dbch\af31501\noproof\insrsid14636107\charrsid15879488 \hich\af1\dbch\af31501\loch\f1 &lt;DocAmend2&gt;&lt;OptDel&gt;}{\rtlch\fcs1 \af0 \ltrch\fcs0 \insrsid14636107\charrsid15879488 [ZNRACT]}{_x000d__x000a_\rtlch\fcs1 \af0 \ltrch\fcs0 \cs17\v\fs20\cf9\lang1024\langfe1024\loch\af1\hich\af1\dbch\af31501\noproof\insrsid14636107\charrsid15879488 \hich\af1\dbch\af31501\loch\f1 &lt;/OptDel&gt;&lt;/DocAmend2&gt;}{\rtlch\fcs1 \af0 \ltrch\fcs0 \insrsid14636107\charrsid15879488 _x000d__x000a__x000d__x000a_\par }\pard \ltrpar\ql \li0\ri0\widctlpar\wrapdefault\aspalpha\aspnum\faauto\adjustright\rin0\lin0\itap0\pararsid14636107 {\rtlch\fcs1 \af0 \ltrch\fcs0 _x000d__x000a_\cs17\v\fs20\cf9\lang1024\langfe1024\loch\af1\hich\af1\dbch\af31501\noproof\langnp1036\insrsid14636107\charrsid11356624 \hich\af1\dbch\af31501\loch\f1 &lt;Article2&gt;&lt;OptDel&gt;}{\rtlch\fcs1 \af0 \ltrch\fcs0 _x000d__x000a_\lang1036\langfe2057\langnp1036\insrsid14636107\charrsid11356624 [ZACTPART]}{\rtlch\fcs1 \af0 \ltrch\fcs0 \cs17\v\fs20\cf9\lang1024\langfe1024\loch\af1\hich\af1\dbch\af31501\noproof\langnp1036\insrsid14636107\charrsid11356624 _x000d__x000a_\hich\af1\dbch\af31501\loch\f1 &lt;/OptDel&gt;&lt;/Article2&gt;}{\rtlch\fcs1 \af0 \ltrch\fcs0 \lang1036\langfe2057\langnp1036\insrsid1463610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636107\charrsid11356624 \cell }\pard \ltrpar\ql \li0\ri0\widctlpar\intbl\wrapdefault\aspalpha\aspnum\faauto\adjustright\rin0\lin0 {\rtlch\fcs1 \af0 \ltrch\fcs0 \insrsid1463610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636107\charrsid15879488 [ZLEFTB]\cell [ZRIGHT]\cell }\pard\plain \ltrpar\ql \li0\ri0\widctlpar\intbl\wrapdefault\aspalpha\aspnum\faauto\adjustright\rin0\lin0 \rtlch\fcs1 \af0\afs20\alang1025 \ltrch\fcs0 _x000d__x000a_\fs24\lang2057\langfe2057\cgrid\langnp2057\langfenp2057 {\rtlch\fcs1 \af0 \ltrch\fcs0 \insrsid1463610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636107\charrsid15879488 [ZTEXTL]\cell [ZTEXTR]}{\rtlch\fcs1 \af0\afs24 \ltrch\fcs0 \insrsid14636107\charrsid15879488 \cell }\pard\plain \ltrpar\ql \li0\ri0\widctlpar\intbl\wrapdefault\aspalpha\aspnum\faauto\adjustright\rin0\lin0 \rtlch\fcs1 _x000d__x000a_\af0\afs20\alang1025 \ltrch\fcs0 \fs24\lang2057\langfe2057\cgrid\langnp2057\langfenp2057 {\rtlch\fcs1 \af0 \ltrch\fcs0 \insrsid1463610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636107 \rtlch\fcs1 \af0\afs20\alang1025 \ltrch\fcs0 \i\fs24\lang2057\langfe2057\cgrid\langnp2057\langfenp2057 {\rtlch\fcs1 \af0 \ltrch\fcs0 _x000d__x000a_\cs17\i0\v\fs20\cf9\lang1024\langfe1024\loch\af1\hich\af1\dbch\af31501\noproof\insrsid14636107\charrsid15879488 \hich\af1\dbch\af31501\loch\f1 &lt;OptDel&gt;}{\rtlch\fcs1 \af0 \ltrch\fcs0 \insrsid14636107\charrsid15879488 [ZCROSSREF]}{\rtlch\fcs1 \af0 _x000d__x000a_\ltrch\fcs0 \cs17\i0\v\fs20\cf9\lang1024\langfe1024\loch\af1\hich\af1\dbch\af31501\noproof\insrsid14636107\charrsid15879488 \hich\af1\dbch\af31501\loch\f1 &lt;/OptDel&gt;}{\rtlch\fcs1 \af0 \ltrch\fcs0 \insrsid14636107\charrsid15879488 _x000d__x000a_\par }\pard\plain \ltrpar\s22\qc \li0\ri0\sb240\sa240\keepn\nowidctlpar\wrapdefault\aspalpha\aspnum\faauto\adjustright\rin0\lin0\itap0\pararsid14636107 \rtlch\fcs1 \af0\afs20\alang1025 \ltrch\fcs0 \i\fs24\lang2057\langfe2057\cgrid\langnp2057\langfenp2057 {_x000d__x000a_\rtlch\fcs1 \af0 \ltrch\fcs0 \cs17\i0\v\fs20\cf9\lang1024\langfe1024\loch\af1\hich\af1\dbch\af31501\noproof\insrsid14636107\charrsid15879488 \hich\af1\dbch\af31501\loch\f1 &lt;TitreJust&gt;}{\rtlch\fcs1 \af0 \ltrch\fcs0 \insrsid14636107\charrsid15879488 _x000d__x000a_[ZJUSTIFICATION]}{\rtlch\fcs1 \af0 \ltrch\fcs0 \cs17\i0\v\fs20\cf9\lang1024\langfe1024\loch\af1\hich\af1\dbch\af31501\noproof\insrsid14636107\charrsid15879488 \hich\af1\dbch\af31501\loch\f1 &lt;/TitreJust&gt;}{\rtlch\fcs1 \af0 \ltrch\fcs0 _x000d__x000a_\insrsid14636107\charrsid15879488 _x000d__x000a_\par }\pard\plain \ltrpar\s20\ql \li0\ri0\sa240\nowidctlpar\wrapdefault\aspalpha\aspnum\faauto\adjustright\rin0\lin0\itap0\pararsid14636107 \rtlch\fcs1 \af0\afs20\alang1025 \ltrch\fcs0 \i\fs24\lang2057\langfe2057\cgrid\langnp2057\langfenp2057 {\rtlch\fcs1 _x000d__x000a_\af0 \ltrch\fcs0 \cs17\i0\v\fs20\cf9\lang1024\langfe1024\loch\af1\hich\af1\dbch\af31501\noproof\insrsid14636107\charrsid15879488 \hich\af1\dbch\af31501\loch\f1 &lt;OptDelPrev&gt;}{\rtlch\fcs1 \af0 \ltrch\fcs0 \insrsid14636107\charrsid15879488 [ZTEXTJUST]}{_x000d__x000a_\rtlch\fcs1 \af0 \ltrch\fcs0 \cs17\i0\v\fs20\cf9\lang1024\langfe1024\loch\af1\hich\af1\dbch\af31501\noproof\insrsid14636107\charrsid15879488 \hich\af1\dbch\af31501\loch\f1 &lt;/OptDelPrev&gt;}{\rtlch\fcs1 \af0 \ltrch\fcs0 \insrsid14636107\charrsid15879488 _x000d__x000a__x000d__x000a_\par }\pard\plain \ltrpar\ql \li0\ri0\widctlpar\wrapdefault\aspalpha\aspnum\faauto\adjustright\rin0\lin0\itap0\pararsid14636107 \rtlch\fcs1 \af0\afs20\alang1025 \ltrch\fcs0 \fs24\lang2057\langfe2057\cgrid\langnp2057\langfenp2057 {\rtlch\fcs1 \af0 \ltrch\fcs0 _x000d__x000a_\cs17\v\fs20\cf9\lang1024\langfe1024\loch\af1\hich\af1\dbch\af31501\noproof\insrsid14636107\charrsid15879488 \hich\af1\dbch\af31501\loch\f1 &lt;/AmendB&gt;}{\rtlch\fcs1 \af0 \ltrch\fcs0 \insrsid1463610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a_x000d__x000a_0f9ace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36107 HideTWBExt;}{_x000d__x000a_\s18\ql \li0\ri0\sa120\nowidctlpar\wrapdefault\aspalpha\aspnum\faauto\adjustright\rin0\lin0\itap0 \rtlch\fcs1 \af0\afs20\alang1025 \ltrch\fcs0 \fs24\lang2057\langfe2057\cgrid\langnp2057\langfenp2057 \sbasedon0 \snext18 \spriority0 \styrsid14636107 _x000d__x000a_Normal6a;}{\s19\ql \li0\ri0\nowidctlpar\wrapdefault\aspalpha\aspnum\faauto\adjustright\rin0\lin0\itap0 \rtlch\fcs1 \af0\afs20\alang1025 \ltrch\fcs0 \b\fs24\lang2057\langfe2057\cgrid\langnp2057\langfenp2057 \sbasedon0 \snext19 \spriority0 \styrsid14636107 _x000d__x000a_NormalBold;}{\s20\ql \li0\ri0\sa240\nowidctlpar\wrapdefault\aspalpha\aspnum\faauto\adjustright\rin0\lin0\itap0 \rtlch\fcs1 \af0\afs20\alang1025 \ltrch\fcs0 \i\fs24\lang2057\langfe2057\cgrid\langnp2057\langfenp2057 _x000d__x000a_\sbasedon0 \snext20 \spriority0 \styrsid14636107 AmJustText;}{\s21\qc \li0\ri0\sb240\sa240\nowidctlpar\wrapdefault\aspalpha\aspnum\faauto\adjustright\rin0\lin0\itap0 \rtlch\fcs1 \af0\afs20\alang1025 \ltrch\fcs0 _x000d__x000a_\i\fs24\lang2057\langfe2057\cgrid\langnp2057\langfenp2057 \sbasedon0 \snext21 \spriority0 \styrsid14636107 AmCrossRef;}{\s22\qc \li0\ri0\sb240\sa240\keepn\nowidctlpar\wrapdefault\aspalpha\aspnum\faauto\adjustright\rin0\lin0\itap0 \rtlch\fcs1 _x000d__x000a_\af0\afs20\alang1025 \ltrch\fcs0 \i\fs24\lang2057\langfe2057\cgrid\langnp2057\langfenp2057 \sbasedon0 \snext20 \spriority0 \styrsid14636107 AmJustTitle;}{\s23\qc \li0\ri0\sa240\nowidctlpar\wrapdefault\aspalpha\aspnum\faauto\adjustright\rin0\lin0\itap0 _x000d__x000a_\rtlch\fcs1 \af0\afs20\alang1025 \ltrch\fcs0 \i\fs24\lang2057\langfe2057\cgrid\langnp2057\langfenp2057 \sbasedon0 \snext23 \spriority0 \styrsid1463610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636107 AmNumberTabs;}{\s25\ql \li0\ri0\sb240\nowidctlpar\wrapdefault\aspalpha\aspnum\faauto\adjustright\rin0\lin0\itap0 \rtlch\fcs1 _x000d__x000a_\af0\afs20\alang1025 \ltrch\fcs0 \b\fs24\lang2057\langfe2057\cgrid\langnp2057\langfenp2057 \sbasedon0 \snext25 \spriority0 \styrsid14636107 NormalBold12b;}}{\*\rsidtbl \rsid24658\rsid223860\rsid735077\rsid1718133\rsid2892074\rsid3565327\rsid4666813_x000d__x000a_\rsid6641733\rsid7471976\rsid7823322\rsid9636012\rsid10377208\rsid11215221\rsid11549030\rsid12154954\rsid14382809\rsid14424199\rsid14636107\rsid15204470\rsid15285974\rsid15950462\rsid16324206\rsid16662270}{\mmathPr\mmathFont34\mbrkBin0\mbrkBinSub0_x000d__x000a_\msmallFrac0\mdispDef1\mlMargin0\mrMargin0\mdefJc1\mwrapIndent1440\mintLim0\mnaryLim1}{\info{\author LECUYER Katarzyna}{\operator LECUYER Katarzyna}{\creatim\yr2025\mo7\dy9\hr14\min40}{\revtim\yr2025\mo7\dy9\hr14\min40}{\version1}{\edmins0}{\nofpages1}_x000d__x000a_{\nofwords54}{\nofchars318}{\nofcharsws36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3610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7471976 \chftnsep _x000d__x000a_\par }}{\*\ftnsepc \ltrpar \pard\plain \ltrpar\ql \li0\ri0\widctlpar\wrapdefault\aspalpha\aspnum\faauto\adjustright\rin0\lin0\itap0 \rtlch\fcs1 \af0\afs20\alang1025 \ltrch\fcs0 \fs24\lang2057\langfe2057\cgrid\langnp2057\langfenp2057 {\rtlch\fcs1 \af0 _x000d__x000a_\ltrch\fcs0 \insrsid7471976 \chftnsepc _x000d__x000a_\par }}{\*\aftnsep \ltrpar \pard\plain \ltrpar\ql \li0\ri0\widctlpar\wrapdefault\aspalpha\aspnum\faauto\adjustright\rin0\lin0\itap0 \rtlch\fcs1 \af0\afs20\alang1025 \ltrch\fcs0 \fs24\lang2057\langfe2057\cgrid\langnp2057\langfenp2057 {\rtlch\fcs1 \af0 _x000d__x000a_\ltrch\fcs0 \insrsid7471976 \chftnsep _x000d__x000a_\par }}{\*\aftnsepc \ltrpar \pard\plain \ltrpar\ql \li0\ri0\widctlpar\wrapdefault\aspalpha\aspnum\faauto\adjustright\rin0\lin0\itap0 \rtlch\fcs1 \af0\afs20\alang1025 \ltrch\fcs0 \fs24\lang2057\langfe2057\cgrid\langnp2057\langfenp2057 {\rtlch\fcs1 \af0 _x000d__x000a_\ltrch\fcs0 \insrsid74719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636107 \rtlch\fcs1 _x000d__x000a_\af0\afs20\alang1025 \ltrch\fcs0 \b\fs24\lang2057\langfe2057\cgrid\langnp2057\langfenp2057 {\rtlch\fcs1 \af0 \ltrch\fcs0 \cs17\b0\v\fs20\cf9\lang1024\langfe1024\loch\af1\hich\af1\dbch\af31501\noproof\insrsid14636107\charrsid15879488 {\*\bkmkstart restartB_x000d__x000a_}\hich\af1\dbch\af31501\loch\f1 &lt;AmendB&gt;}{\rtlch\fcs1 \af0 \ltrch\fcs0 \insrsid14636107\charrsid15879488 [ZAMENDMENT]\tab \tab }{\rtlch\fcs1 \af0 \ltrch\fcs0 _x000d__x000a_\cs17\b0\v\fs20\cf9\lang1024\langfe1024\loch\af1\hich\af1\dbch\af31501\noproof\insrsid14636107\charrsid15879488 \hich\af1\dbch\af31501\loch\f1 &lt;NumAmB&gt;}{\rtlch\fcs1 \af0 \ltrch\fcs0 \insrsid14636107\charrsid15879488 [ZNRAM]}{\rtlch\fcs1 \af0 \ltrch\fcs0 _x000d__x000a_\cs17\b0\v\fs20\cf9\lang1024\langfe1024\loch\af1\hich\af1\dbch\af31501\noproof\insrsid14636107\charrsid15879488 \hich\af1\dbch\af31501\loch\f1 &lt;/NumAmB&gt;}{\rtlch\fcs1 \af0 \ltrch\fcs0 \insrsid14636107\charrsid15879488 _x000d__x000a_\par }\pard\plain \ltrpar\s25\ql \li0\ri0\sb240\keepn\nowidctlpar\wrapdefault\aspalpha\aspnum\faauto\adjustright\rin0\lin0\itap0\pararsid14636107 \rtlch\fcs1 \af0\afs20\alang1025 \ltrch\fcs0 \b\fs24\lang2057\langfe2057\cgrid\langnp2057\langfenp2057 {_x000d__x000a_\rtlch\fcs1 \af0 \ltrch\fcs0 \cs17\b0\v\fs20\cf9\lang1024\langfe1024\loch\af1\hich\af1\dbch\af31501\noproof\insrsid14636107\charrsid15879488 \hich\af1\dbch\af31501\loch\f1 &lt;DocAmend&gt;}{\rtlch\fcs1 \af0 \ltrch\fcs0 \insrsid14636107\charrsid15879488 _x000d__x000a_[ZPROPOSAL][ZAMACT]}{\rtlch\fcs1 \af0 \ltrch\fcs0 \cs17\b0\v\fs20\cf9\lang1024\langfe1024\loch\af1\hich\af1\dbch\af31501\noproof\insrsid14636107\charrsid15879488 \hich\af1\dbch\af31501\loch\f1 &lt;/DocAmend&gt;}{\rtlch\fcs1 \af0 \ltrch\fcs0 _x000d__x000a_\insrsid14636107\charrsid15879488 _x000d__x000a_\par }\pard\plain \ltrpar\s19\ql \li0\ri0\keepn\nowidctlpar\wrapdefault\aspalpha\aspnum\faauto\adjustright\rin0\lin0\itap0\pararsid14636107 \rtlch\fcs1 \af0\afs20\alang1025 \ltrch\fcs0 \b\fs24\lang2057\langfe2057\cgrid\langnp2057\langfenp2057 {\rtlch\fcs1 _x000d__x000a_\af0 \ltrch\fcs0 \cs17\b0\v\fs20\cf9\lang1024\langfe1024\loch\af1\hich\af1\dbch\af31501\noproof\insrsid14636107\charrsid15879488 \hich\af1\dbch\af31501\loch\f1 &lt;Article&gt;}{\rtlch\fcs1 \af0 \ltrch\fcs0 \insrsid14636107\charrsid15879488 [ZAMPART]}{_x000d__x000a_\rtlch\fcs1 \af0 \ltrch\fcs0 \cs17\b0\v\fs20\cf9\lang1024\langfe1024\loch\af1\hich\af1\dbch\af31501\noproof\insrsid14636107\charrsid15879488 \hich\af1\dbch\af31501\loch\f1 &lt;/Article&gt;}{\rtlch\fcs1 \af0 \ltrch\fcs0 \insrsid14636107\charrsid15879488 _x000d__x000a_\par }\pard\plain \ltrpar\ql \li0\ri0\keepn\widctlpar\wrapdefault\aspalpha\aspnum\faauto\adjustright\rin0\lin0\itap0\pararsid14636107 \rtlch\fcs1 \af0\afs20\alang1025 \ltrch\fcs0 \fs24\lang2057\langfe2057\cgrid\langnp2057\langfenp2057 {\rtlch\fcs1 \af0 _x000d__x000a_\ltrch\fcs0 \cs17\v\fs20\cf9\lang1024\langfe1024\loch\af1\hich\af1\dbch\af31501\noproof\insrsid14636107\charrsid15879488 \hich\af1\dbch\af31501\loch\f1 &lt;DocAmend2&gt;&lt;OptDel&gt;}{\rtlch\fcs1 \af0 \ltrch\fcs0 \insrsid14636107\charrsid15879488 [ZNRACT]}{_x000d__x000a_\rtlch\fcs1 \af0 \ltrch\fcs0 \cs17\v\fs20\cf9\lang1024\langfe1024\loch\af1\hich\af1\dbch\af31501\noproof\insrsid14636107\charrsid15879488 \hich\af1\dbch\af31501\loch\f1 &lt;/OptDel&gt;&lt;/DocAmend2&gt;}{\rtlch\fcs1 \af0 \ltrch\fcs0 \insrsid14636107\charrsid15879488 _x000d__x000a__x000d__x000a_\par }\pard \ltrpar\ql \li0\ri0\widctlpar\wrapdefault\aspalpha\aspnum\faauto\adjustright\rin0\lin0\itap0\pararsid14636107 {\rtlch\fcs1 \af0 \ltrch\fcs0 _x000d__x000a_\cs17\v\fs20\cf9\lang1024\langfe1024\loch\af1\hich\af1\dbch\af31501\noproof\langnp1036\insrsid14636107\charrsid11356624 \hich\af1\dbch\af31501\loch\f1 &lt;Article2&gt;&lt;OptDel&gt;}{\rtlch\fcs1 \af0 \ltrch\fcs0 _x000d__x000a_\lang1036\langfe2057\langnp1036\insrsid14636107\charrsid11356624 [ZACTPART]}{\rtlch\fcs1 \af0 \ltrch\fcs0 \cs17\v\fs20\cf9\lang1024\langfe1024\loch\af1\hich\af1\dbch\af31501\noproof\langnp1036\insrsid14636107\charrsid11356624 _x000d__x000a_\hich\af1\dbch\af31501\loch\f1 &lt;/OptDel&gt;&lt;/Article2&gt;}{\rtlch\fcs1 \af0 \ltrch\fcs0 \lang1036\langfe2057\langnp1036\insrsid1463610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636107\charrsid11356624 \cell }\pard \ltrpar\ql \li0\ri0\widctlpar\intbl\wrapdefault\aspalpha\aspnum\faauto\adjustright\rin0\lin0 {\rtlch\fcs1 \af0 \ltrch\fcs0 \insrsid1463610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636107\charrsid15879488 [ZLEFTB]\cell [ZRIGHT]\cell }\pard\plain \ltrpar\ql \li0\ri0\widctlpar\intbl\wrapdefault\aspalpha\aspnum\faauto\adjustright\rin0\lin0 \rtlch\fcs1 \af0\afs20\alang1025 \ltrch\fcs0 _x000d__x000a_\fs24\lang2057\langfe2057\cgrid\langnp2057\langfenp2057 {\rtlch\fcs1 \af0 \ltrch\fcs0 \insrsid1463610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636107\charrsid15879488 [ZTEXTL]\cell [ZTEXTR]}{\rtlch\fcs1 \af0\afs24 \ltrch\fcs0 \insrsid14636107\charrsid15879488 \cell }\pard\plain \ltrpar\ql \li0\ri0\widctlpar\intbl\wrapdefault\aspalpha\aspnum\faauto\adjustright\rin0\lin0 \rtlch\fcs1 _x000d__x000a_\af0\afs20\alang1025 \ltrch\fcs0 \fs24\lang2057\langfe2057\cgrid\langnp2057\langfenp2057 {\rtlch\fcs1 \af0 \ltrch\fcs0 \insrsid1463610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636107 \rtlch\fcs1 \af0\afs20\alang1025 \ltrch\fcs0 \i\fs24\lang2057\langfe2057\cgrid\langnp2057\langfenp2057 {\rtlch\fcs1 \af0 \ltrch\fcs0 _x000d__x000a_\cs17\i0\v\fs20\cf9\lang1024\langfe1024\loch\af1\hich\af1\dbch\af31501\noproof\insrsid14636107\charrsid15879488 \hich\af1\dbch\af31501\loch\f1 &lt;OptDel&gt;}{\rtlch\fcs1 \af0 \ltrch\fcs0 \insrsid14636107\charrsid15879488 [ZCROSSREF]}{\rtlch\fcs1 \af0 _x000d__x000a_\ltrch\fcs0 \cs17\i0\v\fs20\cf9\lang1024\langfe1024\loch\af1\hich\af1\dbch\af31501\noproof\insrsid14636107\charrsid15879488 \hich\af1\dbch\af31501\loch\f1 &lt;/OptDel&gt;}{\rtlch\fcs1 \af0 \ltrch\fcs0 \insrsid14636107\charrsid15879488 _x000d__x000a_\par }\pard\plain \ltrpar\s22\qc \li0\ri0\sb240\sa240\keepn\nowidctlpar\wrapdefault\aspalpha\aspnum\faauto\adjustright\rin0\lin0\itap0\pararsid14636107 \rtlch\fcs1 \af0\afs20\alang1025 \ltrch\fcs0 \i\fs24\lang2057\langfe2057\cgrid\langnp2057\langfenp2057 {_x000d__x000a_\rtlch\fcs1 \af0 \ltrch\fcs0 \cs17\i0\v\fs20\cf9\lang1024\langfe1024\loch\af1\hich\af1\dbch\af31501\noproof\insrsid14636107\charrsid15879488 \hich\af1\dbch\af31501\loch\f1 &lt;TitreJust&gt;}{\rtlch\fcs1 \af0 \ltrch\fcs0 \insrsid14636107\charrsid15879488 _x000d__x000a_[ZJUSTIFICATION]}{\rtlch\fcs1 \af0 \ltrch\fcs0 \cs17\i0\v\fs20\cf9\lang1024\langfe1024\loch\af1\hich\af1\dbch\af31501\noproof\insrsid14636107\charrsid15879488 \hich\af1\dbch\af31501\loch\f1 &lt;/TitreJust&gt;}{\rtlch\fcs1 \af0 \ltrch\fcs0 _x000d__x000a_\insrsid14636107\charrsid15879488 _x000d__x000a_\par }\pard\plain \ltrpar\s20\ql \li0\ri0\sa240\nowidctlpar\wrapdefault\aspalpha\aspnum\faauto\adjustright\rin0\lin0\itap0\pararsid14636107 \rtlch\fcs1 \af0\afs20\alang1025 \ltrch\fcs0 \i\fs24\lang2057\langfe2057\cgrid\langnp2057\langfenp2057 {\rtlch\fcs1 _x000d__x000a_\af0 \ltrch\fcs0 \cs17\i0\v\fs20\cf9\lang1024\langfe1024\loch\af1\hich\af1\dbch\af31501\noproof\insrsid14636107\charrsid15879488 \hich\af1\dbch\af31501\loch\f1 &lt;OptDelPrev&gt;}{\rtlch\fcs1 \af0 \ltrch\fcs0 \insrsid14636107\charrsid15879488 [ZTEXTJUST]}{_x000d__x000a_\rtlch\fcs1 \af0 \ltrch\fcs0 \cs17\i0\v\fs20\cf9\lang1024\langfe1024\loch\af1\hich\af1\dbch\af31501\noproof\insrsid14636107\charrsid15879488 \hich\af1\dbch\af31501\loch\f1 &lt;/OptDelPrev&gt;}{\rtlch\fcs1 \af0 \ltrch\fcs0 \insrsid14636107\charrsid15879488 _x000d__x000a__x000d__x000a_\par }\pard\plain \ltrpar\ql \li0\ri0\widctlpar\wrapdefault\aspalpha\aspnum\faauto\adjustright\rin0\lin0\itap0\pararsid14636107 \rtlch\fcs1 \af0\afs20\alang1025 \ltrch\fcs0 \fs24\lang2057\langfe2057\cgrid\langnp2057\langfenp2057 {\rtlch\fcs1 \af0 \ltrch\fcs0 _x000d__x000a_\cs17\v\fs20\cf9\lang1024\langfe1024\loch\af1\hich\af1\dbch\af31501\noproof\insrsid14636107\charrsid15879488 \hich\af1\dbch\af31501\loch\f1 &lt;/AmendB&gt;}{\rtlch\fcs1 \af0 \ltrch\fcs0 \insrsid1463610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a_x000d__x000a_0f9ace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24"/>
    <w:docVar w:name="TITLECODMNU" w:val=" 1"/>
    <w:docVar w:name="TVTAMPART" w:val="xx"/>
    <w:docVar w:name="TXTAUTHOR" w:val="Emil Radev"/>
    <w:docVar w:name="TXTLANGUE" w:val="EN"/>
    <w:docVar w:name="TXTLANGUEMIN" w:val="en"/>
    <w:docVar w:name="TXTNRC" w:val="0219/2023"/>
    <w:docVar w:name="TXTNRCOM" w:val="(2023)0369"/>
    <w:docVar w:name="TXTNRFIRSTAM" w:val="1"/>
    <w:docVar w:name="TXTNRLASTAM" w:val="1"/>
    <w:docVar w:name="TXTNRPE" w:val="775.581"/>
    <w:docVar w:name="TXTNRPROC" w:val="2023/0212"/>
    <w:docVar w:name="TXTPEorAP" w:val="PE"/>
    <w:docVar w:name="TXTROUTE" w:val="AD\1324704EN.docx"/>
    <w:docVar w:name="TXTVERSION" w:val="01-00"/>
  </w:docVars>
  <w:rsids>
    <w:rsidRoot w:val="00490684"/>
    <w:rsid w:val="00026559"/>
    <w:rsid w:val="00027FA8"/>
    <w:rsid w:val="0004474F"/>
    <w:rsid w:val="000462E9"/>
    <w:rsid w:val="00082EC4"/>
    <w:rsid w:val="000D44A6"/>
    <w:rsid w:val="00122C05"/>
    <w:rsid w:val="00134974"/>
    <w:rsid w:val="00141CD7"/>
    <w:rsid w:val="00147FBF"/>
    <w:rsid w:val="001616BD"/>
    <w:rsid w:val="001820A9"/>
    <w:rsid w:val="001A0556"/>
    <w:rsid w:val="001B0A1E"/>
    <w:rsid w:val="001C0886"/>
    <w:rsid w:val="001D5154"/>
    <w:rsid w:val="001E3AC4"/>
    <w:rsid w:val="0020077A"/>
    <w:rsid w:val="00207509"/>
    <w:rsid w:val="0023131B"/>
    <w:rsid w:val="002859E2"/>
    <w:rsid w:val="002A67EE"/>
    <w:rsid w:val="002F7FE1"/>
    <w:rsid w:val="00304EA8"/>
    <w:rsid w:val="00334351"/>
    <w:rsid w:val="00341A99"/>
    <w:rsid w:val="00360FAA"/>
    <w:rsid w:val="003746B8"/>
    <w:rsid w:val="0038294E"/>
    <w:rsid w:val="003858C5"/>
    <w:rsid w:val="00386BA4"/>
    <w:rsid w:val="003A2F84"/>
    <w:rsid w:val="003C7390"/>
    <w:rsid w:val="003E1280"/>
    <w:rsid w:val="003F128E"/>
    <w:rsid w:val="0040055C"/>
    <w:rsid w:val="00485665"/>
    <w:rsid w:val="00487596"/>
    <w:rsid w:val="00490684"/>
    <w:rsid w:val="004B3A53"/>
    <w:rsid w:val="004C2A0D"/>
    <w:rsid w:val="004F1D2F"/>
    <w:rsid w:val="004F4E1E"/>
    <w:rsid w:val="00502B76"/>
    <w:rsid w:val="00513F6F"/>
    <w:rsid w:val="00522B51"/>
    <w:rsid w:val="00524707"/>
    <w:rsid w:val="005539B7"/>
    <w:rsid w:val="00571233"/>
    <w:rsid w:val="005956AA"/>
    <w:rsid w:val="005B39A1"/>
    <w:rsid w:val="005C1181"/>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86C4C"/>
    <w:rsid w:val="009E7319"/>
    <w:rsid w:val="009F25C0"/>
    <w:rsid w:val="00A71228"/>
    <w:rsid w:val="00A74E25"/>
    <w:rsid w:val="00AC2A60"/>
    <w:rsid w:val="00AD49D0"/>
    <w:rsid w:val="00B00EE6"/>
    <w:rsid w:val="00B029A7"/>
    <w:rsid w:val="00B476DC"/>
    <w:rsid w:val="00B556CD"/>
    <w:rsid w:val="00B62D4B"/>
    <w:rsid w:val="00B735E3"/>
    <w:rsid w:val="00B7675B"/>
    <w:rsid w:val="00B904FA"/>
    <w:rsid w:val="00BA3E40"/>
    <w:rsid w:val="00BD1F76"/>
    <w:rsid w:val="00BE20CF"/>
    <w:rsid w:val="00BE579D"/>
    <w:rsid w:val="00BF0C44"/>
    <w:rsid w:val="00C22327"/>
    <w:rsid w:val="00C335C6"/>
    <w:rsid w:val="00C36610"/>
    <w:rsid w:val="00C4219C"/>
    <w:rsid w:val="00C52A28"/>
    <w:rsid w:val="00C709B7"/>
    <w:rsid w:val="00C75E98"/>
    <w:rsid w:val="00C81C5B"/>
    <w:rsid w:val="00C83B35"/>
    <w:rsid w:val="00CD4F82"/>
    <w:rsid w:val="00D218FB"/>
    <w:rsid w:val="00D25CF2"/>
    <w:rsid w:val="00D56CE0"/>
    <w:rsid w:val="00D6254D"/>
    <w:rsid w:val="00D67D0A"/>
    <w:rsid w:val="00D74FD1"/>
    <w:rsid w:val="00D943A5"/>
    <w:rsid w:val="00D9581F"/>
    <w:rsid w:val="00DB56E4"/>
    <w:rsid w:val="00E27F01"/>
    <w:rsid w:val="00E77FF5"/>
    <w:rsid w:val="00E94D64"/>
    <w:rsid w:val="00EA09B2"/>
    <w:rsid w:val="00EA3802"/>
    <w:rsid w:val="00EE5AAA"/>
    <w:rsid w:val="00EF1432"/>
    <w:rsid w:val="00EF33D5"/>
    <w:rsid w:val="00F15744"/>
    <w:rsid w:val="00F24D40"/>
    <w:rsid w:val="00FB2838"/>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D7A51"/>
  <w15:chartTrackingRefBased/>
  <w15:docId w15:val="{FB1D7F45-E976-469E-AA39-83802C678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2F7FE1"/>
    <w:pPr>
      <w:spacing w:after="120"/>
    </w:pPr>
    <w:rPr>
      <w:szCs w:val="20"/>
    </w:rPr>
  </w:style>
  <w:style w:type="character" w:customStyle="1" w:styleId="NormalBoldChar">
    <w:name w:val="NormalBold Char"/>
    <w:basedOn w:val="DefaultParagraphFont"/>
    <w:link w:val="NormalBold"/>
    <w:rsid w:val="002F7FE1"/>
    <w:rPr>
      <w:b/>
      <w:sz w:val="24"/>
    </w:rPr>
  </w:style>
  <w:style w:type="character" w:customStyle="1" w:styleId="Normal6Char">
    <w:name w:val="Normal6 Char"/>
    <w:basedOn w:val="DefaultParagraphFont"/>
    <w:link w:val="Normal6"/>
    <w:rsid w:val="002F7FE1"/>
    <w:rPr>
      <w:sz w:val="24"/>
      <w:lang w:val="pl-PL"/>
    </w:rPr>
  </w:style>
  <w:style w:type="paragraph" w:customStyle="1" w:styleId="ColumnHeading">
    <w:name w:val="ColumnHeading"/>
    <w:basedOn w:val="Normal"/>
    <w:rsid w:val="002F7FE1"/>
    <w:pPr>
      <w:spacing w:after="240"/>
      <w:jc w:val="center"/>
    </w:pPr>
    <w:rPr>
      <w:i/>
      <w:szCs w:val="20"/>
    </w:rPr>
  </w:style>
  <w:style w:type="paragraph" w:customStyle="1" w:styleId="AMNumberTabs0">
    <w:name w:val="AMNumberTabs"/>
    <w:basedOn w:val="Normal"/>
    <w:rsid w:val="002F7F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2F7FE1"/>
    <w:pPr>
      <w:jc w:val="right"/>
    </w:pPr>
  </w:style>
  <w:style w:type="paragraph" w:customStyle="1" w:styleId="Normal24a">
    <w:name w:val="Normal24a"/>
    <w:basedOn w:val="Normal"/>
    <w:rsid w:val="002F7FE1"/>
    <w:pPr>
      <w:spacing w:after="480"/>
    </w:pPr>
    <w:rPr>
      <w:szCs w:val="20"/>
    </w:rPr>
  </w:style>
  <w:style w:type="paragraph" w:customStyle="1" w:styleId="NormalBoldCenter">
    <w:name w:val="NormalBoldCenter"/>
    <w:basedOn w:val="Normal"/>
    <w:rsid w:val="002F7FE1"/>
    <w:pPr>
      <w:jc w:val="center"/>
    </w:pPr>
    <w:rPr>
      <w:b/>
      <w:szCs w:val="20"/>
    </w:rPr>
  </w:style>
  <w:style w:type="paragraph" w:styleId="Footer">
    <w:name w:val="footer"/>
    <w:basedOn w:val="Normal"/>
    <w:link w:val="FooterChar"/>
    <w:rsid w:val="002F7FE1"/>
    <w:pPr>
      <w:tabs>
        <w:tab w:val="center" w:pos="4513"/>
        <w:tab w:val="right" w:pos="9026"/>
      </w:tabs>
    </w:pPr>
  </w:style>
  <w:style w:type="character" w:customStyle="1" w:styleId="FooterChar">
    <w:name w:val="Footer Char"/>
    <w:basedOn w:val="DefaultParagraphFont"/>
    <w:link w:val="Footer"/>
    <w:rsid w:val="002F7FE1"/>
    <w:rPr>
      <w:sz w:val="24"/>
      <w:szCs w:val="24"/>
    </w:rPr>
  </w:style>
  <w:style w:type="paragraph" w:customStyle="1" w:styleId="RollCallSymbols14pt">
    <w:name w:val="RollCallSymbols14pt"/>
    <w:basedOn w:val="Normal"/>
    <w:rsid w:val="002F7FE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2F7FE1"/>
    <w:pPr>
      <w:tabs>
        <w:tab w:val="center" w:pos="284"/>
        <w:tab w:val="left" w:pos="426"/>
      </w:tabs>
    </w:pPr>
    <w:rPr>
      <w:snapToGrid w:val="0"/>
      <w:szCs w:val="20"/>
      <w:lang w:eastAsia="en-US"/>
    </w:rPr>
  </w:style>
  <w:style w:type="paragraph" w:customStyle="1" w:styleId="RollCallVotes">
    <w:name w:val="RollCallVotes"/>
    <w:basedOn w:val="Normal"/>
    <w:rsid w:val="002F7FE1"/>
    <w:pPr>
      <w:spacing w:before="120" w:after="120"/>
      <w:jc w:val="center"/>
    </w:pPr>
    <w:rPr>
      <w:b/>
      <w:bCs/>
      <w:snapToGrid w:val="0"/>
      <w:sz w:val="16"/>
      <w:szCs w:val="20"/>
      <w:lang w:eastAsia="en-US"/>
    </w:rPr>
  </w:style>
  <w:style w:type="paragraph" w:customStyle="1" w:styleId="RollCallTable">
    <w:name w:val="RollCallTable"/>
    <w:basedOn w:val="Normal"/>
    <w:rsid w:val="002F7FE1"/>
    <w:pPr>
      <w:spacing w:before="120" w:after="120"/>
    </w:pPr>
    <w:rPr>
      <w:snapToGrid w:val="0"/>
      <w:sz w:val="16"/>
      <w:szCs w:val="20"/>
      <w:lang w:eastAsia="en-US"/>
    </w:rPr>
  </w:style>
  <w:style w:type="paragraph" w:customStyle="1" w:styleId="msonormal0">
    <w:name w:val="msonormal"/>
    <w:basedOn w:val="Normal"/>
    <w:rsid w:val="002F7FE1"/>
    <w:pPr>
      <w:widowControl/>
      <w:spacing w:before="100" w:beforeAutospacing="1" w:after="100" w:afterAutospacing="1"/>
    </w:pPr>
  </w:style>
  <w:style w:type="character" w:customStyle="1" w:styleId="Normal12Char">
    <w:name w:val="Normal12 Char"/>
    <w:basedOn w:val="DefaultParagraphFont"/>
    <w:link w:val="Normal12"/>
    <w:locked/>
    <w:rsid w:val="002F7FE1"/>
    <w:rPr>
      <w:noProof/>
      <w:sz w:val="24"/>
    </w:rPr>
  </w:style>
  <w:style w:type="paragraph" w:customStyle="1" w:styleId="Normal12">
    <w:name w:val="Normal12"/>
    <w:basedOn w:val="Normal"/>
    <w:link w:val="Normal12Char"/>
    <w:rsid w:val="002F7FE1"/>
    <w:pPr>
      <w:spacing w:after="240"/>
    </w:pPr>
    <w:rPr>
      <w:noProof/>
      <w:szCs w:val="20"/>
    </w:rPr>
  </w:style>
  <w:style w:type="paragraph" w:customStyle="1" w:styleId="CommitteeAM">
    <w:name w:val="CommitteeAM"/>
    <w:basedOn w:val="Normal"/>
    <w:rsid w:val="002F7FE1"/>
    <w:pPr>
      <w:spacing w:before="240" w:after="600"/>
      <w:jc w:val="center"/>
    </w:pPr>
    <w:rPr>
      <w:i/>
      <w:szCs w:val="20"/>
    </w:rPr>
  </w:style>
  <w:style w:type="paragraph" w:customStyle="1" w:styleId="ZDateAM">
    <w:name w:val="ZDateAM"/>
    <w:basedOn w:val="Normal"/>
    <w:rsid w:val="002F7FE1"/>
    <w:pPr>
      <w:tabs>
        <w:tab w:val="right" w:pos="9356"/>
      </w:tabs>
      <w:spacing w:after="480"/>
    </w:pPr>
    <w:rPr>
      <w:noProof/>
      <w:szCs w:val="20"/>
    </w:rPr>
  </w:style>
  <w:style w:type="paragraph" w:customStyle="1" w:styleId="ProjRap">
    <w:name w:val="ProjRap"/>
    <w:basedOn w:val="Normal"/>
    <w:rsid w:val="002F7FE1"/>
    <w:pPr>
      <w:tabs>
        <w:tab w:val="right" w:pos="9356"/>
      </w:tabs>
    </w:pPr>
    <w:rPr>
      <w:b/>
      <w:noProof/>
      <w:szCs w:val="20"/>
    </w:rPr>
  </w:style>
  <w:style w:type="paragraph" w:customStyle="1" w:styleId="PELeft">
    <w:name w:val="PELeft"/>
    <w:basedOn w:val="Normal"/>
    <w:rsid w:val="002F7FE1"/>
    <w:pPr>
      <w:spacing w:before="40" w:after="40"/>
    </w:pPr>
    <w:rPr>
      <w:rFonts w:ascii="Arial" w:hAnsi="Arial" w:cs="Arial"/>
      <w:sz w:val="22"/>
      <w:szCs w:val="22"/>
    </w:rPr>
  </w:style>
  <w:style w:type="paragraph" w:customStyle="1" w:styleId="PERight">
    <w:name w:val="PERight"/>
    <w:basedOn w:val="Normal"/>
    <w:next w:val="Normal"/>
    <w:rsid w:val="002F7FE1"/>
    <w:pPr>
      <w:jc w:val="right"/>
    </w:pPr>
    <w:rPr>
      <w:rFonts w:ascii="Arial" w:hAnsi="Arial" w:cs="Arial"/>
      <w:sz w:val="22"/>
      <w:szCs w:val="22"/>
    </w:rPr>
  </w:style>
  <w:style w:type="paragraph" w:customStyle="1" w:styleId="Normal12Italic">
    <w:name w:val="Normal12Italic"/>
    <w:basedOn w:val="Normal12"/>
    <w:rsid w:val="002F7FE1"/>
    <w:rPr>
      <w:i/>
    </w:rPr>
  </w:style>
  <w:style w:type="paragraph" w:customStyle="1" w:styleId="JustificationTitle">
    <w:name w:val="JustificationTitle"/>
    <w:basedOn w:val="Normal"/>
    <w:next w:val="Normal12"/>
    <w:rsid w:val="002F7FE1"/>
    <w:pPr>
      <w:keepNext/>
      <w:spacing w:before="240" w:after="240"/>
      <w:jc w:val="center"/>
    </w:pPr>
    <w:rPr>
      <w:i/>
      <w:noProof/>
      <w:szCs w:val="20"/>
    </w:rPr>
  </w:style>
  <w:style w:type="paragraph" w:customStyle="1" w:styleId="CrossRef">
    <w:name w:val="CrossRef"/>
    <w:basedOn w:val="Normal"/>
    <w:rsid w:val="002F7FE1"/>
    <w:pPr>
      <w:spacing w:before="240"/>
      <w:jc w:val="center"/>
    </w:pPr>
    <w:rPr>
      <w:i/>
      <w:szCs w:val="20"/>
    </w:rPr>
  </w:style>
  <w:style w:type="paragraph" w:customStyle="1" w:styleId="Footer2">
    <w:name w:val="Footer2"/>
    <w:basedOn w:val="Normal12"/>
    <w:rsid w:val="002F7FE1"/>
    <w:pPr>
      <w:tabs>
        <w:tab w:val="center" w:pos="4535"/>
        <w:tab w:val="right" w:pos="9923"/>
      </w:tabs>
      <w:spacing w:line="480" w:lineRule="auto"/>
      <w:ind w:left="-851"/>
    </w:pPr>
    <w:rPr>
      <w:rFonts w:ascii="Arial" w:cs="Arial"/>
      <w:b/>
      <w:sz w:val="48"/>
    </w:rPr>
  </w:style>
  <w:style w:type="character" w:customStyle="1" w:styleId="Footer2Middle">
    <w:name w:val="Footer2Middle"/>
    <w:rsid w:val="002F7FE1"/>
    <w:rPr>
      <w:rFonts w:ascii="Arial" w:hAnsi="Arial" w:cs="Arial" w:hint="default"/>
      <w:b w:val="0"/>
      <w:bCs w:val="0"/>
      <w:i/>
      <w:iCs w:val="0"/>
      <w:color w:val="C0C0C0"/>
      <w:sz w:val="22"/>
    </w:rPr>
  </w:style>
  <w:style w:type="paragraph" w:customStyle="1" w:styleId="EntPE">
    <w:name w:val="EntPE"/>
    <w:basedOn w:val="Normal12"/>
    <w:rsid w:val="002F7FE1"/>
    <w:pPr>
      <w:jc w:val="center"/>
    </w:pPr>
    <w:rPr>
      <w:noProof w:val="0"/>
      <w:sz w:val="56"/>
    </w:rPr>
  </w:style>
  <w:style w:type="paragraph" w:customStyle="1" w:styleId="Footprint12b">
    <w:name w:val="Footprint12b"/>
    <w:basedOn w:val="Normal"/>
    <w:rsid w:val="002F7FE1"/>
    <w:pPr>
      <w:spacing w:before="240"/>
    </w:pPr>
  </w:style>
  <w:style w:type="paragraph" w:customStyle="1" w:styleId="NormalSingle">
    <w:name w:val="NormalSingle"/>
    <w:basedOn w:val="Normal"/>
    <w:qFormat/>
    <w:rsid w:val="002F7FE1"/>
  </w:style>
  <w:style w:type="paragraph" w:styleId="FootnoteText">
    <w:name w:val="footnote text"/>
    <w:basedOn w:val="Normal"/>
    <w:link w:val="FootnoteTextChar"/>
    <w:rsid w:val="002F7FE1"/>
    <w:rPr>
      <w:sz w:val="20"/>
      <w:szCs w:val="20"/>
    </w:rPr>
  </w:style>
  <w:style w:type="character" w:customStyle="1" w:styleId="FootnoteTextChar">
    <w:name w:val="Footnote Text Char"/>
    <w:basedOn w:val="DefaultParagraphFont"/>
    <w:link w:val="FootnoteText"/>
    <w:rsid w:val="002F7FE1"/>
  </w:style>
  <w:style w:type="character" w:styleId="FootnoteReference">
    <w:name w:val="footnote reference"/>
    <w:basedOn w:val="DefaultParagraphFont"/>
    <w:rsid w:val="002F7FE1"/>
    <w:rPr>
      <w:vertAlign w:val="superscript"/>
    </w:rPr>
  </w:style>
  <w:style w:type="character" w:styleId="Hyperlink">
    <w:name w:val="Hyperlink"/>
    <w:basedOn w:val="DefaultParagraphFont"/>
    <w:rsid w:val="002F7F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0FA68-7532-47E1-B37E-598EB57F2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20592</Words>
  <Characters>136732</Characters>
  <Application>Microsoft Office Word</Application>
  <DocSecurity>0</DocSecurity>
  <Lines>5258</Lines>
  <Paragraphs>1140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156184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2025-08-06T14:44:00Z</dcterms:created>
  <dcterms:modified xsi:type="dcterms:W3CDTF">2025-08-06T14:44:00Z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1324704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\\eiciBRUpr1\pdocep$\DocEP\TRANSFIL\EN\PA_Legam.EN(30/08/2024 13:03:01)</vt:lpwstr>
  </property>
  <property fmtid="{D5CDD505-2E9C-101B-9397-08002B2CF9AE}" pid="7" name="&lt;Type&gt;">
    <vt:lpwstr>AD</vt:lpwstr>
  </property>
  <property fmtid="{D5CDD505-2E9C-101B-9397-08002B2CF9AE}" pid="8" name="Created with">
    <vt:lpwstr>10.1.2 Build [20250615]</vt:lpwstr>
  </property>
  <property fmtid="{D5CDD505-2E9C-101B-9397-08002B2CF9AE}" pid="9" name="FooterPath">
    <vt:lpwstr>AD\1324704PL.docx</vt:lpwstr>
  </property>
  <property fmtid="{D5CDD505-2E9C-101B-9397-08002B2CF9AE}" pid="10" name="LastEdited with">
    <vt:lpwstr>10.1.2 Build [20250615]</vt:lpwstr>
  </property>
  <property fmtid="{D5CDD505-2E9C-101B-9397-08002B2CF9AE}" pid="11" name="PE number">
    <vt:lpwstr>775.581</vt:lpwstr>
  </property>
  <property fmtid="{D5CDD505-2E9C-101B-9397-08002B2CF9AE}" pid="12" name="SDLStudio">
    <vt:lpwstr/>
  </property>
  <property fmtid="{D5CDD505-2E9C-101B-9397-08002B2CF9AE}" pid="13" name="SendToEpades">
    <vt:lpwstr>OK - 2025/07/15 17:11</vt:lpwstr>
  </property>
  <property fmtid="{D5CDD505-2E9C-101B-9397-08002B2CF9AE}" pid="14" name="Bookout">
    <vt:lpwstr>OK(HDG) - 2025/08/06 16:42</vt:lpwstr>
  </property>
</Properties>
</file>