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Europa-Parlamentet</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1.46pt">
                  <v:imagedata r:id="rId5" o:title=""/>
                </v:shape>
              </w:pict>
            </w:r>
          </w:p>
        </w:tc>
      </w:tr>
    </w:tbl>
    <w:p>
      <w:pPr>
        <w:pStyle w:val="LineTop"/>
      </w:pPr>
      <w:r>
        <w:t xml:space="preserve"> </w:t>
      </w:r>
    </w:p>
    <w:p>
      <w:pPr>
        <w:pStyle w:val="EPBody"/>
      </w:pPr>
      <w:r>
        <w:rPr>
          <w:rStyle w:val="HideTWBExt"/>
        </w:rPr>
        <w:t>&lt;Commission&gt;</w:t>
      </w:r>
      <w:r>
        <w:rPr>
          <w:rStyle w:val="HideTWBInt"/>
        </w:rPr>
        <w:t>{LIBE}</w:t>
      </w:r>
      <w:r>
        <w:t>Udvalget om Borgernes Rettigheder og Retlige og Indre Anliggender</w:t>
      </w:r>
      <w:r>
        <w:rPr>
          <w:rStyle w:val="HideTWBExt"/>
        </w:rPr>
        <w:t>&lt;/Commission&gt;</w:t>
      </w:r>
    </w:p>
    <w:p>
      <w:pPr>
        <w:pStyle w:val="LineBottom"/>
      </w:pPr>
      <w:r>
        <w:t xml:space="preserve"> </w:t>
      </w:r>
    </w:p>
    <w:p>
      <w:pPr>
        <w:pStyle w:val="CoverReference"/>
      </w:pPr>
      <w:r>
        <w:rPr>
          <w:rStyle w:val="HideTWBExt"/>
        </w:rPr>
        <w:t>&lt;RefProc&gt;</w:t>
      </w:r>
      <w:r>
        <w:t>2025/2061</w:t>
      </w:r>
      <w:r>
        <w:rPr>
          <w:rStyle w:val="HideTWBExt"/>
        </w:rPr>
        <w:t>&lt;/RefProc&gt;</w:t>
      </w:r>
      <w:r>
        <w:rPr>
          <w:rStyle w:val="HideTWBExt"/>
        </w:rPr>
        <w:t>&lt;RefTypeProc&gt;</w:t>
      </w:r>
      <w:r>
        <w:t>(INI)</w:t>
      </w:r>
      <w:r>
        <w:rPr>
          <w:rStyle w:val="HideTWBExt"/>
        </w:rPr>
        <w:t>&lt;/RefTypeProc&gt;</w:t>
      </w:r>
    </w:p>
    <w:p>
      <w:pPr>
        <w:pStyle w:val="CoverDate"/>
      </w:pPr>
      <w:r>
        <w:rPr>
          <w:rStyle w:val="HideTWBExt"/>
        </w:rPr>
        <w:t>&lt;Date&gt;</w:t>
      </w:r>
      <w:r>
        <w:rPr>
          <w:rStyle w:val="HideTWBInt"/>
        </w:rPr>
        <w:t>{06/11/2025}</w:t>
      </w:r>
      <w:r>
        <w:t>6.11.2025</w:t>
      </w:r>
      <w:r>
        <w:rPr>
          <w:rStyle w:val="HideTWBExt"/>
        </w:rPr>
        <w:t>&lt;/Date&gt;</w:t>
      </w:r>
    </w:p>
    <w:p>
      <w:pPr>
        <w:pStyle w:val="CoverDocType24a"/>
      </w:pPr>
      <w:r>
        <w:rPr>
          <w:rStyle w:val="HideTWBExt"/>
        </w:rPr>
        <w:t>&lt;TitreType&gt;</w:t>
      </w:r>
      <w:r>
        <w:t>UDTALELSE</w:t>
      </w:r>
      <w:r>
        <w:rPr>
          <w:rStyle w:val="HideTWBExt"/>
        </w:rPr>
        <w:t>&lt;/TitreType&gt;</w:t>
      </w:r>
    </w:p>
    <w:p>
      <w:pPr>
        <w:pStyle w:val="CoverNormal24a"/>
      </w:pPr>
      <w:r>
        <w:rPr>
          <w:rStyle w:val="HideTWBExt"/>
        </w:rPr>
        <w:t>&lt;CommissionResp&gt;</w:t>
      </w:r>
      <w:r>
        <w:t>fra Udvalget om Borgernes Rettigheder og Retlige og Indre Anliggender</w:t>
      </w:r>
      <w:r>
        <w:rPr>
          <w:rStyle w:val="HideTWBExt"/>
        </w:rPr>
        <w:t>&lt;/CommissionResp&gt;</w:t>
      </w:r>
    </w:p>
    <w:p>
      <w:pPr>
        <w:pStyle w:val="CoverNormal24a"/>
      </w:pPr>
      <w:r>
        <w:rPr>
          <w:rStyle w:val="HideTWBExt"/>
        </w:rPr>
        <w:t>&lt;CommissionInt&gt;</w:t>
      </w:r>
      <w:r>
        <w:t>til Budgetudvalget og Budgetkontroludvalget</w:t>
      </w:r>
      <w:r>
        <w:rPr>
          <w:rStyle w:val="HideTWBExt"/>
        </w:rPr>
        <w:t>&lt;/CommissionInt&gt;</w:t>
      </w:r>
    </w:p>
    <w:p>
      <w:pPr>
        <w:pStyle w:val="CoverNormal"/>
      </w:pPr>
      <w:r>
        <w:rPr>
          <w:rStyle w:val="HideTWBExt"/>
        </w:rPr>
        <w:t>&lt;Titre&gt;</w:t>
      </w:r>
      <w:r>
        <w:t>om gennemførelsen af ordningen med konditionalitet vedrørende retsstatsprincippet</w:t>
      </w:r>
      <w:r>
        <w:rPr>
          <w:rStyle w:val="HideTWBExt"/>
        </w:rPr>
        <w:t>&lt;/Titre&gt;</w:t>
      </w:r>
    </w:p>
    <w:p>
      <w:pPr>
        <w:pStyle w:val="CoverNormal24a"/>
      </w:pPr>
      <w:r>
        <w:rPr>
          <w:rStyle w:val="HideTWBExt"/>
        </w:rPr>
        <w:t>&lt;DocRef&gt;</w:t>
      </w:r>
      <w:r>
        <w:t>(2025/2061(INI))</w:t>
      </w:r>
      <w:r>
        <w:rPr>
          <w:rStyle w:val="HideTWBExt"/>
        </w:rPr>
        <w:t>&lt;/DocRef&gt;</w:t>
      </w:r>
    </w:p>
    <w:p>
      <w:pPr>
        <w:pStyle w:val="CoverNormal24a"/>
      </w:pPr>
      <w:r>
        <w:t>Ordfører for udtalelse</w:t>
      </w:r>
      <w:r>
        <w:t xml:space="preserve">: </w:t>
      </w:r>
      <w:r>
        <w:rPr>
          <w:rStyle w:val="HideTWBExt"/>
        </w:rPr>
        <w:t>&lt;Depute&gt;</w:t>
      </w:r>
      <w:r>
        <w:t>Michał Wawrykiewicz</w:t>
      </w:r>
      <w:r>
        <w:rPr>
          <w:rStyle w:val="HideTWBExt"/>
        </w:rPr>
        <w:t>&lt;/Depute&gt;</w:t>
      </w:r>
    </w:p>
    <w:p>
      <w:r>
        <w:br w:type="page"/>
      </w:r>
      <w:r>
        <w:t>PA_NonLeg</w:t>
      </w:r>
    </w:p>
    <w:p>
      <w:pPr>
        <w:sectPr>
          <w:footerReference w:type="even" r:id="rId6"/>
          <w:footerReference w:type="default" r:id="rId7"/>
          <w:footerReference w:type="first" r:id="rId8"/>
          <w:footnotePr>
            <w:numRestart w:val="eachSect"/>
          </w:footnotePr>
          <w:pgSz w:w="11909" w:h="16834"/>
          <w:pgMar w:top="1134" w:right="1417" w:bottom="1417" w:left="1417" w:header="1134" w:footer="567"/>
          <w:cols w:space="720"/>
          <w:titlePg/>
        </w:sectPr>
      </w:pPr>
    </w:p>
    <w:p>
      <w:pPr>
        <w:pStyle w:val="PageHeadingNotTOC"/>
      </w:pPr>
      <w:r>
        <w:t>ÆNDRINGSFORSLAG</w:t>
      </w:r>
    </w:p>
    <w:p>
      <w:pPr>
        <w:pStyle w:val="Normal12a"/>
      </w:pPr>
      <w:r>
        <w:t>Udvalget om Borgernes Rettigheder og Retlige og Indre Anliggender</w:t>
      </w:r>
      <w:r>
        <w:t xml:space="preserve"> forelægger</w:t>
      </w:r>
      <w:r>
        <w:t xml:space="preserve"> Budgetudvalget og Budgetkontroludvalget, som er korresponderende udvalg, følgende</w:t>
      </w:r>
      <w:r>
        <w:t>:</w:t>
      </w:r>
    </w:p>
    <w:p>
      <w:pPr>
        <w:pStyle w:val="AmNumberTabs"/>
      </w:pPr>
      <w:r>
        <w:rPr>
          <w:rStyle w:val="HideTWBExt"/>
        </w:rPr>
        <w:t>&lt;RepeatBlock-Amend&gt;</w:t>
      </w:r>
      <w:r>
        <w:rPr>
          <w:rStyle w:val="HideTWBExt"/>
        </w:rPr>
        <w:t>&lt;Amend&gt;</w:t>
      </w:r>
      <w:r>
        <w:t>Ændringsforslag</w:t>
      </w:r>
      <w:r>
        <w:tab/>
      </w:r>
      <w:r>
        <w:tab/>
      </w:r>
      <w:r>
        <w:rPr>
          <w:rStyle w:val="HideTWBExt"/>
        </w:rPr>
        <w:t>&lt;NumAm&gt;</w:t>
      </w:r>
      <w:r>
        <w:t>1</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Henvisning 10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Kommissionens forslag af 16. juli 2025 til Europa-Parlamentets og Rådets forordning om oprettelse af Den Europæiske Fond for Økonomisk, Social og Territorial Samhørighed, Landbrug, Landdistrikter, Fiskeri, det Maritime Område, Velstand og Sikkerhed for perioden 2028-2034 og om ændring af forordning (EU) 2023/955 og forordning (EU, Euratom) 2024/2509 (COM(2025)0565)) (udkast til forordning om en national og regional partnerskabsfond (NRPF).</w:t>
            </w:r>
          </w:p>
        </w:tc>
      </w:tr>
    </w:tbl>
    <w:p>
      <w:r>
        <w:rPr>
          <w:rStyle w:val="HideTWBExt"/>
        </w:rPr>
        <w:t>&lt;/Amend&gt;</w:t>
      </w:r>
    </w:p>
    <w:p>
      <w:pPr>
        <w:pStyle w:val="AmNumberTabs"/>
      </w:pPr>
      <w:r>
        <w:rPr>
          <w:rStyle w:val="HideTWBExt"/>
        </w:rPr>
        <w:t>&lt;Amend&gt;</w:t>
      </w:r>
      <w:r>
        <w:t>Ændringsforslag</w:t>
      </w:r>
      <w:r>
        <w:tab/>
      </w:r>
      <w:r>
        <w:tab/>
      </w:r>
      <w:r>
        <w:rPr>
          <w:rStyle w:val="HideTWBExt"/>
        </w:rPr>
        <w:t>&lt;NumAm&gt;</w:t>
      </w:r>
      <w:r>
        <w:t>2</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Henvisning 12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sin beslutning af 24. april 2024 om igangværende høringer inden for rammerne af artikel 7, stk. 1, i TEU vedrørende Ungarn for at styrke retsstatsprincippet og konsekvenserne heraf for budgettet</w:t>
            </w:r>
            <w:r>
              <w:rPr>
                <w:vertAlign w:val="superscript"/>
              </w:rPr>
              <w:t>1a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 xml:space="preserve">EUT C, C/2025/3705, 17.9.2025, ELI: </w:t>
            </w:r>
            <w:r>
              <w:rPr>
                <w:b/>
                <w:i/>
              </w:rPr>
              <w:t>http://data.europa.eu/eli/C/2025/3705/oj</w:t>
            </w:r>
            <w:r>
              <w:rPr>
                <w:b/>
                <w:i/>
              </w:rPr>
              <w:t>.</w:t>
            </w:r>
          </w:p>
        </w:tc>
      </w:tr>
    </w:tbl>
    <w:p>
      <w:r>
        <w:rPr>
          <w:rStyle w:val="HideTWBExt"/>
        </w:rPr>
        <w:t>&lt;/Amend&gt;</w:t>
      </w:r>
    </w:p>
    <w:p>
      <w:pPr>
        <w:pStyle w:val="AmNumberTabs"/>
      </w:pPr>
      <w:r>
        <w:rPr>
          <w:rStyle w:val="HideTWBExt"/>
        </w:rPr>
        <w:t>&lt;Amend&gt;</w:t>
      </w:r>
      <w:r>
        <w:t>Ændringsforslag</w:t>
      </w:r>
      <w:r>
        <w:tab/>
      </w:r>
      <w:r>
        <w:tab/>
      </w:r>
      <w:r>
        <w:rPr>
          <w:rStyle w:val="HideTWBExt"/>
        </w:rPr>
        <w:t>&lt;NumAm&gt;</w:t>
      </w:r>
      <w:r>
        <w:t>3</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Henvisning 12 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sin beslutning af 18. januar 2024 om situationen i Ungarn og indefrosne EU-midler</w:t>
            </w:r>
            <w:r>
              <w:rPr>
                <w:vertAlign w:val="superscript"/>
              </w:rPr>
              <w:t>1a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 xml:space="preserve">EUT C, C/2024/5742, 17.10.2024, ELI: </w:t>
            </w:r>
            <w:r>
              <w:rPr>
                <w:b/>
                <w:i/>
              </w:rPr>
              <w:t>http://data.europa.eu/eli/C/2024/5742/oj</w:t>
            </w:r>
            <w:r>
              <w:rPr>
                <w:b/>
                <w:i/>
              </w:rPr>
              <w:t>.</w:t>
            </w:r>
          </w:p>
        </w:tc>
      </w:tr>
    </w:tbl>
    <w:p>
      <w:r>
        <w:rPr>
          <w:rStyle w:val="HideTWBExt"/>
        </w:rPr>
        <w:t>&lt;/Amend&gt;</w:t>
      </w:r>
    </w:p>
    <w:p>
      <w:pPr>
        <w:pStyle w:val="AmNumberTabs"/>
      </w:pPr>
      <w:r>
        <w:rPr>
          <w:rStyle w:val="HideTWBExt"/>
        </w:rPr>
        <w:t>&lt;Amend&gt;</w:t>
      </w:r>
      <w:r>
        <w:t>Ændringsforslag</w:t>
      </w:r>
      <w:r>
        <w:tab/>
      </w:r>
      <w:r>
        <w:tab/>
      </w:r>
      <w:r>
        <w:rPr>
          <w:rStyle w:val="HideTWBExt"/>
        </w:rPr>
        <w:t>&lt;NumAm&gt;</w:t>
      </w:r>
      <w:r>
        <w:t>4</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Henvisning 14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sin beslutning af 15. september 2022 om forslag til Rådets afgørelse om på grundlag af artikel 7, stk. 1, i traktaten om Den Europæiske Union at fastslå, at der er en klar fare for, at Ungarn groft overtræder de værdier, som Unionen bygger på</w:t>
            </w:r>
            <w:r>
              <w:rPr>
                <w:vertAlign w:val="superscript"/>
              </w:rPr>
              <w:t>1a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EUT C 125 af 5.4.2023, s. 463.</w:t>
            </w:r>
          </w:p>
        </w:tc>
      </w:tr>
    </w:tbl>
    <w:p>
      <w:r>
        <w:rPr>
          <w:rStyle w:val="HideTWBExt"/>
        </w:rPr>
        <w:t>&lt;/Amend&gt;</w:t>
      </w:r>
    </w:p>
    <w:p>
      <w:pPr>
        <w:pStyle w:val="AmNumberTabs"/>
      </w:pPr>
      <w:r>
        <w:rPr>
          <w:rStyle w:val="HideTWBExt"/>
        </w:rPr>
        <w:t>&lt;Amend&gt;</w:t>
      </w:r>
      <w:r>
        <w:t>Ændringsforslag</w:t>
      </w:r>
      <w:r>
        <w:tab/>
      </w:r>
      <w:r>
        <w:tab/>
      </w:r>
      <w:r>
        <w:rPr>
          <w:rStyle w:val="HideTWBExt"/>
        </w:rPr>
        <w:t>&lt;NumAm&gt;</w:t>
      </w:r>
      <w:r>
        <w:t>5</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Henvisning 14 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sin beslutning af 10. marts 2022 om retsstatsprincippet og konsekvenserne af EU-Domstolens afgørelse</w:t>
            </w:r>
            <w:r>
              <w:rPr>
                <w:vertAlign w:val="superscript"/>
              </w:rPr>
              <w:t>1a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EUT C 347 af 9.9.2022, s. 168.</w:t>
            </w:r>
          </w:p>
        </w:tc>
      </w:tr>
    </w:tbl>
    <w:p>
      <w:r>
        <w:rPr>
          <w:rStyle w:val="HideTWBExt"/>
        </w:rPr>
        <w:t>&lt;/Amend&gt;</w:t>
      </w:r>
    </w:p>
    <w:p>
      <w:pPr>
        <w:pStyle w:val="AmNumberTabs"/>
      </w:pPr>
      <w:r>
        <w:rPr>
          <w:rStyle w:val="HideTWBExt"/>
        </w:rPr>
        <w:t>&lt;Amend&gt;</w:t>
      </w:r>
      <w:r>
        <w:t>Ændringsforslag</w:t>
      </w:r>
      <w:r>
        <w:tab/>
      </w:r>
      <w:r>
        <w:tab/>
      </w:r>
      <w:r>
        <w:rPr>
          <w:rStyle w:val="HideTWBExt"/>
        </w:rPr>
        <w:t>&lt;NumAm&gt;</w:t>
      </w:r>
      <w:r>
        <w:t>6</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Henvisning 15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sin beslutning af 7. oktober 2020 om oprettelse af en EU-mekanisme for demokrati, retsstatsprincippet og grundlæggende rettigheder</w:t>
            </w:r>
            <w:r>
              <w:rPr>
                <w:vertAlign w:val="superscript"/>
              </w:rPr>
              <w:t>1a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EUT C 395 af 29.9.2021, s. 2.</w:t>
            </w:r>
          </w:p>
        </w:tc>
      </w:tr>
    </w:tbl>
    <w:p>
      <w:r>
        <w:rPr>
          <w:rStyle w:val="HideTWBExt"/>
        </w:rPr>
        <w:t>&lt;/Amend&gt;</w:t>
      </w:r>
    </w:p>
    <w:p>
      <w:pPr>
        <w:pStyle w:val="AmNumberTabs"/>
      </w:pPr>
      <w:r>
        <w:rPr>
          <w:rStyle w:val="HideTWBExt"/>
        </w:rPr>
        <w:t>&lt;Amend&gt;</w:t>
      </w:r>
      <w:r>
        <w:t>Ændringsforslag</w:t>
      </w:r>
      <w:r>
        <w:tab/>
      </w:r>
      <w:r>
        <w:tab/>
      </w:r>
      <w:r>
        <w:rPr>
          <w:rStyle w:val="HideTWBExt"/>
        </w:rPr>
        <w:t>&lt;NumAm&gt;</w:t>
      </w:r>
      <w:r>
        <w:t>7</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Henvisning 15 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sin beslutning af 12. september 2018 om et forslag om at opfordre Rådet til i henhold til artikel 7, stk. 1, i traktaten om Den Europæiske Union, at fastslå, at der er en klar fare for, at Ungarn groft overtræder de værdier, som Unionen bygger på</w:t>
            </w:r>
            <w:r>
              <w:rPr>
                <w:vertAlign w:val="superscript"/>
              </w:rPr>
              <w:t>1a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EUT C 433 af 23.12.2019, s. 66.</w:t>
            </w:r>
          </w:p>
        </w:tc>
      </w:tr>
    </w:tbl>
    <w:p>
      <w:r>
        <w:rPr>
          <w:rStyle w:val="HideTWBExt"/>
        </w:rPr>
        <w:t>&lt;/Amend&gt;</w:t>
      </w:r>
    </w:p>
    <w:p>
      <w:pPr>
        <w:pStyle w:val="AmNumberTabs"/>
      </w:pPr>
      <w:r>
        <w:rPr>
          <w:rStyle w:val="HideTWBExt"/>
        </w:rPr>
        <w:t>&lt;Amend&gt;</w:t>
      </w:r>
      <w:r>
        <w:t>Ændringsforslag</w:t>
      </w:r>
      <w:r>
        <w:tab/>
      </w:r>
      <w:r>
        <w:tab/>
      </w:r>
      <w:r>
        <w:rPr>
          <w:rStyle w:val="HideTWBExt"/>
        </w:rPr>
        <w:t>&lt;NumAm&gt;</w:t>
      </w:r>
      <w:r>
        <w:t>8</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Henvisning 17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sin beslutning af 5. maj 2022 om igangværende høringer inden for rammerne af artikel 7, stk. 1, i TEU vedrørende Polen og Ungarn</w:t>
            </w:r>
            <w:r>
              <w:rPr>
                <w:vertAlign w:val="superscript"/>
              </w:rPr>
              <w:t>1a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EUT C 465, 6.12.2022, s. 147.</w:t>
            </w:r>
          </w:p>
        </w:tc>
      </w:tr>
    </w:tbl>
    <w:p>
      <w:r>
        <w:rPr>
          <w:rStyle w:val="HideTWBExt"/>
        </w:rPr>
        <w:t>&lt;/Amend&gt;</w:t>
      </w:r>
    </w:p>
    <w:p>
      <w:pPr>
        <w:pStyle w:val="AmNumberTabs"/>
      </w:pPr>
      <w:r>
        <w:rPr>
          <w:rStyle w:val="HideTWBExt"/>
        </w:rPr>
        <w:t>&lt;Amend&gt;</w:t>
      </w:r>
      <w:r>
        <w:t>Ændringsforslag</w:t>
      </w:r>
      <w:r>
        <w:tab/>
      </w:r>
      <w:r>
        <w:tab/>
      </w:r>
      <w:r>
        <w:rPr>
          <w:rStyle w:val="HideTWBExt"/>
        </w:rPr>
        <w:t>&lt;NumAm&gt;</w:t>
      </w:r>
      <w:r>
        <w:t>9</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Henvisning 17 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sin beslutning af 1. juni 2023 om krænkelser af retsstatsprincippet og grundlæggende rettigheder i Ungarn og indefrosne EU-midler</w:t>
            </w:r>
            <w:r>
              <w:rPr>
                <w:vertAlign w:val="superscript"/>
              </w:rPr>
              <w:t>1a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 xml:space="preserve">EUT C, C/2023/1223, 21.12.2023, ELI: </w:t>
            </w:r>
            <w:r>
              <w:rPr>
                <w:b/>
                <w:i/>
              </w:rPr>
              <w:t>http://data.europa.eu/eli/C/2023/1223/oj</w:t>
            </w:r>
            <w:r>
              <w:rPr>
                <w:b/>
                <w:i/>
              </w:rPr>
              <w:t>.</w:t>
            </w:r>
          </w:p>
        </w:tc>
      </w:tr>
    </w:tbl>
    <w:p>
      <w:r>
        <w:rPr>
          <w:rStyle w:val="HideTWBExt"/>
        </w:rPr>
        <w:t>&lt;/Amend&gt;</w:t>
      </w:r>
    </w:p>
    <w:p>
      <w:pPr>
        <w:pStyle w:val="AmNumberTabs"/>
      </w:pPr>
      <w:r>
        <w:rPr>
          <w:rStyle w:val="HideTWBExt"/>
        </w:rPr>
        <w:t>&lt;Amend&gt;</w:t>
      </w:r>
      <w:r>
        <w:t>Ændringsforslag</w:t>
      </w:r>
      <w:r>
        <w:tab/>
      </w:r>
      <w:r>
        <w:tab/>
      </w:r>
      <w:r>
        <w:rPr>
          <w:rStyle w:val="HideTWBExt"/>
        </w:rPr>
        <w:t>&lt;NumAm&gt;</w:t>
      </w:r>
      <w:r>
        <w:t>10</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Henvisning 19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Parlamentets søgsmål mod Kommissionen anlagt den 25. marts 2024 i sag C-225/24 med påstand om, at Den Europæiske Unions Domstol (EU-Domstolen) annullerer Kommissionens gennemførelsesafgørelse C(2023)9014 af 13. december 2023</w:t>
            </w:r>
            <w:r>
              <w:rPr>
                <w:vertAlign w:val="superscript"/>
              </w:rPr>
              <w:t>1a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 xml:space="preserve">EUT C, C/2024/3063, 13.5.2024, ELI: </w:t>
            </w:r>
            <w:r>
              <w:rPr>
                <w:b/>
                <w:i/>
              </w:rPr>
              <w:t>http://data.europa.eu/eli/C/2024/3063/oj</w:t>
            </w:r>
            <w:r>
              <w:rPr>
                <w:b/>
                <w:i/>
              </w:rPr>
              <w:t>.</w:t>
            </w:r>
          </w:p>
        </w:tc>
      </w:tr>
    </w:tbl>
    <w:p>
      <w:r>
        <w:rPr>
          <w:rStyle w:val="HideTWBExt"/>
        </w:rPr>
        <w:t>&lt;/Amend&gt;</w:t>
      </w:r>
    </w:p>
    <w:p>
      <w:pPr>
        <w:pStyle w:val="AmNumberTabs"/>
      </w:pPr>
      <w:r>
        <w:rPr>
          <w:rStyle w:val="HideTWBExt"/>
        </w:rPr>
        <w:t>&lt;Amend&gt;</w:t>
      </w:r>
      <w:r>
        <w:t>Ændringsforslag</w:t>
      </w:r>
      <w:r>
        <w:tab/>
      </w:r>
      <w:r>
        <w:tab/>
      </w:r>
      <w:r>
        <w:rPr>
          <w:rStyle w:val="HideTWBExt"/>
        </w:rPr>
        <w:t>&lt;NumAm&gt;</w:t>
      </w:r>
      <w:r>
        <w:t>11</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Henvisning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w:t>
            </w:r>
            <w:r>
              <w:tab/>
            </w:r>
            <w:r>
              <w:t>der henviser til observationerne fra Budgetkontroludvalgets undersøgelsesrejser til Ungarn den 15.-17</w:t>
            </w:r>
            <w:r>
              <w:t xml:space="preserve">. maj 2023 og til Slovakiet den 26.-28. </w:t>
            </w:r>
            <w:r>
              <w:rPr>
                <w:b/>
                <w:i/>
              </w:rPr>
              <w:t>maj</w:t>
            </w:r>
            <w:r>
              <w:t xml:space="preserve"> 2025,</w:t>
            </w:r>
          </w:p>
        </w:tc>
        <w:tc>
          <w:tcPr>
            <w:tcW w:w="4876" w:type="dxa"/>
            <w:tcBorders>
              <w:top w:val="nil"/>
              <w:left w:val="nil"/>
              <w:bottom w:val="nil"/>
              <w:right w:val="nil"/>
            </w:tcBorders>
          </w:tcPr>
          <w:p>
            <w:pPr>
              <w:pStyle w:val="Normal6a"/>
            </w:pPr>
            <w:r>
              <w:t>–</w:t>
            </w:r>
            <w:r>
              <w:tab/>
            </w:r>
            <w:r>
              <w:t xml:space="preserve">der henviser til observationerne fra Budgetkontroludvalgets undersøgelsesrejser til Ungarn den 15.-17. maj 2023 og til Slovakiet den 26.-28. </w:t>
            </w:r>
            <w:r>
              <w:rPr>
                <w:b/>
                <w:i/>
              </w:rPr>
              <w:t>maj 2025 og Europa-Parlamentets udvalg om Borgernes Rettigheder og Retlige og Indre Anliggenders undersøgelsesrejse til Ungarn den 14.-16. april 2025 og til dets overvågningsgruppe for demokrati, retsstaten og grundlæggende rettigheders (DRFMG) undersøgelsesrejse til Slovakiet fra den 2.-3. juni</w:t>
            </w:r>
            <w:r>
              <w:t xml:space="preserve"> 2025,</w:t>
            </w:r>
          </w:p>
        </w:tc>
      </w:tr>
    </w:tbl>
    <w:p>
      <w:r>
        <w:rPr>
          <w:rStyle w:val="HideTWBExt"/>
        </w:rPr>
        <w:t>&lt;/Amend&gt;</w:t>
      </w:r>
    </w:p>
    <w:p>
      <w:pPr>
        <w:pStyle w:val="AmNumberTabs"/>
      </w:pPr>
      <w:r>
        <w:rPr>
          <w:rStyle w:val="HideTWBExt"/>
        </w:rPr>
        <w:t>&lt;Amend&gt;</w:t>
      </w:r>
      <w:r>
        <w:t>Ændringsforslag</w:t>
      </w:r>
      <w:r>
        <w:tab/>
      </w:r>
      <w:r>
        <w:tab/>
      </w:r>
      <w:r>
        <w:rPr>
          <w:rStyle w:val="HideTWBExt"/>
        </w:rPr>
        <w:t>&lt;NumAm&gt;</w:t>
      </w:r>
      <w:r>
        <w:t>12</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Henvisning 29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studiet bestilt af Udvalget om Borgernes Rettigheder og Retlige og Indre Anliggender med titlen "Håndhævelse af EU-retten på området med frihed, sikkerhed og retfærdighed"</w:t>
            </w:r>
            <w:r>
              <w:rPr>
                <w:vertAlign w:val="superscript"/>
              </w:rPr>
              <w:t>1a</w:t>
            </w:r>
            <w:r>
              <w:rPr>
                <w:b/>
                <w:i/>
              </w:rPr>
              <w:t>, der blev offentliggjort af Generaldirektoratet for Unionens Interne Politikker i januar 2024,</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Undersøgelse – "Enforcement of EU law in the Area of Freedom, Security and Justice", Europa-Parlamentet, Generaldirektoratet for Unionens Interne Politikker, Temaafdeling for Borgernes Rettigheder og Konstitutionelle Anliggender, januar 2024.</w:t>
            </w:r>
          </w:p>
        </w:tc>
      </w:tr>
    </w:tbl>
    <w:p>
      <w:r>
        <w:rPr>
          <w:rStyle w:val="HideTWBExt"/>
        </w:rPr>
        <w:t>&lt;/Amend&gt;</w:t>
      </w:r>
    </w:p>
    <w:p>
      <w:pPr>
        <w:pStyle w:val="AmNumberTabs"/>
      </w:pPr>
      <w:r>
        <w:rPr>
          <w:rStyle w:val="HideTWBExt"/>
        </w:rPr>
        <w:t>&lt;Amend&gt;</w:t>
      </w:r>
      <w:r>
        <w:t>Ændringsforslag</w:t>
      </w:r>
      <w:r>
        <w:tab/>
      </w:r>
      <w:r>
        <w:tab/>
      </w:r>
      <w:r>
        <w:rPr>
          <w:rStyle w:val="HideTWBExt"/>
        </w:rPr>
        <w:t>&lt;NumAm&gt;</w:t>
      </w:r>
      <w:r>
        <w:t>13</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Betragtning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der henviser til, at EU bygger på værdierne respekt for den menneskelige værdighed, frihed, demokrati, ligestilling, retsstaten og respekt for menneskerettighederne, herunder rettigheder for personer, der tilhører mindretal, som nedfældet i artikel 2 i TEU; der henviser til, at disse værdier </w:t>
            </w:r>
            <w:r>
              <w:rPr>
                <w:b/>
                <w:i/>
              </w:rPr>
              <w:t>er afspejlet i de grundlæggende rettigheder, der er fastsat i chartret, heriblandt ligestilling mellem kvinderog mænd, ikkeforskelsbehandling og forhandlingsretten og retten til kollektive skridt, i overensstemmelse med EU-retten og national ret og praksis</w:t>
            </w:r>
            <w:r>
              <w:t xml:space="preserve">,ogsom er forankret i internationale menneskerettighedstraktater; </w:t>
            </w:r>
            <w:r>
              <w:rPr>
                <w:b/>
                <w:i/>
              </w:rPr>
              <w:t>der henviser til</w:t>
            </w:r>
            <w:r>
              <w:t xml:space="preserve">, </w:t>
            </w:r>
            <w:r>
              <w:rPr>
                <w:b/>
                <w:i/>
              </w:rPr>
              <w:t>at overholdelsen af disse fælles værdier udgør grundlaget</w:t>
            </w:r>
            <w:r>
              <w:t xml:space="preserve"> for </w:t>
            </w:r>
            <w:r>
              <w:rPr>
                <w:b/>
                <w:i/>
              </w:rPr>
              <w:t>de rettigheder, der tilkommer de</w:t>
            </w:r>
            <w:r>
              <w:t xml:space="preserve"> mennesker, der bor i EU;</w:t>
            </w:r>
          </w:p>
        </w:tc>
        <w:tc>
          <w:tcPr>
            <w:tcW w:w="4876" w:type="dxa"/>
            <w:tcBorders>
              <w:top w:val="nil"/>
              <w:left w:val="nil"/>
              <w:bottom w:val="nil"/>
              <w:right w:val="nil"/>
            </w:tcBorders>
          </w:tcPr>
          <w:p>
            <w:pPr>
              <w:pStyle w:val="Normal6a"/>
            </w:pPr>
            <w:r>
              <w:t>A.</w:t>
            </w:r>
            <w:r>
              <w:tab/>
            </w:r>
            <w:r>
              <w:t xml:space="preserve">der henviser til, at EU bygger på værdierne respekt for den menneskelige værdighed, frihed, demokrati, ligestilling, retsstaten og respekt for menneskerettighederne, herunder rettigheder for personer, der tilhører mindretal, som nedfældet i artikel 2 i TEU; der henviser til, at disse værdier er </w:t>
            </w:r>
            <w:r>
              <w:rPr>
                <w:b/>
                <w:i/>
              </w:rPr>
              <w:t>fælles for medlemsstaterne og</w:t>
            </w:r>
            <w:r>
              <w:t xml:space="preserve"> er </w:t>
            </w:r>
            <w:r>
              <w:rPr>
                <w:b/>
                <w:i/>
              </w:rPr>
              <w:t>afspejlet</w:t>
            </w:r>
            <w:r>
              <w:t xml:space="preserve"> og </w:t>
            </w:r>
            <w:r>
              <w:rPr>
                <w:b/>
                <w:i/>
              </w:rPr>
              <w:t>forankret i internationale menneskerettighedstraktater;</w:t>
            </w:r>
            <w:r>
              <w:t xml:space="preserve"> </w:t>
            </w:r>
            <w:r>
              <w:rPr>
                <w:b/>
                <w:i/>
              </w:rPr>
              <w:t>der henviser</w:t>
            </w:r>
            <w:r>
              <w:t xml:space="preserve"> til</w:t>
            </w:r>
            <w:r>
              <w:rPr>
                <w:b/>
                <w:i/>
              </w:rPr>
              <w:t>, at demokrati</w:t>
            </w:r>
            <w:r>
              <w:t xml:space="preserve">, </w:t>
            </w:r>
            <w:r>
              <w:rPr>
                <w:b/>
                <w:i/>
              </w:rPr>
              <w:t>retsstatsprincippet og grundlæggende rettigheder er gensidigt forstærkende værdier</w:t>
            </w:r>
            <w:r>
              <w:t>, som</w:t>
            </w:r>
            <w:r>
              <w:rPr>
                <w:b/>
                <w:i/>
              </w:rPr>
              <w:t>, hvis de undergraves</w:t>
            </w:r>
            <w:r>
              <w:t xml:space="preserve">, </w:t>
            </w:r>
            <w:r>
              <w:rPr>
                <w:b/>
                <w:i/>
              </w:rPr>
              <w:t>udgør en systemisk trussel mod rettighederne og frihedsrettighederne</w:t>
            </w:r>
            <w:r>
              <w:t xml:space="preserve"> for mennesker, der bor i EU;</w:t>
            </w:r>
          </w:p>
        </w:tc>
      </w:tr>
    </w:tbl>
    <w:p>
      <w:r>
        <w:rPr>
          <w:rStyle w:val="HideTWBExt"/>
        </w:rPr>
        <w:t>&lt;/Amend&gt;</w:t>
      </w:r>
    </w:p>
    <w:p>
      <w:pPr>
        <w:pStyle w:val="AmNumberTabs"/>
      </w:pPr>
      <w:r>
        <w:rPr>
          <w:rStyle w:val="HideTWBExt"/>
        </w:rPr>
        <w:t>&lt;Amend&gt;</w:t>
      </w:r>
      <w:r>
        <w:t>Ændringsforslag</w:t>
      </w:r>
      <w:r>
        <w:tab/>
      </w:r>
      <w:r>
        <w:tab/>
      </w:r>
      <w:r>
        <w:rPr>
          <w:rStyle w:val="HideTWBExt"/>
        </w:rPr>
        <w:t>&lt;NumAm&gt;</w:t>
      </w:r>
      <w:r>
        <w:t>14</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Betragtning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 xml:space="preserve">der henviser til, at forordningen om konditionalitet giver </w:t>
            </w:r>
            <w:r>
              <w:rPr>
                <w:b/>
                <w:i/>
              </w:rPr>
              <w:t>EU</w:t>
            </w:r>
            <w:r>
              <w:t xml:space="preserve"> beføjelse til at vedtage forholdsmæssige finansielle foranstaltninger for at beskytte </w:t>
            </w:r>
            <w:r>
              <w:rPr>
                <w:b/>
                <w:i/>
              </w:rPr>
              <w:t>sine finansielle interesser, hvis</w:t>
            </w:r>
            <w:r>
              <w:t xml:space="preserve"> tilsidesættelser af retsstatsprincippet i en medlemsstat påvirker eller udgør en alvorlig risiko for at påvirke </w:t>
            </w:r>
            <w:r>
              <w:rPr>
                <w:b/>
                <w:i/>
              </w:rPr>
              <w:t>den</w:t>
            </w:r>
            <w:r>
              <w:t xml:space="preserve"> forsvarlige økonomiske forvaltning af EU-budgettet; der henviser til, at forordningen blev vedtaget som en del af pakken om den flerårige finansielle ramme (FFR) for 2021-2027 efter lange og vanskelige forhandlinger mellem fælleslovgiverne, som navnlig skyldtes, at visse medlemsstater forsøgte at knytte forhandlingerne om FFR til forhandlingerne om konditionalitetsmekanismen vedrørende retsstatsprincippet; der henviser til, at forordningen har været bindende for alle medlemsstater, siden den trådte i kraft den 1. januar 2021;</w:t>
            </w:r>
          </w:p>
        </w:tc>
        <w:tc>
          <w:tcPr>
            <w:tcW w:w="4876" w:type="dxa"/>
            <w:tcBorders>
              <w:top w:val="nil"/>
              <w:left w:val="nil"/>
              <w:bottom w:val="nil"/>
              <w:right w:val="nil"/>
            </w:tcBorders>
          </w:tcPr>
          <w:p>
            <w:pPr>
              <w:pStyle w:val="Normal6a"/>
            </w:pPr>
            <w:r>
              <w:t>D.</w:t>
            </w:r>
            <w:r>
              <w:tab/>
            </w:r>
            <w:r>
              <w:t xml:space="preserve">der henviser til, at forordningen om konditionalitet giver </w:t>
            </w:r>
            <w:r>
              <w:rPr>
                <w:b/>
                <w:i/>
              </w:rPr>
              <w:t>Rådet</w:t>
            </w:r>
            <w:r>
              <w:t xml:space="preserve"> beføjelse til </w:t>
            </w:r>
            <w:r>
              <w:rPr>
                <w:b/>
                <w:i/>
              </w:rPr>
              <w:t>efter forslag fra Kommissionen, og idet Europa-Parlamentet underrettes,</w:t>
            </w:r>
            <w:r>
              <w:t xml:space="preserve"> at vedtage forholdsmæssige finansielle foranstaltninger for at beskytte </w:t>
            </w:r>
            <w:r>
              <w:rPr>
                <w:b/>
                <w:i/>
              </w:rPr>
              <w:t>EU-budgettet mod</w:t>
            </w:r>
            <w:r>
              <w:t xml:space="preserve"> tilsidesættelser af retsstatsprincippet i en medlemsstat</w:t>
            </w:r>
            <w:r>
              <w:rPr>
                <w:b/>
                <w:i/>
              </w:rPr>
              <w:t>, der</w:t>
            </w:r>
            <w:r>
              <w:t xml:space="preserve"> påvirker eller udgør en alvorlig risiko for at påvirke </w:t>
            </w:r>
            <w:r>
              <w:rPr>
                <w:b/>
                <w:i/>
              </w:rPr>
              <w:t>EU's</w:t>
            </w:r>
            <w:r>
              <w:t xml:space="preserve"> forsvarlige økonomiske forvaltning af EU-budgettet </w:t>
            </w:r>
            <w:r>
              <w:rPr>
                <w:b/>
                <w:i/>
              </w:rPr>
              <w:t>eller beskyttelsen af EU's finansielle interesser</w:t>
            </w:r>
            <w:r>
              <w:t>; der henviser til, at forordningen blev vedtaget som en del af pakken om den flerårige finansielle ramme (FFR) for 2021-2027 efter lange og vanskelige forhandlinger mellem fælleslovgiverne, som navnlig skyldtes, at visse medlemsstater forsøgte at knytte forhandlingerne om FFR til forhandlingerne om konditionalitetsmekanismen vedrørende retsstatsprincippet; der henviser til, at forordningen har været bindende for alle medlemsstater, siden den trådte i kraft den 1. januar 2021;</w:t>
            </w:r>
            <w:r>
              <w:rPr>
                <w:b/>
                <w:i/>
              </w:rPr>
              <w:t xml:space="preserve"> der henviser til, at den næste FFR 2028-2034 bør sikre, at alle nye mekanismer udformes på en måde, som er i overensstemmelse med forordningen om konditionalitet vedrørende retsstatsprincippet;</w:t>
            </w:r>
          </w:p>
        </w:tc>
      </w:tr>
    </w:tbl>
    <w:p>
      <w:r>
        <w:rPr>
          <w:rStyle w:val="HideTWBExt"/>
        </w:rPr>
        <w:t>&lt;/Amend&gt;</w:t>
      </w:r>
    </w:p>
    <w:p>
      <w:pPr>
        <w:pStyle w:val="AmNumberTabs"/>
      </w:pPr>
      <w:r>
        <w:rPr>
          <w:rStyle w:val="HideTWBExt"/>
        </w:rPr>
        <w:t>&lt;Amend&gt;</w:t>
      </w:r>
      <w:r>
        <w:t>Ændringsforslag</w:t>
      </w:r>
      <w:r>
        <w:tab/>
      </w:r>
      <w:r>
        <w:tab/>
      </w:r>
      <w:r>
        <w:rPr>
          <w:rStyle w:val="HideTWBExt"/>
        </w:rPr>
        <w:t>&lt;NumAm&gt;</w:t>
      </w:r>
      <w:r>
        <w:t>15</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Betragtning F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 a.</w:t>
            </w:r>
            <w:r>
              <w:tab/>
            </w:r>
            <w:r>
              <w:rPr>
                <w:b/>
                <w:i/>
              </w:rPr>
              <w:t>der henviser til, at forfatningsændringer, der svækker mediernes uafhængighed eller ytringsfrihed og udhuler kontrolmekanismer, udgør en direkte trussel mod de værdier, der er fastsat i artikel 2 i TEU, og har en konkret indvirkning på beskyttelsen af EU-budgettet ved at forringe mulighederne for et gennemsigtigt tilsyn med EU-midlerne;</w:t>
            </w:r>
          </w:p>
        </w:tc>
      </w:tr>
    </w:tbl>
    <w:p>
      <w:r>
        <w:rPr>
          <w:rStyle w:val="HideTWBExt"/>
        </w:rPr>
        <w:t>&lt;/Amend&gt;</w:t>
      </w:r>
    </w:p>
    <w:p>
      <w:pPr>
        <w:pStyle w:val="AmNumberTabs"/>
      </w:pPr>
      <w:r>
        <w:rPr>
          <w:rStyle w:val="HideTWBExt"/>
        </w:rPr>
        <w:t>&lt;Amend&gt;</w:t>
      </w:r>
      <w:r>
        <w:t>Ændringsforslag</w:t>
      </w:r>
      <w:r>
        <w:tab/>
      </w:r>
      <w:r>
        <w:tab/>
      </w:r>
      <w:r>
        <w:rPr>
          <w:rStyle w:val="HideTWBExt"/>
        </w:rPr>
        <w:t>&lt;NumAm&gt;</w:t>
      </w:r>
      <w:r>
        <w:t>16</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Betragtning F 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Fb.</w:t>
            </w:r>
            <w:r>
              <w:tab/>
            </w:r>
            <w:r>
              <w:rPr>
                <w:b/>
                <w:i/>
              </w:rPr>
              <w:t>der henviser til, at forordningen om konditionalitet blev taget i anvendelse første gang i december 2022 over for Ungarn, hvilket førte til suspendering af 6,3 mia. EUR i samhørighedsmidler og et forbud mod at indgå nye retlige forpligtelser med ungarske truster af offentlig interesse og enheder, som de plejer, på grund af systemiske overtrædelser af retsstatsprincippet, som risikerede at bringe EU-budgettet og EU's finansielle interesser i fare, herunder begrænsninger af retsvæsenets og den offentlige anklagemyndigheds uafhængighed samt risici vedrørende korruption og mangler ved anvendelsen af EU-midler, navnlig vedrørende offentlige indkøb og den rolle, som førnævnte truster af offentlig interesse spiller;</w:t>
            </w:r>
          </w:p>
        </w:tc>
      </w:tr>
    </w:tbl>
    <w:p>
      <w:r>
        <w:rPr>
          <w:rStyle w:val="HideTWBExt"/>
        </w:rPr>
        <w:t>&lt;/Amend&gt;</w:t>
      </w:r>
    </w:p>
    <w:p>
      <w:pPr>
        <w:pStyle w:val="AmNumberTabs"/>
      </w:pPr>
      <w:r>
        <w:rPr>
          <w:rStyle w:val="HideTWBExt"/>
        </w:rPr>
        <w:t>&lt;Amend&gt;</w:t>
      </w:r>
      <w:r>
        <w:t>Ændringsforslag</w:t>
      </w:r>
      <w:r>
        <w:tab/>
      </w:r>
      <w:r>
        <w:tab/>
      </w:r>
      <w:r>
        <w:rPr>
          <w:rStyle w:val="HideTWBExt"/>
        </w:rPr>
        <w:t>&lt;NumAm&gt;</w:t>
      </w:r>
      <w:r>
        <w:t>17</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Betragtning G</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t>der henviser til, at Kommissionen i januar 2024 udsendte en rapport i henhold til artikel 9 i forordningen om konditionalitet, hvori den gjorde status over forordningens anvendelse; der henviser til, at Kommissionens analyse af den eneste foreliggende sag bekræftede effektiviteten af de vedtagne beskyttelsesforanstaltninger og deres potentiale fremadrettet, men at Kommissionen konstaterede, at det var for tidligt at drage endelige konklusioner, og at en mere omfattende sagspraksis ville gøre det lettere at afdække mulige forbedringer;</w:t>
            </w:r>
          </w:p>
        </w:tc>
        <w:tc>
          <w:tcPr>
            <w:tcW w:w="4876" w:type="dxa"/>
            <w:tcBorders>
              <w:top w:val="nil"/>
              <w:left w:val="nil"/>
              <w:bottom w:val="nil"/>
              <w:right w:val="nil"/>
            </w:tcBorders>
          </w:tcPr>
          <w:p>
            <w:pPr>
              <w:pStyle w:val="Normal6a"/>
            </w:pPr>
            <w:r>
              <w:t>G.</w:t>
            </w:r>
            <w:r>
              <w:tab/>
            </w:r>
            <w:r>
              <w:t>der henviser til, at Kommissionen i januar 2024 udsendte en rapport i henhold til artikel 9 i forordningen om konditionalitet, hvori den gjorde status over forordningens anvendelse; der henviser til, at Kommissionens analyse af den eneste foreliggende sag bekræftede effektiviteten af de vedtagne beskyttelsesforanstaltninger og deres potentiale fremadrettet, men at Kommissionen konstaterede, at det var for tidligt at drage endelige konklusioner, og at en mere omfattende sagspraksis ville gøre det lettere at afdække mulige forbedringer;</w:t>
            </w:r>
            <w:r>
              <w:rPr>
                <w:b/>
                <w:i/>
              </w:rPr>
              <w:t xml:space="preserve"> der henviser til, at det i den af Kommissionen foretagne evaluering bekræftes, at tidsfristerne i forordningen om konditionalitet ikke giver Kommissionen mange muligheder for fleksibilitet, og at de i visse faser udgør en særlig udfordring; der henviser til, at rapporten for Ungarns vedkommende i en længere beskrivelse hilser de fremskridt, der er sket i henhold til forordningen for konditionalitet, velkommen, men at rapporten ikke i tilstrækkelig grad understreger, i hvilken udstrækning der fortsat findes uløste udfordringer;</w:t>
            </w:r>
          </w:p>
        </w:tc>
      </w:tr>
    </w:tbl>
    <w:p>
      <w:r>
        <w:rPr>
          <w:rStyle w:val="HideTWBExt"/>
        </w:rPr>
        <w:t>&lt;/Amend&gt;</w:t>
      </w:r>
    </w:p>
    <w:p>
      <w:pPr>
        <w:pStyle w:val="AmNumberTabs"/>
      </w:pPr>
      <w:r>
        <w:rPr>
          <w:rStyle w:val="HideTWBExt"/>
        </w:rPr>
        <w:t>&lt;Amend&gt;</w:t>
      </w:r>
      <w:r>
        <w:t>Ændringsforslag</w:t>
      </w:r>
      <w:r>
        <w:tab/>
      </w:r>
      <w:r>
        <w:tab/>
      </w:r>
      <w:r>
        <w:rPr>
          <w:rStyle w:val="HideTWBExt"/>
        </w:rPr>
        <w:t>&lt;NumAm&gt;</w:t>
      </w:r>
      <w:r>
        <w:t>18</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Betragtning 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w:t>
            </w:r>
            <w:r>
              <w:tab/>
            </w:r>
            <w:r>
              <w:t>der henviser til, at formålet med denne betænkning er at kontrollere gennemførelsen af forordningen om konditionalitet i overensstemmelse med Europa-Parlamentets rolle som fastsat i forordningen ved at udpege fordele og mangler ved dens anvendelse og ved at udstede henstillinger til dens fremtidige gennemførelse;</w:t>
            </w:r>
          </w:p>
        </w:tc>
        <w:tc>
          <w:tcPr>
            <w:tcW w:w="4876" w:type="dxa"/>
            <w:tcBorders>
              <w:top w:val="nil"/>
              <w:left w:val="nil"/>
              <w:bottom w:val="nil"/>
              <w:right w:val="nil"/>
            </w:tcBorders>
          </w:tcPr>
          <w:p>
            <w:pPr>
              <w:pStyle w:val="Normal6a"/>
            </w:pPr>
            <w:r>
              <w:t>I.</w:t>
            </w:r>
            <w:r>
              <w:tab/>
            </w:r>
            <w:r>
              <w:t xml:space="preserve">der henviser til, at formålet med denne betænkning er at kontrollere gennemførelsen af forordningen om konditionalitet i overensstemmelse med Europa-Parlamentets rolle som fastsat i forordningen ved at udpege fordele og mangler ved dens anvendelse og ved at udstede henstillinger til dens fremtidige gennemførelse </w:t>
            </w:r>
            <w:r>
              <w:rPr>
                <w:b/>
                <w:i/>
              </w:rPr>
              <w:t>og vurdere sammenhængen og effektiviteten af konditionalitetsordningen sammen med andre instrumenter i værktøjskassen for retsstatsprincippet såsom forordningen om fælles bestemmelser og de retsstatsrelaterede "supermilepæle" under genopretnings- og resiliensfaciliteten</w:t>
            </w:r>
            <w:r>
              <w:t>;</w:t>
            </w:r>
          </w:p>
        </w:tc>
      </w:tr>
    </w:tbl>
    <w:p>
      <w:r>
        <w:rPr>
          <w:rStyle w:val="HideTWBExt"/>
        </w:rPr>
        <w:t>&lt;/Amend&gt;</w:t>
      </w:r>
    </w:p>
    <w:p>
      <w:pPr>
        <w:pStyle w:val="AmNumberTabs"/>
      </w:pPr>
      <w:r>
        <w:rPr>
          <w:rStyle w:val="HideTWBExt"/>
        </w:rPr>
        <w:t>&lt;Amend&gt;</w:t>
      </w:r>
      <w:r>
        <w:t>Ændringsforslag</w:t>
      </w:r>
      <w:r>
        <w:tab/>
      </w:r>
      <w:r>
        <w:tab/>
      </w:r>
      <w:r>
        <w:rPr>
          <w:rStyle w:val="HideTWBExt"/>
        </w:rPr>
        <w:t>&lt;NumAm&gt;</w:t>
      </w:r>
      <w:r>
        <w:t>19</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glæder sig over EU-Domstolens bekræftelse af, at respekt for de værdier, der er nedfældet i artikel 2 i TEU, er en vedvarende forpligtelse </w:t>
            </w:r>
            <w:r>
              <w:rPr>
                <w:b/>
                <w:i/>
              </w:rPr>
              <w:t>efter EU-tiltrædelse</w:t>
            </w:r>
            <w:r>
              <w:t xml:space="preserve"> og en forudsætning for at kunne nyde godt af alle de traktatfæstede rettigheder og fordele, der følger af EU-medlemskab, herunder adgang til EU-midler; pålægger Kommissionen at fremhæve dette punkt i sine kommunikations- og håndhævelsesaktiviteter;</w:t>
            </w:r>
          </w:p>
        </w:tc>
        <w:tc>
          <w:tcPr>
            <w:tcW w:w="4876" w:type="dxa"/>
            <w:tcBorders>
              <w:top w:val="nil"/>
              <w:left w:val="nil"/>
              <w:bottom w:val="nil"/>
              <w:right w:val="nil"/>
            </w:tcBorders>
          </w:tcPr>
          <w:p>
            <w:pPr>
              <w:pStyle w:val="Normal6a"/>
            </w:pPr>
            <w:r>
              <w:t>3.</w:t>
            </w:r>
            <w:r>
              <w:tab/>
            </w:r>
            <w:r>
              <w:t xml:space="preserve">glæder sig over EU-Domstolens bekræftelse af, at respekt for de værdier, der er nedfældet i artikel 2 i TEU, er en vedvarende forpligtelse </w:t>
            </w:r>
            <w:r>
              <w:rPr>
                <w:b/>
                <w:i/>
              </w:rPr>
              <w:t>for alle medlemsstater</w:t>
            </w:r>
            <w:r>
              <w:t xml:space="preserve"> og en forudsætning for at kunne nyde godt af alle de traktatfæstede rettigheder og fordele, der følger af EU-medlemskab, herunder adgang til EU-midler; pålægger Kommissionen at fremhæve dette punkt i sine kommunikations- og håndhævelsesaktiviteter</w:t>
            </w:r>
            <w:r>
              <w:rPr>
                <w:vertAlign w:val="superscript"/>
              </w:rPr>
              <w:t>1a</w:t>
            </w:r>
            <w:r>
              <w:t>;</w:t>
            </w:r>
            <w:r>
              <w:rPr>
                <w:b/>
                <w:i/>
              </w:rPr>
              <w:t xml:space="preserve"> </w:t>
            </w:r>
            <w:r>
              <w:rPr>
                <w:b/>
                <w:i/>
              </w:rPr>
              <w:t>understreger, at der oftere skal gøres opmærksom på dette, eftersom det styrker EU's troværdighed, og understreger, at følgerne af manglende overholdelse konsekvent skal understreges;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Princippet om ikkeforringelse; forslag til afgørelse fra generaladvokat Campos Sánchez-Bordona fremsat den 2. december 2021 i sag C-156/21, Ungarn mod Europa-Parlamentet og Rådet for Den Europæiske Union, ECLI:EU:C:2021:974, punkt 214.</w:t>
            </w:r>
          </w:p>
        </w:tc>
      </w:tr>
    </w:tbl>
    <w:p>
      <w:r>
        <w:rPr>
          <w:rStyle w:val="HideTWBExt"/>
        </w:rPr>
        <w:t>&lt;/Amend&gt;</w:t>
      </w:r>
    </w:p>
    <w:p>
      <w:pPr>
        <w:pStyle w:val="AmNumberTabs"/>
      </w:pPr>
      <w:r>
        <w:rPr>
          <w:rStyle w:val="HideTWBExt"/>
        </w:rPr>
        <w:t>&lt;Amend&gt;</w:t>
      </w:r>
      <w:r>
        <w:t>Ændringsforslag</w:t>
      </w:r>
      <w:r>
        <w:tab/>
      </w:r>
      <w:r>
        <w:tab/>
      </w:r>
      <w:r>
        <w:rPr>
          <w:rStyle w:val="HideTWBExt"/>
        </w:rPr>
        <w:t>&lt;NumAm&gt;</w:t>
      </w:r>
      <w:r>
        <w:t>20</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3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glæder sig over, at EU-Domstolen har fremhævet, at EU-budgettet er et vigtigt redskab til at gennemføre solidaritetsprincippet, der er nedfældet i artikel 2 i TEU – et af EU's grundlæggende principper</w:t>
            </w:r>
            <w:r>
              <w:rPr>
                <w:vertAlign w:val="superscript"/>
              </w:rPr>
              <w:t>1a</w:t>
            </w:r>
            <w:r>
              <w:rPr>
                <w:b/>
                <w:i/>
              </w:rPr>
              <w:t>; gentager, at solidaritet opnås ved at dele finansielle ressourcer og afhænger af gensidig tillid mellem medlemsstaterne, hvilket forudsætter, at hver medlemsstat anvender de fælles midler ansvarligt og fortsat er forpligtet til at opfylde sine forpligtelser i henhold til EU-retten, herunder at værne om de værdier, der er nedfældet i artikel 2 i TEU, navnlig retsstatsprincippet;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EU-Domstolen, sag C-156/21, nævnt ovenfor, præmis 129.</w:t>
            </w:r>
          </w:p>
        </w:tc>
      </w:tr>
    </w:tbl>
    <w:p>
      <w:r>
        <w:rPr>
          <w:rStyle w:val="HideTWBExt"/>
        </w:rPr>
        <w:t>&lt;/Amend&gt;</w:t>
      </w:r>
    </w:p>
    <w:p>
      <w:pPr>
        <w:pStyle w:val="AmNumberTabs"/>
      </w:pPr>
      <w:r>
        <w:rPr>
          <w:rStyle w:val="HideTWBExt"/>
        </w:rPr>
        <w:t>&lt;Amend&gt;</w:t>
      </w:r>
      <w:r>
        <w:t>Ændringsforslag</w:t>
      </w:r>
      <w:r>
        <w:tab/>
      </w:r>
      <w:r>
        <w:tab/>
      </w:r>
      <w:r>
        <w:rPr>
          <w:rStyle w:val="HideTWBExt"/>
        </w:rPr>
        <w:t>&lt;NumAm&gt;</w:t>
      </w:r>
      <w:r>
        <w:t>21</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understreger, at </w:t>
            </w:r>
            <w:r>
              <w:rPr>
                <w:b/>
                <w:i/>
              </w:rPr>
              <w:t>disse finansieringsinstrumenter</w:t>
            </w:r>
            <w:r>
              <w:t xml:space="preserve"> ikke må betragtes som erstatninger for de traktatbaserede mekanismer til beskyttelse af de værdier, der er nedfældet i artikel 2 i TEU, og minder om, at det fortsat er muligt at suspendere stemmerettigheder i henhold til artikel 7, stk. 2, i TEU i tilfælde af vedvarende og alvorlige tilsidesættelser af retsstatsprincippet;</w:t>
            </w:r>
          </w:p>
        </w:tc>
        <w:tc>
          <w:tcPr>
            <w:tcW w:w="4876" w:type="dxa"/>
            <w:tcBorders>
              <w:top w:val="nil"/>
              <w:left w:val="nil"/>
              <w:bottom w:val="nil"/>
              <w:right w:val="nil"/>
            </w:tcBorders>
          </w:tcPr>
          <w:p>
            <w:pPr>
              <w:pStyle w:val="Normal6a"/>
            </w:pPr>
            <w:r>
              <w:t>4.</w:t>
            </w:r>
            <w:r>
              <w:tab/>
            </w:r>
            <w:r>
              <w:t xml:space="preserve">understreger, at </w:t>
            </w:r>
            <w:r>
              <w:rPr>
                <w:b/>
                <w:i/>
              </w:rPr>
              <w:t>forordningen om konditionalitet og andre budgetmæssige instrumenter</w:t>
            </w:r>
            <w:r>
              <w:t xml:space="preserve"> ikke må betragtes som erstatninger for de traktatbaserede mekanismer til beskyttelse af de værdier, der er nedfældet i artikel 2 i TEU, og minder om, at det fortsat er muligt at suspendere </w:t>
            </w:r>
            <w:r>
              <w:rPr>
                <w:b/>
                <w:i/>
              </w:rPr>
              <w:t>rettigheder, der udspringer af anvendelsen af traktaterne, herunder, men ikke begrænset til</w:t>
            </w:r>
            <w:r>
              <w:t xml:space="preserve"> stemmerettigheder i henhold til artikel 7, stk. 2, i TEU i tilfælde af vedvarende og alvorlige tilsidesættelser af retsstatsprincippet</w:t>
            </w:r>
            <w:r>
              <w:rPr>
                <w:b/>
                <w:i/>
              </w:rPr>
              <w:t>, og at denne mekanisme derfor ikke "omgår" proceduren i artikel 7 i TEU, men derimod bør ses som et supplement hertil</w:t>
            </w:r>
            <w:r>
              <w:t>;</w:t>
            </w:r>
          </w:p>
        </w:tc>
      </w:tr>
    </w:tbl>
    <w:p>
      <w:r>
        <w:rPr>
          <w:rStyle w:val="HideTWBExt"/>
        </w:rPr>
        <w:t>&lt;/Amend&gt;</w:t>
      </w:r>
    </w:p>
    <w:p>
      <w:pPr>
        <w:pStyle w:val="AmNumberTabs"/>
      </w:pPr>
      <w:r>
        <w:rPr>
          <w:rStyle w:val="HideTWBExt"/>
        </w:rPr>
        <w:t>&lt;Amend&gt;</w:t>
      </w:r>
      <w:r>
        <w:t>Ændringsforslag</w:t>
      </w:r>
      <w:r>
        <w:tab/>
      </w:r>
      <w:r>
        <w:tab/>
      </w:r>
      <w:r>
        <w:rPr>
          <w:rStyle w:val="HideTWBExt"/>
        </w:rPr>
        <w:t>&lt;NumAm&gt;</w:t>
      </w:r>
      <w:r>
        <w:t>22</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minder om, at Kommissionens "retsstatsværktøjskasse" har udviklet sig betydeligt i løbet af det seneste årti, så den nu indeholder adskillige instrumenter til beskyttelse af retsstatsprincippet, herunder den årlige retsstatsrapport, der dækker alle 27 medlemsstater, den horisontale grundforudsætning vedrørende chartret i henhold til forordningen om fælles bestemmelser og de såkaldte supermilepæle vedrørende retsstatsprincippet inden for rammen af genopretnings- og resiliensfaciliteten;</w:t>
            </w:r>
          </w:p>
        </w:tc>
        <w:tc>
          <w:tcPr>
            <w:tcW w:w="4876" w:type="dxa"/>
            <w:tcBorders>
              <w:top w:val="nil"/>
              <w:left w:val="nil"/>
              <w:bottom w:val="nil"/>
              <w:right w:val="nil"/>
            </w:tcBorders>
          </w:tcPr>
          <w:p>
            <w:pPr>
              <w:pStyle w:val="Normal6a"/>
            </w:pPr>
            <w:r>
              <w:t>5.</w:t>
            </w:r>
            <w:r>
              <w:tab/>
            </w:r>
            <w:r>
              <w:t>minder om, at Kommissionens "retsstatsværktøjskasse" har udviklet sig betydeligt i løbet af det seneste årti, så den nu indeholder adskillige instrumenter til beskyttelse af retsstatsprincippet, herunder den årlige retsstatsrapport, der dækker alle 27 medlemsstater, den horisontale grundforudsætning vedrørende chartret i henhold til forordningen om fælles bestemmelser og de såkaldte supermilepæle vedrørende retsstatsprincippet inden for rammen af genopretnings- og resiliensfaciliteten;</w:t>
            </w:r>
            <w:r>
              <w:rPr>
                <w:b/>
                <w:i/>
              </w:rPr>
              <w:t xml:space="preserve"> understreger, at værktøjskassen, til trods for at udviklingen af denne har medført visse fremskridt, endnu ikke har afstedkommet tilstrækkeligt håndgribelige resultater, hovedsagelig på grund af den begrænsede politiske vilje til at anvende den i videst muligt omfang;</w:t>
            </w:r>
          </w:p>
        </w:tc>
      </w:tr>
    </w:tbl>
    <w:p>
      <w:r>
        <w:rPr>
          <w:rStyle w:val="HideTWBExt"/>
        </w:rPr>
        <w:t>&lt;/Amend&gt;</w:t>
      </w:r>
    </w:p>
    <w:p>
      <w:pPr>
        <w:pStyle w:val="AmNumberTabs"/>
      </w:pPr>
      <w:r>
        <w:rPr>
          <w:rStyle w:val="HideTWBExt"/>
        </w:rPr>
        <w:t>&lt;Amend&gt;</w:t>
      </w:r>
      <w:r>
        <w:t>Ændringsforslag</w:t>
      </w:r>
      <w:r>
        <w:tab/>
      </w:r>
      <w:r>
        <w:tab/>
      </w:r>
      <w:r>
        <w:rPr>
          <w:rStyle w:val="HideTWBExt"/>
        </w:rPr>
        <w:t>&lt;NumAm&gt;</w:t>
      </w:r>
      <w:r>
        <w:t>23</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understreger, at forordningen om konditionalitet er af budgetmæssig karakter, da den har til formål at sikre en forsvarlig økonomisk forvaltning af EU-midler og EU's finansielle interesser, og at den kun finder anvendelse, hvis en tilsidesættelse af retsstatsprincippet påvirker eller udgør en alvorlig risiko for at påvirke EU-budgettet; fremhæver, at den adskiller sig fra </w:t>
            </w:r>
            <w:r>
              <w:rPr>
                <w:b/>
                <w:i/>
              </w:rPr>
              <w:t>proceduren i</w:t>
            </w:r>
            <w:r>
              <w:t xml:space="preserve"> artikel 7 i TEU, som </w:t>
            </w:r>
            <w:r>
              <w:rPr>
                <w:b/>
                <w:i/>
              </w:rPr>
              <w:t>straffer grove</w:t>
            </w:r>
            <w:r>
              <w:t xml:space="preserve"> og vedvarende </w:t>
            </w:r>
            <w:r>
              <w:rPr>
                <w:b/>
                <w:i/>
              </w:rPr>
              <w:t>krænkelser</w:t>
            </w:r>
            <w:r>
              <w:t xml:space="preserve"> af de værdier, der er fastsat i artikel 2 i TEU;</w:t>
            </w:r>
          </w:p>
        </w:tc>
        <w:tc>
          <w:tcPr>
            <w:tcW w:w="4876" w:type="dxa"/>
            <w:tcBorders>
              <w:top w:val="nil"/>
              <w:left w:val="nil"/>
              <w:bottom w:val="nil"/>
              <w:right w:val="nil"/>
            </w:tcBorders>
          </w:tcPr>
          <w:p>
            <w:pPr>
              <w:pStyle w:val="Normal6a"/>
            </w:pPr>
            <w:r>
              <w:rPr>
                <w:b/>
                <w:i/>
              </w:rPr>
              <w:t>6.</w:t>
            </w:r>
            <w:r>
              <w:tab/>
            </w:r>
            <w:r>
              <w:t>understreger, at forordningen om konditionalitet er af budgetmæssig karakter, da den har til formål at sikre en forsvarlig økonomisk forvaltning af EU-midler og EU's finansielle interesser, og at den kun finder anvendelse, hvis en tilsidesættelse af retsstatsprincippet påvirker eller udgør en alvorlig risiko for at påvirke EU-budgettet; fremhæver, at den adskiller sig fra artikel 7</w:t>
            </w:r>
            <w:r>
              <w:rPr>
                <w:b/>
                <w:i/>
              </w:rPr>
              <w:t>, stk. 1 og 2,</w:t>
            </w:r>
            <w:r>
              <w:t xml:space="preserve"> i TEU, som </w:t>
            </w:r>
            <w:r>
              <w:rPr>
                <w:b/>
                <w:i/>
              </w:rPr>
              <w:t>adresserer situationer, hvor der er en klar risiko for en alvorlig overtrædelse eller en alvorlig</w:t>
            </w:r>
            <w:r>
              <w:t xml:space="preserve"> og vedvarende </w:t>
            </w:r>
            <w:r>
              <w:rPr>
                <w:b/>
                <w:i/>
              </w:rPr>
              <w:t>overtrædelse</w:t>
            </w:r>
            <w:r>
              <w:t xml:space="preserve"> af de værdier, der er fastsat i artikel </w:t>
            </w:r>
            <w:r>
              <w:rPr>
                <w:b/>
                <w:i/>
              </w:rPr>
              <w:t>2 i TEU, og gør det muligt for EU at identificere og reagere på sådanne risici, herunder ved at rette henstillinger til den pågældende medlemsstat i henhold til artikel 7, stk. 1, i TEU og, hvor det er relevant, ved at vedtage sanktioner i henhold til artikel 7, stk.</w:t>
            </w:r>
            <w:r>
              <w:t xml:space="preserve"> 2 </w:t>
            </w:r>
            <w:r>
              <w:rPr>
                <w:b/>
                <w:i/>
              </w:rPr>
              <w:t>og 3,</w:t>
            </w:r>
            <w:r>
              <w:t xml:space="preserve"> i TEU;</w:t>
            </w:r>
          </w:p>
        </w:tc>
      </w:tr>
    </w:tbl>
    <w:p>
      <w:r>
        <w:rPr>
          <w:rStyle w:val="HideTWBExt"/>
        </w:rPr>
        <w:t>&lt;/Amend&gt;</w:t>
      </w:r>
    </w:p>
    <w:p>
      <w:pPr>
        <w:pStyle w:val="AmNumberTabs"/>
      </w:pPr>
      <w:r>
        <w:rPr>
          <w:rStyle w:val="HideTWBExt"/>
        </w:rPr>
        <w:t>&lt;Amend&gt;</w:t>
      </w:r>
      <w:r>
        <w:t>Ændringsforslag</w:t>
      </w:r>
      <w:r>
        <w:tab/>
      </w:r>
      <w:r>
        <w:tab/>
      </w:r>
      <w:r>
        <w:rPr>
          <w:rStyle w:val="HideTWBExt"/>
        </w:rPr>
        <w:t>&lt;NumAm&gt;</w:t>
      </w:r>
      <w:r>
        <w:t>24</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understreger, at traktatbrudssager i henhold til artikel 258 i TEUF og artikel 6 i finansforordningen fortsat udgør supplerende redskaber til at håndtere systemiske tilsidesættelser af værdierne i artikel 2 i TEU;</w:t>
            </w:r>
          </w:p>
        </w:tc>
        <w:tc>
          <w:tcPr>
            <w:tcW w:w="4876" w:type="dxa"/>
            <w:tcBorders>
              <w:top w:val="nil"/>
              <w:left w:val="nil"/>
              <w:bottom w:val="nil"/>
              <w:right w:val="nil"/>
            </w:tcBorders>
          </w:tcPr>
          <w:p>
            <w:pPr>
              <w:pStyle w:val="Normal6a"/>
            </w:pPr>
            <w:r>
              <w:t>7.</w:t>
            </w:r>
            <w:r>
              <w:tab/>
            </w:r>
            <w:r>
              <w:t xml:space="preserve">understreger, at traktatbrudssager i henhold til artikel 258 </w:t>
            </w:r>
            <w:r>
              <w:rPr>
                <w:b/>
                <w:i/>
              </w:rPr>
              <w:t>og 260</w:t>
            </w:r>
            <w:r>
              <w:t xml:space="preserve"> i TEUF og artikel 6 i finansforordningen fortsat udgør supplerende redskaber til at håndtere systemiske tilsidesættelser af værdierne i artikel 2 i TEU;</w:t>
            </w:r>
            <w:r>
              <w:rPr>
                <w:b/>
                <w:i/>
              </w:rPr>
              <w:t xml:space="preserve"> bemærker desuden, at EU-Domstolens kommende dom i sag C-769/22, Kommissionen mod Ungarn (Den Europæiske Unions værdier) kan etablere artikel 2 i TEU som et selvstændigt retsgrundlag og derved styrke traktatbrudsprocedurerne;</w:t>
            </w:r>
          </w:p>
        </w:tc>
      </w:tr>
    </w:tbl>
    <w:p>
      <w:r>
        <w:rPr>
          <w:rStyle w:val="HideTWBExt"/>
        </w:rPr>
        <w:t>&lt;/Amend&gt;</w:t>
      </w:r>
    </w:p>
    <w:p>
      <w:pPr>
        <w:pStyle w:val="AmNumberTabs"/>
      </w:pPr>
      <w:r>
        <w:rPr>
          <w:rStyle w:val="HideTWBExt"/>
        </w:rPr>
        <w:t>&lt;Amend&gt;</w:t>
      </w:r>
      <w:r>
        <w:t>Ændringsforslag</w:t>
      </w:r>
      <w:r>
        <w:tab/>
      </w:r>
      <w:r>
        <w:tab/>
      </w:r>
      <w:r>
        <w:rPr>
          <w:rStyle w:val="HideTWBExt"/>
        </w:rPr>
        <w:t>&lt;NumAm&gt;</w:t>
      </w:r>
      <w:r>
        <w:t>25</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rPr>
                <w:b/>
                <w:i/>
              </w:rPr>
              <w:t>bifalder</w:t>
            </w:r>
            <w:r>
              <w:t xml:space="preserve"> EU-Domstolens domme af 16. februar 2022 i sag C-156/21 og C-157/21</w:t>
            </w:r>
            <w:r>
              <w:rPr>
                <w:b/>
                <w:i/>
              </w:rPr>
              <w:t>, som</w:t>
            </w:r>
            <w:r>
              <w:t xml:space="preserve"> i det hele afviste Ungarns og Polens søgsmål med påstand om annullation af forordningen om konditionalitet og utvetydigt bekræftede forordningens gyldighed, retsgrundlag og forenelighed med traktaten samt EU's beføjelser vedrørende retsstatsprincippet i medlemsstaterne;</w:t>
            </w:r>
          </w:p>
        </w:tc>
        <w:tc>
          <w:tcPr>
            <w:tcW w:w="4876" w:type="dxa"/>
            <w:tcBorders>
              <w:top w:val="nil"/>
              <w:left w:val="nil"/>
              <w:bottom w:val="nil"/>
              <w:right w:val="nil"/>
            </w:tcBorders>
          </w:tcPr>
          <w:p>
            <w:pPr>
              <w:pStyle w:val="Normal6a"/>
            </w:pPr>
            <w:r>
              <w:t>8.</w:t>
            </w:r>
            <w:r>
              <w:tab/>
            </w:r>
            <w:r>
              <w:rPr>
                <w:b/>
                <w:i/>
              </w:rPr>
              <w:t>noterer sig det forhold, at</w:t>
            </w:r>
            <w:r>
              <w:t xml:space="preserve"> EU-Domstolens domme af 16. februar 2022 i sag C-156/21 og C-157/21 i det hele afviste Ungarns og Polens søgsmål med påstand om annullation af forordningen om konditionalitet og utvetydigt bekræftede forordningens gyldighed, retsgrundlag og forenelighed med traktaten samt EU's beføjelser vedrørende retsstatsprincippet i medlemsstaterne;</w:t>
            </w:r>
            <w:r>
              <w:rPr>
                <w:b/>
                <w:i/>
              </w:rPr>
              <w:t xml:space="preserve"> bemærker endvidere, at EU-Domstolen i de samme domme bekræftede, at de værdier, der er udtrykt i artikel 2 i TEU, indeholder juridisk bindende forpligtelser for medlemsstaterne;</w:t>
            </w:r>
          </w:p>
        </w:tc>
      </w:tr>
    </w:tbl>
    <w:p>
      <w:r>
        <w:rPr>
          <w:rStyle w:val="HideTWBExt"/>
        </w:rPr>
        <w:t>&lt;/Amend&gt;</w:t>
      </w:r>
    </w:p>
    <w:p>
      <w:pPr>
        <w:pStyle w:val="AmNumberTabs"/>
      </w:pPr>
      <w:r>
        <w:rPr>
          <w:rStyle w:val="HideTWBExt"/>
        </w:rPr>
        <w:t>&lt;Amend&gt;</w:t>
      </w:r>
      <w:r>
        <w:t>Ændringsforslag</w:t>
      </w:r>
      <w:r>
        <w:tab/>
      </w:r>
      <w:r>
        <w:tab/>
      </w:r>
      <w:r>
        <w:rPr>
          <w:rStyle w:val="HideTWBExt"/>
        </w:rPr>
        <w:t>&lt;NumAm&gt;</w:t>
      </w:r>
      <w:r>
        <w:t>26</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noterer sig de yderligere præciseringer af processen, som Kommissionen kom med i sine retningslinjer fra 2022 om forordningen om konditionalitet, og gennemgangen af dens praktiske anvendelse i Kommissionens anvendelsesrapport fra 2024; beklager imidlertid, at </w:t>
            </w:r>
            <w:r>
              <w:rPr>
                <w:b/>
                <w:i/>
              </w:rPr>
              <w:t>retningslinjerne blev vedtaget over</w:t>
            </w:r>
            <w:r>
              <w:t xml:space="preserve"> et år efter </w:t>
            </w:r>
            <w:r>
              <w:rPr>
                <w:b/>
                <w:i/>
              </w:rPr>
              <w:t>forordningens</w:t>
            </w:r>
            <w:r>
              <w:t xml:space="preserve"> ikrafttræden, og at </w:t>
            </w:r>
            <w:r>
              <w:rPr>
                <w:b/>
                <w:i/>
              </w:rPr>
              <w:t>dette i praksis medvirkede til en forsinkelse i dens anvendelse</w:t>
            </w:r>
            <w:r>
              <w:t>;</w:t>
            </w:r>
          </w:p>
        </w:tc>
        <w:tc>
          <w:tcPr>
            <w:tcW w:w="4876" w:type="dxa"/>
            <w:tcBorders>
              <w:top w:val="nil"/>
              <w:left w:val="nil"/>
              <w:bottom w:val="nil"/>
              <w:right w:val="nil"/>
            </w:tcBorders>
          </w:tcPr>
          <w:p>
            <w:pPr>
              <w:pStyle w:val="Normal6a"/>
            </w:pPr>
            <w:r>
              <w:t>9.</w:t>
            </w:r>
            <w:r>
              <w:tab/>
            </w:r>
            <w:r>
              <w:t xml:space="preserve">noterer sig de yderligere præciseringer af processen, som Kommissionen kom med i sine retningslinjer fra 2022 om forordningen om konditionalitet, og gennemgangen af dens praktiske anvendelse i Kommissionens anvendelsesrapport fra 2024; beklager imidlertid, at </w:t>
            </w:r>
            <w:r>
              <w:rPr>
                <w:b/>
                <w:i/>
              </w:rPr>
              <w:t>Kommissionen ulovligt suspenderede anvendelsen af forordningen om konditionalitet i mere end</w:t>
            </w:r>
            <w:r>
              <w:t xml:space="preserve"> et år efter </w:t>
            </w:r>
            <w:r>
              <w:rPr>
                <w:b/>
                <w:i/>
              </w:rPr>
              <w:t>dens</w:t>
            </w:r>
            <w:r>
              <w:t xml:space="preserve"> ikrafttræden </w:t>
            </w:r>
            <w:r>
              <w:rPr>
                <w:b/>
                <w:i/>
              </w:rPr>
              <w:t>og dermed fulgte Det Europæiske Råds konklusioner, som var uforenelige med forordningen om konditionalitet</w:t>
            </w:r>
            <w:r>
              <w:t xml:space="preserve">, og </w:t>
            </w:r>
            <w:r>
              <w:rPr>
                <w:b/>
                <w:i/>
              </w:rPr>
              <w:t>som ikke var bindende for Kommissionen;</w:t>
            </w:r>
            <w:r>
              <w:rPr>
                <w:b/>
                <w:i/>
              </w:rPr>
              <w:t xml:space="preserve"> </w:t>
            </w:r>
            <w:r>
              <w:rPr>
                <w:b/>
                <w:i/>
              </w:rPr>
              <w:t>gentager sin beklagelse over,</w:t>
            </w:r>
            <w:r>
              <w:t xml:space="preserve"> at </w:t>
            </w:r>
            <w:r>
              <w:rPr>
                <w:b/>
                <w:i/>
              </w:rPr>
              <w:t>Kommissionen vedtog retningslinjer for anvendelsen af forordningen om konditionalitet, når der ikke var blevet påvist et behov for sådanne retningslinjer</w:t>
            </w:r>
            <w:r>
              <w:t>;</w:t>
            </w:r>
          </w:p>
        </w:tc>
      </w:tr>
    </w:tbl>
    <w:p>
      <w:r>
        <w:rPr>
          <w:rStyle w:val="HideTWBExt"/>
        </w:rPr>
        <w:t>&lt;/Amend&gt;</w:t>
      </w:r>
    </w:p>
    <w:p>
      <w:pPr>
        <w:pStyle w:val="AmNumberTabs"/>
      </w:pPr>
      <w:r>
        <w:rPr>
          <w:rStyle w:val="HideTWBExt"/>
        </w:rPr>
        <w:t>&lt;Amend&gt;</w:t>
      </w:r>
      <w:r>
        <w:t>Ændringsforslag</w:t>
      </w:r>
      <w:r>
        <w:tab/>
      </w:r>
      <w:r>
        <w:tab/>
      </w:r>
      <w:r>
        <w:rPr>
          <w:rStyle w:val="HideTWBExt"/>
        </w:rPr>
        <w:t>&lt;NumAm&gt;</w:t>
      </w:r>
      <w:r>
        <w:t>27</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10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10a.</w:t>
            </w:r>
            <w:r>
              <w:tab/>
            </w:r>
            <w:r>
              <w:rPr>
                <w:b/>
                <w:i/>
              </w:rPr>
              <w:t>bemærker, at forordningen om konditionalitet er det eneste instrument, hvori der stilles krav om en vurdering af, hvorvidt andre instrumenter ville kunne beskytte EU's finansielle interesser mod tilsidesættelser af retsstatsprincippet mere effektivt; mener, at det kan være nyttigt at overveje den praktiske relevans og proportionalitet af dette krav i forbindelse med dets gennemførelse;</w:t>
            </w:r>
          </w:p>
        </w:tc>
      </w:tr>
    </w:tbl>
    <w:p>
      <w:r>
        <w:rPr>
          <w:rStyle w:val="HideTWBExt"/>
        </w:rPr>
        <w:t>&lt;/Amend&gt;</w:t>
      </w:r>
    </w:p>
    <w:p>
      <w:pPr>
        <w:pStyle w:val="AmNumberTabs"/>
      </w:pPr>
      <w:r>
        <w:rPr>
          <w:rStyle w:val="HideTWBExt"/>
        </w:rPr>
        <w:t>&lt;Amend&gt;</w:t>
      </w:r>
      <w:r>
        <w:t>Ændringsforslag</w:t>
      </w:r>
      <w:r>
        <w:tab/>
      </w:r>
      <w:r>
        <w:tab/>
      </w:r>
      <w:r>
        <w:rPr>
          <w:rStyle w:val="HideTWBExt"/>
        </w:rPr>
        <w:t>&lt;NumAm&gt;</w:t>
      </w:r>
      <w:r>
        <w:t>28</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10 b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10b.</w:t>
            </w:r>
            <w:r>
              <w:tab/>
            </w:r>
            <w:r>
              <w:rPr>
                <w:b/>
                <w:i/>
              </w:rPr>
              <w:t>bemærker, at retsstatsprincippet, til trods for at medlemsstaterne har forskellige nationale identiteter og traditioner, udgør en fælles værdi for EU og medlemsstaterne og er en del af selve grundlaget for EU og dets retsorden</w:t>
            </w:r>
            <w:r>
              <w:rPr>
                <w:vertAlign w:val="superscript"/>
              </w:rPr>
              <w:t>1a</w:t>
            </w:r>
            <w:r>
              <w:rPr>
                <w:b/>
                <w:i/>
              </w:rPr>
              <w:t>; bemærker, at retsstatsprincippet kan defineres ved hjælp af seks principper som anerkendt af EU-Domstolen og Den Europæiske Menneskerettighedsdomstol og udviklet af Europarådet, nemlig: i) lovlighed, der indebærer en gennemsigtig, ansvarlig, demokratisk og pluralistisk lovgivningsproces, ii) retssikkerhed, iii) forbud mod vilkårlig udøvelse af den udøvende magt, iv) effektiv retsbeskyttelse ved uafhængige og upartiske domstole med effektiv domstolsprøvelse, herunder overholdelse af grundlæggende rettigheder, v) magtens tredeling og vi) lighed for loven;</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EU-Domstolen, sag C-156/21, nævnt ovenfor, præmis 128.</w:t>
            </w:r>
          </w:p>
        </w:tc>
      </w:tr>
    </w:tbl>
    <w:p>
      <w:r>
        <w:rPr>
          <w:rStyle w:val="HideTWBExt"/>
        </w:rPr>
        <w:t>&lt;/Amend&gt;</w:t>
      </w:r>
    </w:p>
    <w:p>
      <w:pPr>
        <w:pStyle w:val="AmNumberTabs"/>
      </w:pPr>
      <w:r>
        <w:rPr>
          <w:rStyle w:val="HideTWBExt"/>
        </w:rPr>
        <w:t>&lt;Amend&gt;</w:t>
      </w:r>
      <w:r>
        <w:t>Ændringsforslag</w:t>
      </w:r>
      <w:r>
        <w:tab/>
      </w:r>
      <w:r>
        <w:tab/>
      </w:r>
      <w:r>
        <w:rPr>
          <w:rStyle w:val="HideTWBExt"/>
        </w:rPr>
        <w:t>&lt;NumAm&gt;</w:t>
      </w:r>
      <w:r>
        <w:t>29</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bemærker, at potentielle tilsidesættelser af retsstatsprincippet bringes til Kommissionens opmærksomhed gennem et bredt evidensgrundlag, herunder rapporter fra Det Europæiske Kontor for Bekæmpelse af Svig (OLAF), Den Europæiske Anklagemyndighed (EPPO) og Revisionsretten samt bidrag fra civilsamfundsorganisationer, virksomheder og whistleblowere; beklager dybt den manglende gennemsigtighed med hensyn til vurderinger fra Kommissionen, der ikke fører til forslag til foranstaltninger, eller som fører til beslutninger om at anvende andre instrumenter;</w:t>
            </w:r>
          </w:p>
        </w:tc>
        <w:tc>
          <w:tcPr>
            <w:tcW w:w="4876" w:type="dxa"/>
            <w:tcBorders>
              <w:top w:val="nil"/>
              <w:left w:val="nil"/>
              <w:bottom w:val="nil"/>
              <w:right w:val="nil"/>
            </w:tcBorders>
          </w:tcPr>
          <w:p>
            <w:pPr>
              <w:pStyle w:val="Normal6a"/>
            </w:pPr>
            <w:r>
              <w:t>11.</w:t>
            </w:r>
            <w:r>
              <w:tab/>
            </w:r>
            <w:r>
              <w:t xml:space="preserve">bemærker, at potentielle tilsidesættelser af retsstatsprincippet bringes til Kommissionens opmærksomhed gennem et bredt evidensgrundlag, herunder </w:t>
            </w:r>
            <w:r>
              <w:rPr>
                <w:b/>
                <w:i/>
              </w:rPr>
              <w:t>Europa-Parlamentets beslutninger,</w:t>
            </w:r>
            <w:r>
              <w:t xml:space="preserve"> rapporter fra Det Europæiske Kontor for Bekæmpelse af Svig (OLAF), Den Europæiske Anklagemyndighed (EPPO) og Revisionsretten samt bidrag fra civilsamfundsorganisationer, virksomheder og whistleblowere; beklager dybt den manglende gennemsigtighed med hensyn til vurderinger fra Kommissionen, der ikke fører til forslag til foranstaltninger, eller som fører til beslutninger om at anvende andre instrumenter;</w:t>
            </w:r>
          </w:p>
        </w:tc>
      </w:tr>
    </w:tbl>
    <w:p>
      <w:r>
        <w:rPr>
          <w:rStyle w:val="HideTWBExt"/>
        </w:rPr>
        <w:t>&lt;/Amend&gt;</w:t>
      </w:r>
    </w:p>
    <w:p>
      <w:pPr>
        <w:pStyle w:val="AmNumberTabs"/>
      </w:pPr>
      <w:r>
        <w:rPr>
          <w:rStyle w:val="HideTWBExt"/>
        </w:rPr>
        <w:t>&lt;Amend&gt;</w:t>
      </w:r>
      <w:r>
        <w:t>Ændringsforslag</w:t>
      </w:r>
      <w:r>
        <w:tab/>
      </w:r>
      <w:r>
        <w:tab/>
      </w:r>
      <w:r>
        <w:rPr>
          <w:rStyle w:val="HideTWBExt"/>
        </w:rPr>
        <w:t>&lt;NumAm&gt;</w:t>
      </w:r>
      <w:r>
        <w:t>30</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 xml:space="preserve">bemærker, at det til dato kun er et meget begrænset antal interessenter, der har anvendt Kommissionens standardklageformular, der er knyttet som bilag til retningslinjerne fra 2022; </w:t>
            </w:r>
            <w:r>
              <w:rPr>
                <w:b/>
                <w:i/>
              </w:rPr>
              <w:t>anbefaler Kommissionen</w:t>
            </w:r>
            <w:r>
              <w:t xml:space="preserve"> at </w:t>
            </w:r>
            <w:r>
              <w:rPr>
                <w:b/>
                <w:i/>
              </w:rPr>
              <w:t>tage</w:t>
            </w:r>
            <w:r>
              <w:t xml:space="preserve"> imod klager i enhver skriftlig form; opfordrer endvidere til, at der oprettes en fortrolig indberetningssportal, hvorigennem interessenter kan gøre opmærksom på manglende overholdelse, så der hurtigt kan træffes afhjælpende foranstaltninger;</w:t>
            </w:r>
          </w:p>
        </w:tc>
        <w:tc>
          <w:tcPr>
            <w:tcW w:w="4876" w:type="dxa"/>
            <w:tcBorders>
              <w:top w:val="nil"/>
              <w:left w:val="nil"/>
              <w:bottom w:val="nil"/>
              <w:right w:val="nil"/>
            </w:tcBorders>
          </w:tcPr>
          <w:p>
            <w:pPr>
              <w:pStyle w:val="Normal6a"/>
            </w:pPr>
            <w:r>
              <w:t>12.</w:t>
            </w:r>
            <w:r>
              <w:tab/>
            </w:r>
            <w:r>
              <w:t xml:space="preserve">bemærker, at det til dato kun er et meget begrænset antal interessenter, der har anvendt Kommissionens standardklageformular, der er knyttet som bilag til retningslinjerne fra 2022; </w:t>
            </w:r>
            <w:r>
              <w:rPr>
                <w:b/>
                <w:i/>
              </w:rPr>
              <w:t>henstiller</w:t>
            </w:r>
            <w:r>
              <w:t xml:space="preserve"> at </w:t>
            </w:r>
            <w:r>
              <w:rPr>
                <w:b/>
                <w:i/>
              </w:rPr>
              <w:t>Kommissionen tager</w:t>
            </w:r>
            <w:r>
              <w:t xml:space="preserve"> imod klager i enhver skriftlig form</w:t>
            </w:r>
            <w:r>
              <w:rPr>
                <w:b/>
                <w:i/>
              </w:rPr>
              <w:t>, straks bekræfter modtagelsen af en sådan klage, samtidig med at den tildeler den et klart referencenummer, og giver klageren en opdatering om opfølgningen senest et år efter indgivelsen af klagen</w:t>
            </w:r>
            <w:r>
              <w:t xml:space="preserve">; opfordrer endvidere til, at der oprettes en fortrolig indberetningssportal, hvorigennem interessenter kan gøre opmærksom på manglende overholdelse, så der hurtigt kan træffes afhjælpende foranstaltninger; </w:t>
            </w:r>
            <w:r>
              <w:rPr>
                <w:b/>
                <w:i/>
              </w:rPr>
              <w:t>understreger vigtigheden af at øge bevidstheden om og synligheden af mekanismen; mener desuden, at Kommissionen efter at have modtaget en klage kan anlægge en mere støttende og fremmende tilgang for at bidrage til at sikre, at klagen indeholder de elementer, som er nødvendige til at foretage en korrekt vurdering af den;</w:t>
            </w:r>
          </w:p>
        </w:tc>
      </w:tr>
    </w:tbl>
    <w:p>
      <w:r>
        <w:rPr>
          <w:rStyle w:val="HideTWBExt"/>
        </w:rPr>
        <w:t>&lt;/Amend&gt;</w:t>
      </w:r>
    </w:p>
    <w:p>
      <w:pPr>
        <w:pStyle w:val="AmNumberTabs"/>
      </w:pPr>
      <w:r>
        <w:rPr>
          <w:rStyle w:val="HideTWBExt"/>
        </w:rPr>
        <w:t>&lt;Amend&gt;</w:t>
      </w:r>
      <w:r>
        <w:t>Ændringsforslag</w:t>
      </w:r>
      <w:r>
        <w:tab/>
      </w:r>
      <w:r>
        <w:tab/>
      </w:r>
      <w:r>
        <w:rPr>
          <w:rStyle w:val="HideTWBExt"/>
        </w:rPr>
        <w:t>&lt;NumAm&gt;</w:t>
      </w:r>
      <w:r>
        <w:t>31</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beklager, at der til trods for gentagne bekymrende konklusioner fra henholdsvis Kommissionen i dens årlige retsstatsrapporter og OLAF og EPPO, som peger på budgetmæssige risici i flere medlemsstater, kun er blevet sendt to formelle meddelelser og vedtaget foranstaltninger i en enkelt sag i henhold til forordningen om konditionalitet;</w:t>
            </w:r>
          </w:p>
        </w:tc>
        <w:tc>
          <w:tcPr>
            <w:tcW w:w="4876" w:type="dxa"/>
            <w:tcBorders>
              <w:top w:val="nil"/>
              <w:left w:val="nil"/>
              <w:bottom w:val="nil"/>
              <w:right w:val="nil"/>
            </w:tcBorders>
          </w:tcPr>
          <w:p>
            <w:pPr>
              <w:pStyle w:val="Normal6a"/>
            </w:pPr>
            <w:r>
              <w:t>13.</w:t>
            </w:r>
            <w:r>
              <w:tab/>
            </w:r>
            <w:r>
              <w:t xml:space="preserve">beklager, at der til trods for gentagne bekymrende konklusioner fra henholdsvis Kommissionen i dens årlige retsstatsrapporter </w:t>
            </w:r>
            <w:r>
              <w:rPr>
                <w:b/>
                <w:i/>
              </w:rPr>
              <w:t>samt rapporter fra civilsamfundsorganisationer</w:t>
            </w:r>
            <w:r>
              <w:t xml:space="preserve"> og OLAF og EPPO, som peger på budgetmæssige risici i flere medlemsstater, kun er blevet sendt to formelle meddelelser og vedtaget foranstaltninger i en enkelt sag i henhold til forordningen om konditionalitet; </w:t>
            </w:r>
            <w:r>
              <w:rPr>
                <w:b/>
                <w:i/>
              </w:rPr>
              <w:t>understreger behovet for et mere institutionaliseret og struktureret samarbejde mellem de relevante organer i denne henseende med henblik på at sikre, at forordningen om konditionalitet anvendes effektivt; bemærker i den forbindelse navnlig, at alvorlige konstateringer – som EPPO underrettede Kommissionen om for så vidt angår Polen i 2022 og Slovakiet i 2023 – ikke førte til nogen foranstaltninger i henhold til forordningen om konditionalitet;</w:t>
            </w:r>
          </w:p>
        </w:tc>
      </w:tr>
    </w:tbl>
    <w:p>
      <w:r>
        <w:rPr>
          <w:rStyle w:val="HideTWBExt"/>
        </w:rPr>
        <w:t>&lt;/Amend&gt;</w:t>
      </w:r>
    </w:p>
    <w:p>
      <w:pPr>
        <w:pStyle w:val="AmNumberTabs"/>
      </w:pPr>
      <w:r>
        <w:rPr>
          <w:rStyle w:val="HideTWBExt"/>
        </w:rPr>
        <w:t>&lt;Amend&gt;</w:t>
      </w:r>
      <w:r>
        <w:t>Ændringsforslag</w:t>
      </w:r>
      <w:r>
        <w:tab/>
      </w:r>
      <w:r>
        <w:tab/>
      </w:r>
      <w:r>
        <w:rPr>
          <w:rStyle w:val="HideTWBExt"/>
        </w:rPr>
        <w:t>&lt;NumAm&gt;</w:t>
      </w:r>
      <w:r>
        <w:t>32</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t xml:space="preserve">understreger, at forordningen om konditionalitet skal anvendes konsekvent på tværs af alle medlemsstater; opfordrer indtrængende Kommissionen og, hvor det er relevant, Rådet til at handle hurtigt og i fuld gennemsigtighed, hvis der er etableret en forbindelse mellem tilsidesættelser af retsstatsprincippet og risici for EU-budgettet, og den pågældende medlemsstat ikke gør noget for at håndtere situationen på en effektiv og holdbar måde; insisterer på, at langvarige uformelle dialoger ikke må træde i stedet for resolut handling, og at politisk dødvande eller </w:t>
            </w:r>
            <w:r>
              <w:rPr>
                <w:b/>
                <w:i/>
              </w:rPr>
              <w:t>afpresning</w:t>
            </w:r>
            <w:r>
              <w:t xml:space="preserve"> skal undgås;</w:t>
            </w:r>
          </w:p>
        </w:tc>
        <w:tc>
          <w:tcPr>
            <w:tcW w:w="4876" w:type="dxa"/>
            <w:tcBorders>
              <w:top w:val="nil"/>
              <w:left w:val="nil"/>
              <w:bottom w:val="nil"/>
              <w:right w:val="nil"/>
            </w:tcBorders>
          </w:tcPr>
          <w:p>
            <w:pPr>
              <w:pStyle w:val="Normal6a"/>
            </w:pPr>
            <w:r>
              <w:t>14.</w:t>
            </w:r>
            <w:r>
              <w:tab/>
            </w:r>
            <w:r>
              <w:t xml:space="preserve">understreger, at forordningen om konditionalitet skal anvendes konsekvent på tværs af alle medlemsstater; opfordrer indtrængende Kommissionen og, hvor det er relevant, Rådet til at handle hurtigt og i fuld gennemsigtighed, hvis der er etableret en forbindelse mellem tilsidesættelser af retsstatsprincippet og risici for EU-budgettet, og den pågældende medlemsstat ikke gør noget for at håndtere situationen på en effektiv og holdbar måde; insisterer på, at langvarige uformelle dialoger ikke må træde i stedet for resolut handling, og at politisk dødvande eller </w:t>
            </w:r>
            <w:r>
              <w:rPr>
                <w:b/>
                <w:i/>
              </w:rPr>
              <w:t>balancegang</w:t>
            </w:r>
            <w:r>
              <w:t xml:space="preserve"> skal undgås;</w:t>
            </w:r>
            <w:r>
              <w:rPr>
                <w:b/>
                <w:i/>
              </w:rPr>
              <w:t xml:space="preserve"> gentager, at retsstatsprincippet under ingen omstændigheder kan anses for at være underlagt politiske kompromiser;</w:t>
            </w:r>
          </w:p>
        </w:tc>
      </w:tr>
    </w:tbl>
    <w:p>
      <w:r>
        <w:rPr>
          <w:rStyle w:val="HideTWBExt"/>
        </w:rPr>
        <w:t>&lt;/Amend&gt;</w:t>
      </w:r>
    </w:p>
    <w:p>
      <w:pPr>
        <w:pStyle w:val="AmNumberTabs"/>
      </w:pPr>
      <w:r>
        <w:rPr>
          <w:rStyle w:val="HideTWBExt"/>
        </w:rPr>
        <w:t>&lt;Amend&gt;</w:t>
      </w:r>
      <w:r>
        <w:t>Ændringsforslag</w:t>
      </w:r>
      <w:r>
        <w:tab/>
      </w:r>
      <w:r>
        <w:tab/>
      </w:r>
      <w:r>
        <w:rPr>
          <w:rStyle w:val="HideTWBExt"/>
        </w:rPr>
        <w:t>&lt;NumAm&gt;</w:t>
      </w:r>
      <w:r>
        <w:t>33</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understreger, at Kommissionens vurderinger skal være upartiske og retfærdige, tage hensyn til alle foreliggende oplysninger og overholde principperne om objektivitet, ikkeforskelsbehandling og lighed mellem medlemsstaterne over for traktaterne; understreger, at beslutninger om at anvende budgetbeskyttelsesforanstaltninger og omfanget af sådanne foranstaltninger skal overholde proportionalitetsprincippet i artikel 5 i forordningen om konditionalitet og tage hensyn til overtrædelsens alvor, varighed og hyppighed, den pågældende medlemsstats samarbejde og den konkrete finansielle risiko samt indvirkningen på legitime slutmodtagere og tilskudsmodtagere, navnlig mindre modtagere; opfordrer Kommissionen til at offentliggøre den kvantitative risikovurderingsmetode, som den allerede anvender internt, i overensstemmelse med Revisionsrettens anbefaling;</w:t>
            </w:r>
          </w:p>
        </w:tc>
        <w:tc>
          <w:tcPr>
            <w:tcW w:w="4876" w:type="dxa"/>
            <w:tcBorders>
              <w:top w:val="nil"/>
              <w:left w:val="nil"/>
              <w:bottom w:val="nil"/>
              <w:right w:val="nil"/>
            </w:tcBorders>
          </w:tcPr>
          <w:p>
            <w:pPr>
              <w:pStyle w:val="Normal6a"/>
            </w:pPr>
            <w:r>
              <w:t>15.</w:t>
            </w:r>
            <w:r>
              <w:tab/>
            </w:r>
            <w:r>
              <w:t xml:space="preserve">understreger, at Kommissionens vurderinger skal være upartiske og retfærdige, tage hensyn til alle foreliggende oplysninger og overholde principperne om objektivitet, ikkeforskelsbehandling og lighed mellem medlemsstaterne over for traktaterne; understreger, at beslutninger om at anvende budgetbeskyttelsesforanstaltninger og omfanget af sådanne foranstaltninger skal overholde proportionalitetsprincippet i artikel 5 i forordningen om konditionalitet og tage hensyn til overtrædelsens alvor, varighed og hyppighed, den pågældende medlemsstats samarbejde og den konkrete finansielle risiko samt indvirkningen på legitime slutmodtagere og tilskudsmodtagere, navnlig mindre modtagere; opfordrer Kommissionen til at offentliggøre den kvantitative risikovurderingsmetode, som den allerede anvender internt, i overensstemmelse med Revisionsrettens anbefaling; </w:t>
            </w:r>
            <w:r>
              <w:rPr>
                <w:b/>
                <w:i/>
              </w:rPr>
              <w:t>minder om Revisionsrettens bekymrende konklusioner i dens særberetning nr. 03/2024, navnlig at politiske overvejelser spiller en vigtig rolle i forbindelse med beslutninger om ikke at blokere eller frigive midler, hvilket specifikt er blevet påvist ved, at Kommissionen tidligere ikke gjorde brug af forordningen om konditionalitet over for Polen og ikke har gjort brug af den med hensyn til Slovakiet, selv om den konstaterede budgetrelaterede overtrædelser af retsstatsprincippet i forhold til disse medlemsstater inden for rammerne af andre instrumenter;</w:t>
            </w:r>
          </w:p>
        </w:tc>
      </w:tr>
    </w:tbl>
    <w:p>
      <w:r>
        <w:rPr>
          <w:rStyle w:val="HideTWBExt"/>
        </w:rPr>
        <w:t>&lt;/Amend&gt;</w:t>
      </w:r>
    </w:p>
    <w:p>
      <w:pPr>
        <w:pStyle w:val="AmNumberTabs"/>
      </w:pPr>
      <w:r>
        <w:rPr>
          <w:rStyle w:val="HideTWBExt"/>
        </w:rPr>
        <w:t>&lt;Amend&gt;</w:t>
      </w:r>
      <w:r>
        <w:t>Ændringsforslag</w:t>
      </w:r>
      <w:r>
        <w:tab/>
      </w:r>
      <w:r>
        <w:tab/>
      </w:r>
      <w:r>
        <w:rPr>
          <w:rStyle w:val="HideTWBExt"/>
        </w:rPr>
        <w:t>&lt;NumAm&gt;</w:t>
      </w:r>
      <w:r>
        <w:t>34</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erkender, at visse aspekter af forordningen om konditionalitet gør det vanskeligt at udløse mekanismen, navnlig kravet om at påvise en tilstrækkelig direkte forbindelse mellem tilsidesættelser af retsstatsprincippet og en alvorlig risiko for en negativ indvirkning på EU-budgettet; understreger imidlertid, at sådanne krav ikke bør bruges som begrundelse for ikke at udløse mekanismen;</w:t>
            </w:r>
          </w:p>
        </w:tc>
        <w:tc>
          <w:tcPr>
            <w:tcW w:w="4876" w:type="dxa"/>
            <w:tcBorders>
              <w:top w:val="nil"/>
              <w:left w:val="nil"/>
              <w:bottom w:val="nil"/>
              <w:right w:val="nil"/>
            </w:tcBorders>
          </w:tcPr>
          <w:p>
            <w:pPr>
              <w:pStyle w:val="Normal6a"/>
            </w:pPr>
            <w:r>
              <w:t>16.</w:t>
            </w:r>
            <w:r>
              <w:tab/>
            </w:r>
            <w:r>
              <w:t>erkender, at visse aspekter af forordningen om konditionalitet gør det vanskeligt at udløse mekanismen, navnlig kravet om at påvise en tilstrækkelig direkte forbindelse mellem tilsidesættelser af retsstatsprincippet og en alvorlig risiko for en negativ indvirkning på EU-budgettet; understreger imidlertid, at sådanne krav ikke bør bruges som begrundelse for ikke at udløse mekanismen;</w:t>
            </w:r>
            <w:r>
              <w:rPr>
                <w:b/>
                <w:i/>
              </w:rPr>
              <w:t xml:space="preserve"> beklager i den forbindelse, at Kommissionen anvender den snævreste fortolkning af forordningen, hvorved den udelukker selv alvorlige overtrædelser, der påvirker EU-midler, fra dens anvendelse; </w:t>
            </w:r>
            <w:r>
              <w:rPr>
                <w:b/>
                <w:i/>
              </w:rPr>
              <w:t>gentager, at forordningen klart fastslår, at trusler mod retsvæsenets uafhængighed og begrænsning af adgangen til og effektiviteten af retsmidler, herunder gennem restriktive procedureregler og manglende fuldbyrdelse af retsafgørelser, udgør en krænkelse af retsstatsprincippet</w:t>
            </w:r>
            <w:r>
              <w:rPr>
                <w:vertAlign w:val="superscript"/>
              </w:rPr>
              <w:t>1a</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EUT C 465, 6.12.2022, s. 147.</w:t>
            </w:r>
          </w:p>
        </w:tc>
      </w:tr>
    </w:tbl>
    <w:p>
      <w:r>
        <w:rPr>
          <w:rStyle w:val="HideTWBExt"/>
        </w:rPr>
        <w:t>&lt;/Amend&gt;</w:t>
      </w:r>
    </w:p>
    <w:p>
      <w:pPr>
        <w:pStyle w:val="AmNumberTabs"/>
      </w:pPr>
      <w:r>
        <w:rPr>
          <w:rStyle w:val="HideTWBExt"/>
        </w:rPr>
        <w:t>&lt;Amend&gt;</w:t>
      </w:r>
      <w:r>
        <w:t>Ændringsforslag</w:t>
      </w:r>
      <w:r>
        <w:tab/>
      </w:r>
      <w:r>
        <w:tab/>
      </w:r>
      <w:r>
        <w:rPr>
          <w:rStyle w:val="HideTWBExt"/>
        </w:rPr>
        <w:t>&lt;NumAm&gt;</w:t>
      </w:r>
      <w:r>
        <w:t>35</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16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16a.</w:t>
            </w:r>
            <w:r>
              <w:tab/>
            </w:r>
            <w:r>
              <w:rPr>
                <w:b/>
                <w:i/>
              </w:rPr>
              <w:t>understreger, at mangler på retsstatsområdet – selv når disse er af generel karakter og påvirker retssystemet i en medlemsstat som helhed, såsom brud på retsvæsenets uafhængighed, anklagemyndighedens effektivitet, de øverste revisionsinstitutioner eller mediepluralisme – kan påvirke EU-budgettet på en direkte og alvorlig måde ved at fjerne systemiske garantier mod svigagtige og andre ulovlige aktiviteter; understreger, at begrebet direkte indvirkning på EU-budgettet ikke må fortolkes således, at det begrænser anvendelsesområdet for forordningen om konditionalitet til kun at omfatte spørgsmål, der specifikt vedrører gennemførelsen af budgettet, såsom lovgivningen om offentlige udbud, da denne tilgang kun vil motivere aktører i ond tro til at undergrave beskyttelsen af retsstatsprincippet mere bredt;</w:t>
            </w:r>
          </w:p>
        </w:tc>
      </w:tr>
    </w:tbl>
    <w:p>
      <w:r>
        <w:rPr>
          <w:rStyle w:val="HideTWBExt"/>
        </w:rPr>
        <w:t>&lt;/Amend&gt;</w:t>
      </w:r>
    </w:p>
    <w:p>
      <w:pPr>
        <w:pStyle w:val="AmNumberTabs"/>
      </w:pPr>
      <w:r>
        <w:rPr>
          <w:rStyle w:val="HideTWBExt"/>
        </w:rPr>
        <w:t>&lt;Amend&gt;</w:t>
      </w:r>
      <w:r>
        <w:t>Ændringsforslag</w:t>
      </w:r>
      <w:r>
        <w:tab/>
      </w:r>
      <w:r>
        <w:tab/>
      </w:r>
      <w:r>
        <w:rPr>
          <w:rStyle w:val="HideTWBExt"/>
        </w:rPr>
        <w:t>&lt;NumAm&gt;</w:t>
      </w:r>
      <w:r>
        <w:t>36</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16 b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16b.</w:t>
            </w:r>
            <w:r>
              <w:tab/>
            </w:r>
            <w:r>
              <w:rPr>
                <w:b/>
                <w:i/>
              </w:rPr>
              <w:t>minder om, at et ineffektivt eller forsinket samarbejde mellem en medlemsstat på den ene side og EPPO eller OLAF på den anden side udgør grundlaget for foranstaltninger i henhold til forordningen om konditionalitet; understreger desuden behovet for at udvikle mere konkrete former for samarbejde med de relevante EU-organer og agenturer for at sikre den effektive beskyttelse af EU's finansielle interesser; opfordrer desuden til, at tiltrædelse af EPPO indføres som en betingelse for kandidatlande, der søger optagelse i EU, for at forhindre situationer, hvor nogle medlemsstater nægter at deltage i denne mekanisme;</w:t>
            </w:r>
          </w:p>
        </w:tc>
      </w:tr>
    </w:tbl>
    <w:p>
      <w:r>
        <w:rPr>
          <w:rStyle w:val="HideTWBExt"/>
        </w:rPr>
        <w:t>&lt;/Amend&gt;</w:t>
      </w:r>
    </w:p>
    <w:p>
      <w:pPr>
        <w:pStyle w:val="AmNumberTabs"/>
      </w:pPr>
      <w:r>
        <w:rPr>
          <w:rStyle w:val="HideTWBExt"/>
        </w:rPr>
        <w:t>&lt;Amend&gt;</w:t>
      </w:r>
      <w:r>
        <w:t>Ændringsforslag</w:t>
      </w:r>
      <w:r>
        <w:tab/>
      </w:r>
      <w:r>
        <w:tab/>
      </w:r>
      <w:r>
        <w:rPr>
          <w:rStyle w:val="HideTWBExt"/>
        </w:rPr>
        <w:t>&lt;NumAm&gt;</w:t>
      </w:r>
      <w:r>
        <w:t>37</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16 c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16c.</w:t>
            </w:r>
            <w:r>
              <w:tab/>
            </w:r>
            <w:r>
              <w:rPr>
                <w:b/>
                <w:i/>
              </w:rPr>
              <w:t>understreger, at EU som led i sine bestræbelser på at sikre den mest effektive beskyttelse af sine finansielle interesser har indledt det forberedende arbejde med hensyn til at gennemgå arkitekturen til bekæmpelse af svig med sigte på at styrke effektiviteten hos de relevante aktører og undgå dobbeltarbejde i alle faser af cyklussen til bekæmpelse af svig, herunder forebyggelse, afsløring, undersøgelse, korrektion og tilbagesøgning af de pågældende beløb; understreger, at dette arbejde bør hænge tæt sammen med gennemførelsen af forordningen om konditionalitet med henblik på at sikre konsekvens og komplementaritet i beskyttelsen af EU-budgettet;</w:t>
            </w:r>
          </w:p>
        </w:tc>
      </w:tr>
    </w:tbl>
    <w:p>
      <w:r>
        <w:rPr>
          <w:rStyle w:val="HideTWBExt"/>
        </w:rPr>
        <w:t>&lt;/Amend&gt;</w:t>
      </w:r>
    </w:p>
    <w:p>
      <w:pPr>
        <w:pStyle w:val="AmNumberTabs"/>
      </w:pPr>
      <w:r>
        <w:rPr>
          <w:rStyle w:val="HideTWBExt"/>
        </w:rPr>
        <w:t>&lt;Amend&gt;</w:t>
      </w:r>
      <w:r>
        <w:t>Ændringsforslag</w:t>
      </w:r>
      <w:r>
        <w:tab/>
      </w:r>
      <w:r>
        <w:tab/>
      </w:r>
      <w:r>
        <w:rPr>
          <w:rStyle w:val="HideTWBExt"/>
        </w:rPr>
        <w:t>&lt;NumAm&gt;</w:t>
      </w:r>
      <w:r>
        <w:t>38</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16 d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16d.</w:t>
            </w:r>
            <w:r>
              <w:tab/>
            </w:r>
            <w:r>
              <w:rPr>
                <w:b/>
                <w:i/>
              </w:rPr>
              <w:t>bemærker, at proceduren i forordningen om konditionalitet ifølge Kommissionens evaluering i 2024 er forholdsvis hurtig at gennemføre, men at tidsfristerne for Kommissionen kun giver mulighed for begrænset fleksibilitet og i visse faser er særligt udfordrende; understreger, at effektiviteten af proceduren som understreget i Kommissionens rapport kunne forbedres, hvis medlemsstaten, når denne indsender sine bemærkninger til Kommissionen, eventuelt også fremlægger synspunkter fra de statslige enheder, der berøres af foranstaltningerne, således at man sikrer en mere detaljeret vurdering af de pågældende problemer og af de foranstaltninger, der vil mere mest effektive; understreger, at hvis det anses for relevant, bør der som minimum være klarhed om, hvordan dette krav skal forstås og anvendes;</w:t>
            </w:r>
          </w:p>
        </w:tc>
      </w:tr>
    </w:tbl>
    <w:p>
      <w:r>
        <w:rPr>
          <w:rStyle w:val="HideTWBExt"/>
        </w:rPr>
        <w:t>&lt;/Amend&gt;</w:t>
      </w:r>
    </w:p>
    <w:p>
      <w:pPr>
        <w:pStyle w:val="AmNumberTabs"/>
      </w:pPr>
      <w:r>
        <w:rPr>
          <w:rStyle w:val="HideTWBExt"/>
        </w:rPr>
        <w:t>&lt;Amend&gt;</w:t>
      </w:r>
      <w:r>
        <w:t>Ændringsforslag</w:t>
      </w:r>
      <w:r>
        <w:tab/>
      </w:r>
      <w:r>
        <w:tab/>
      </w:r>
      <w:r>
        <w:rPr>
          <w:rStyle w:val="HideTWBExt"/>
        </w:rPr>
        <w:t>&lt;NumAm&gt;</w:t>
      </w:r>
      <w:r>
        <w:t>39</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bemærker, at Rådet har besluttet at suspendere 55 % af budgetforpligtelserne for tre operationelle programmer under samhørighedspolitikken for Ungarn; henviser til den juridiske analyse</w:t>
            </w:r>
            <w:r>
              <w:rPr>
                <w:vertAlign w:val="superscript"/>
              </w:rPr>
              <w:t>17</w:t>
            </w:r>
            <w:r>
              <w:t>, der viser, at den systemiske og vedvarende karakter af tilsidesættelserne af retsstatsprincippet i Ungarn burde have ført til en betydeligt højere suspension af EU-midler for at beskytte EU-budgettet i overensstemmelse med proportionalitetsprincippet; bemærker, at Kommissionen i begge sine revurderinger fra december 2023 og december 2024 af situationen i Ungarn konkluderede, at den situation, der førte til vedtagelsen af foranstaltninger, ikke var blevet afhjulpet; opfordrer Kommissionen til at vurdere og skride ind over for tilbageskridt med hensyn til retsstatsprincippet, enten ved at foreslå yderligere foranstaltninger eller ved at ajourføre eksisterende;</w:t>
            </w:r>
          </w:p>
        </w:tc>
        <w:tc>
          <w:tcPr>
            <w:tcW w:w="4876" w:type="dxa"/>
            <w:tcBorders>
              <w:top w:val="nil"/>
              <w:left w:val="nil"/>
              <w:bottom w:val="nil"/>
              <w:right w:val="nil"/>
            </w:tcBorders>
          </w:tcPr>
          <w:p>
            <w:pPr>
              <w:pStyle w:val="Normal6a"/>
            </w:pPr>
            <w:r>
              <w:t>17.</w:t>
            </w:r>
            <w:r>
              <w:tab/>
            </w:r>
            <w:r>
              <w:t>bemærker, at Rådet har besluttet at suspendere 55 % af budgetforpligtelserne for tre operationelle programmer under samhørighedspolitikken for Ungarn</w:t>
            </w:r>
            <w:r>
              <w:rPr>
                <w:b/>
                <w:i/>
              </w:rPr>
              <w:t>, og at forbyde indgåelse af nye retlige forpligtelser med ungarske truster af offentlig interesse og enheder, som de ejer helt eller delvist</w:t>
            </w:r>
            <w:r>
              <w:t>; henviser til den juridiske analyse</w:t>
            </w:r>
            <w:r>
              <w:rPr>
                <w:vertAlign w:val="superscript"/>
              </w:rPr>
              <w:t>17</w:t>
            </w:r>
            <w:r>
              <w:t>, der viser, at den systemiske og vedvarende karakter af tilsidesættelserne af retsstatsprincippet i Ungarn burde have ført til en betydeligt højere suspension af EU-midler for at beskytte EU-budgettet i overensstemmelse med proportionalitetsprincippet; bemærker, at Kommissionen i begge sine revurderinger fra december 2023 og december 2024 af situationen i Ungarn konkluderede, at den situation, der førte til vedtagelsen af foranstaltninger, ikke var blevet afhjulpet; opfordrer Kommissionen til at vurdere og skride ind over for tilbageskridt med hensyn til retsstatsprincippet, enten ved at foreslå yderligere foranstaltninger eller ved at ajourføre eksisterende</w:t>
            </w:r>
            <w:r>
              <w:rPr>
                <w:b/>
                <w:i/>
              </w:rPr>
              <w:t>, således at de bringes i overensstemmelse med den ovenfornævnte juridiske analyse</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17</w:t>
            </w:r>
            <w:r>
              <w:t xml:space="preserve"> </w:t>
            </w:r>
            <w:r>
              <w:t>Undersøgelse bestilt af Daniel Freund, medlem af Europa-Parlamentet i Verts/ALE-Gruppen – Lane Scheppele, K., Kelemen, R. D., Morijn, J., "Freezing all EU funds to Hungary: A legal analysis of why a 100 % suspension is "proportionate" and "appropriate" under Regulation 2020/2092 on a general regime of conditionality for the protection of the Union budget" (Indefrysning af alle EU-midler til Ungarn: En juridisk analyse af, hvorfor en suspension på 100 % er "forholdsmæssig" og "hensigtsmæssig" i henhold til forordning 2020/2092 om en generel ordning med konditionalitet til beskyttelse af Unionens budget), maj 2022.</w:t>
            </w:r>
          </w:p>
        </w:tc>
        <w:tc>
          <w:tcPr>
            <w:tcW w:w="4876" w:type="dxa"/>
            <w:tcBorders>
              <w:top w:val="nil"/>
              <w:left w:val="nil"/>
              <w:bottom w:val="nil"/>
              <w:right w:val="nil"/>
            </w:tcBorders>
          </w:tcPr>
          <w:p>
            <w:pPr>
              <w:pStyle w:val="Normal6a"/>
            </w:pPr>
            <w:r>
              <w:rPr>
                <w:vertAlign w:val="superscript"/>
              </w:rPr>
              <w:t>17</w:t>
            </w:r>
            <w:r>
              <w:t xml:space="preserve"> </w:t>
            </w:r>
            <w:r>
              <w:t>Undersøgelse bestilt af Daniel Freund, medlem af Europa-Parlamentet i Verts/ALE-Gruppen – Lane Scheppele, K., Kelemen, R. D., Morijn, J., "Freezing all EU funds to Hungary: A legal analysis of why a 100 % suspension is "proportionate" and "appropriate" under Regulation 2020/2092 on a general regime of conditionality for the protection of the Union budget" (Indefrysning af alle EU-midler til Ungarn: En juridisk analyse af, hvorfor en suspension på 100 % er "forholdsmæssig" og "hensigtsmæssig" i henhold til forordning 2020/2092 om en generel ordning med konditionalitet til beskyttelse af Unionens budget), maj 2022.</w:t>
            </w:r>
          </w:p>
        </w:tc>
      </w:tr>
    </w:tbl>
    <w:p>
      <w:r>
        <w:rPr>
          <w:rStyle w:val="HideTWBExt"/>
        </w:rPr>
        <w:t>&lt;/Amend&gt;</w:t>
      </w:r>
    </w:p>
    <w:p>
      <w:pPr>
        <w:pStyle w:val="AmNumberTabs"/>
      </w:pPr>
      <w:r>
        <w:rPr>
          <w:rStyle w:val="HideTWBExt"/>
        </w:rPr>
        <w:t>&lt;Amend&gt;</w:t>
      </w:r>
      <w:r>
        <w:t>Ændringsforslag</w:t>
      </w:r>
      <w:r>
        <w:tab/>
      </w:r>
      <w:r>
        <w:tab/>
      </w:r>
      <w:r>
        <w:rPr>
          <w:rStyle w:val="HideTWBExt"/>
        </w:rPr>
        <w:t>&lt;NumAm&gt;</w:t>
      </w:r>
      <w:r>
        <w:t>40</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20.</w:t>
            </w:r>
            <w:r>
              <w:tab/>
            </w:r>
            <w:r>
              <w:t>minder om, at forordningen om konditionalitet udtrykkeligt fastsætter, at den supplerer eksisterende budgetbeskyttelsesværktøjer og skal anvendes, "hvor andre procedurer fastsat i EU-lovgivningen ikke muliggør en mere effektiv beskyttelse af Unionens budget"; beklager, at Kommissionen tolker denne ordlyd sådan, at instrumentet kun bør anvendes som en sidste udvej; bemærker med bekymring, at Kommissionens overvågning af retsstatsprincippet er opdelt mellem forskellige tjenestegrene, hvilket til tider resulterer i inkonsekvent og forsinket handling;</w:t>
            </w:r>
          </w:p>
        </w:tc>
        <w:tc>
          <w:tcPr>
            <w:tcW w:w="4876" w:type="dxa"/>
            <w:tcBorders>
              <w:top w:val="nil"/>
              <w:left w:val="nil"/>
              <w:bottom w:val="nil"/>
              <w:right w:val="nil"/>
            </w:tcBorders>
          </w:tcPr>
          <w:p>
            <w:pPr>
              <w:pStyle w:val="Normal6a"/>
            </w:pPr>
            <w:r>
              <w:t>20.</w:t>
            </w:r>
            <w:r>
              <w:tab/>
            </w:r>
            <w:r>
              <w:t xml:space="preserve">minder om, at forordningen om konditionalitet udtrykkeligt fastsætter, at den supplerer eksisterende budgetbeskyttelsesværktøjer og skal anvendes, "hvor andre procedurer fastsat i EU-lovgivningen ikke muliggør en mere effektiv beskyttelse af Unionens budget"; beklager, at Kommissionen tolker denne ordlyd sådan, at instrumentet kun bør anvendes som en sidste udvej; bemærker med bekymring, at Kommissionens overvågning af retsstatsprincippet er opdelt mellem forskellige tjenestegrene, hvilket til tider resulterer i inkonsekvent og forsinket </w:t>
            </w:r>
            <w:r>
              <w:rPr>
                <w:b/>
                <w:i/>
              </w:rPr>
              <w:t>handling eller slet ingen</w:t>
            </w:r>
            <w:r>
              <w:t xml:space="preserve"> handling;</w:t>
            </w:r>
          </w:p>
        </w:tc>
      </w:tr>
    </w:tbl>
    <w:p>
      <w:r>
        <w:rPr>
          <w:rStyle w:val="HideTWBExt"/>
        </w:rPr>
        <w:t>&lt;/Amend&gt;</w:t>
      </w:r>
    </w:p>
    <w:p>
      <w:pPr>
        <w:pStyle w:val="AmNumberTabs"/>
      </w:pPr>
      <w:r>
        <w:rPr>
          <w:rStyle w:val="HideTWBExt"/>
        </w:rPr>
        <w:t>&lt;Amend&gt;</w:t>
      </w:r>
      <w:r>
        <w:t>Ændringsforslag</w:t>
      </w:r>
      <w:r>
        <w:tab/>
      </w:r>
      <w:r>
        <w:tab/>
      </w:r>
      <w:r>
        <w:rPr>
          <w:rStyle w:val="HideTWBExt"/>
        </w:rPr>
        <w:t>&lt;NumAm&gt;</w:t>
      </w:r>
      <w:r>
        <w:t>41</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21.</w:t>
            </w:r>
            <w:r>
              <w:tab/>
            </w:r>
            <w:r>
              <w:t>anser det for uklart, hvordan forordningen om konditionalitet samvirker med andre instrumenter fra retsstatsværktøjskassen i praksis, navnlig den horisontale grundforudsætning vedrørende chartret i henhold til forordningen om fælles bestemmelser og de retsstatsrelaterede "supermilepæle" inden for rammen af genopretnings- og resiliensfaciliteten; beklager, at Kommissionen i december 2023 vurderede, at Ungarn havde opfyldt den horisontale grundforudsætning om retsvæsenets uafhængighed, samtidig med at den opretholdt de foranstaltninger, der var blevet indført i henhold til forordningen om konditionalitet; understreger, at denne mangel på sammenhæng hæmmer den demokratiske kontrol med deres anvendelse;</w:t>
            </w:r>
          </w:p>
        </w:tc>
        <w:tc>
          <w:tcPr>
            <w:tcW w:w="4876" w:type="dxa"/>
            <w:tcBorders>
              <w:top w:val="nil"/>
              <w:left w:val="nil"/>
              <w:bottom w:val="nil"/>
              <w:right w:val="nil"/>
            </w:tcBorders>
          </w:tcPr>
          <w:p>
            <w:pPr>
              <w:pStyle w:val="Normal6a"/>
            </w:pPr>
            <w:r>
              <w:t>21.</w:t>
            </w:r>
            <w:r>
              <w:tab/>
            </w:r>
            <w:r>
              <w:t xml:space="preserve">anser det for uklart, hvordan forordningen om konditionalitet samvirker med andre instrumenter fra retsstatsværktøjskassen i praksis, navnlig den horisontale grundforudsætning vedrørende chartret i henhold til forordningen om fælles bestemmelser og de retsstatsrelaterede "supermilepæle" inden for rammen af genopretnings- og resiliensfaciliteten; beklager, at Kommissionen i december 2023 vurderede, at Ungarn havde opfyldt den horisontale grundforudsætning om retsvæsenets uafhængighed, samtidig med at den opretholdt de foranstaltninger, der var blevet indført i henhold til forordningen om konditionalitet; </w:t>
            </w:r>
            <w:r>
              <w:rPr>
                <w:b/>
                <w:i/>
              </w:rPr>
              <w:t>bemærker i øvrigt f.eks., at visse midler i Polen ikke blev frigivet, fordi en horisontal grundforudsætning ikke var opfyldt, eller fordi "supermilepæle" ikke var nået, mens der ikke forelå dokumentation om årsagerne til den manglende anvendelse af forordningen om konditionalitet;</w:t>
            </w:r>
            <w:r>
              <w:t xml:space="preserve"> understreger, at denne mangel på sammenhæng hæmmer den demokratiske kontrol med deres anvendelse; </w:t>
            </w:r>
            <w:r>
              <w:rPr>
                <w:b/>
                <w:i/>
              </w:rPr>
              <w:t>gentager sin holdning om, at Kommissionens afgørelse er ulovlig, som påstået i Parlamentets verserende sag mod Kommissionen i sag C-225/24, navnlig på grund af tilsidesættelsen af flere materielle bestemmelser i forordningen om fælles bestemmelser og Kommissionens pligt til at begrunde sin afgørelse samt dens magtmisbrug i form af en politisk afvejning af Ungarns ophævelse af sit veto mod visse hasteafgørelser, som krævede enstemmighed i Det Europæiske Råd;</w:t>
            </w:r>
          </w:p>
        </w:tc>
      </w:tr>
    </w:tbl>
    <w:p>
      <w:r>
        <w:rPr>
          <w:rStyle w:val="HideTWBExt"/>
        </w:rPr>
        <w:t>&lt;/Amend&gt;</w:t>
      </w:r>
    </w:p>
    <w:p>
      <w:pPr>
        <w:pStyle w:val="AmNumberTabs"/>
      </w:pPr>
      <w:r>
        <w:rPr>
          <w:rStyle w:val="HideTWBExt"/>
        </w:rPr>
        <w:t>&lt;Amend&gt;</w:t>
      </w:r>
      <w:r>
        <w:t>Ændringsforslag</w:t>
      </w:r>
      <w:r>
        <w:tab/>
      </w:r>
      <w:r>
        <w:tab/>
      </w:r>
      <w:r>
        <w:rPr>
          <w:rStyle w:val="HideTWBExt"/>
        </w:rPr>
        <w:t>&lt;NumAm&gt;</w:t>
      </w:r>
      <w:r>
        <w:t>42</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rPr>
                <w:b/>
                <w:i/>
              </w:rPr>
              <w:t>advarer om</w:t>
            </w:r>
            <w:r>
              <w:t xml:space="preserve">, at </w:t>
            </w:r>
            <w:r>
              <w:rPr>
                <w:b/>
                <w:i/>
              </w:rPr>
              <w:t>omfordeling eller omkanalisering af indefrosne bevillinger til andre programmer eller mål vil sende dét signal til regeringer</w:t>
            </w:r>
            <w:r>
              <w:t xml:space="preserve">, der </w:t>
            </w:r>
            <w:r>
              <w:rPr>
                <w:b/>
                <w:i/>
              </w:rPr>
              <w:t>ikke overholder reglerne, at tab kan udlignes andre steder</w:t>
            </w:r>
            <w:r>
              <w:t>; opfordrer derfor indtrængende Kommissionen til at afvise enhver anmodning om overførsel til andre programmer eller til prioriteter under samme program, som ville føre til en omgåelse af suspensioner indført i henhold til forordningen om konditionalitet; anmoder om, at Kommissionen sender Parlamentet den fulde tekst til enhver sådan anmodning om overførsel, således at den demokratiske kontrol kan finde sted før og ikke efter Kommissionens afgørelse;</w:t>
            </w:r>
          </w:p>
        </w:tc>
        <w:tc>
          <w:tcPr>
            <w:tcW w:w="4876" w:type="dxa"/>
            <w:tcBorders>
              <w:top w:val="nil"/>
              <w:left w:val="nil"/>
              <w:bottom w:val="nil"/>
              <w:right w:val="nil"/>
            </w:tcBorders>
          </w:tcPr>
          <w:p>
            <w:pPr>
              <w:pStyle w:val="Normal6a"/>
            </w:pPr>
            <w:r>
              <w:t>23.</w:t>
            </w:r>
            <w:r>
              <w:tab/>
            </w:r>
            <w:r>
              <w:rPr>
                <w:b/>
                <w:i/>
              </w:rPr>
              <w:t>understreger</w:t>
            </w:r>
            <w:r>
              <w:t xml:space="preserve">, at </w:t>
            </w:r>
            <w:r>
              <w:rPr>
                <w:b/>
                <w:i/>
              </w:rPr>
              <w:t>ingen overførsler, programændringer eller omkanaliseringer, herunder forpligtelser og betalinger, bør anvendes til at udligne foranstaltninger</w:t>
            </w:r>
            <w:r>
              <w:t xml:space="preserve">, der </w:t>
            </w:r>
            <w:r>
              <w:rPr>
                <w:b/>
                <w:i/>
              </w:rPr>
              <w:t>gennemføres i henhold til forordningen om konditionalitet eller forordningen om fælles bestemmelser</w:t>
            </w:r>
            <w:r>
              <w:t xml:space="preserve">; opfordrer derfor indtrængende Kommissionen til at afvise enhver anmodning om overførsel til andre programmer eller til prioriteter under samme program, som ville føre til en omgåelse af suspensioner indført i henhold til forordningen om konditionalitet </w:t>
            </w:r>
            <w:r>
              <w:rPr>
                <w:b/>
                <w:i/>
              </w:rPr>
              <w:t>og forordningen om fælles bestemmelser</w:t>
            </w:r>
            <w:r>
              <w:t>; anmoder om, at Kommissionen sender Parlamentet den fulde tekst til enhver sådan anmodning om overførsel, således at den demokratiske kontrol kan finde sted før og ikke efter Kommissionens afgørelse;</w:t>
            </w:r>
            <w:r>
              <w:rPr>
                <w:b/>
                <w:i/>
              </w:rPr>
              <w:t xml:space="preserve"> minder om det tilsagn, som Kommissionen gav i forbindelse med vedtagelsen af den reviderede pakke om samhørighedspolitikken om at sikre, at de nye fleksibilitetsmekanismer ikke kan anvendes til at omgå foranstaltninger, der er vedtaget i henhold til forordningen om konditionalitet eller forordningen om fælles bestemmelser; opfordrer Kommissionen og medlemsstaterne til fuldt ud at opretholde denne forpligtelse i praksis for at bevare den afskrækkende virkning og integritet af rammen for konditionalitet vedrørende retsstatsprincippet; understreger, at sådanne overførsler bør betragtes som ulovlige i henhold til lovgivningen; opfordrer Kommissionen til at sikre, at der er indført retlige garantier med henblik herpå, herunder inden for rammerne af FFR 2028-2034;</w:t>
            </w:r>
          </w:p>
        </w:tc>
      </w:tr>
    </w:tbl>
    <w:p>
      <w:r>
        <w:rPr>
          <w:rStyle w:val="HideTWBExt"/>
        </w:rPr>
        <w:t>&lt;/Amend&gt;</w:t>
      </w:r>
    </w:p>
    <w:p>
      <w:pPr>
        <w:pStyle w:val="AmNumberTabs"/>
      </w:pPr>
      <w:r>
        <w:rPr>
          <w:rStyle w:val="HideTWBExt"/>
        </w:rPr>
        <w:t>&lt;Amend&gt;</w:t>
      </w:r>
      <w:r>
        <w:t>Ændringsforslag</w:t>
      </w:r>
      <w:r>
        <w:tab/>
      </w:r>
      <w:r>
        <w:tab/>
      </w:r>
      <w:r>
        <w:rPr>
          <w:rStyle w:val="HideTWBExt"/>
        </w:rPr>
        <w:t>&lt;NumAm&gt;</w:t>
      </w:r>
      <w:r>
        <w:t>43</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23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 a.</w:t>
            </w:r>
            <w:r>
              <w:tab/>
            </w:r>
            <w:r>
              <w:rPr>
                <w:b/>
                <w:i/>
              </w:rPr>
              <w:t>glæder sig over Kommissionens forslag om at styrke forbindelsen mellem henstillingerne i retsstatsrapporten og den finansielle støtte under FFR 2028-2034 og om i forbindelse med retsstatsprincippet at generalisere den "reform-for-funds"-plan, der er udviklet inden for rammerne af genopretnings- og resiliensfaciliteten efter covid-19 under de nationale og regionale partnerskabsplaner; understreger, at evalueringen af retsstatsbetingelser og benchmarks i henhold til FFR 2028-2034 skal baseres på upartisk ekspertise snarere end på politiske aftaler, og at dette mål skal sikres og beskyttes i forbindelse med proceduren for at gennemføre denne evaluering og for at drage passende konklusioner af resultaterne heraf; bemærker i den forbindelse, at afgørelser rettet til medlemsstaterne vedrørende overholdelse af retsstatsprincippet og de grundlæggende rettigheder bør vedtages af Kommissionen i dens egenskab af traktaternes vogter og ikke af Rådet, som kan være tilbageholdende med at træffe foranstaltninger, der vil have en negativ indvirkning på medlemsstaterne; påpeger, at proceduren med delegerede retsakter åbner mulighed for en hurtig indsats fra Kommissionens side, samtidig med at den sikrer Europa-Parlamentets og Rådets politiske kontrol;</w:t>
            </w:r>
          </w:p>
        </w:tc>
      </w:tr>
    </w:tbl>
    <w:p>
      <w:r>
        <w:rPr>
          <w:rStyle w:val="HideTWBExt"/>
        </w:rPr>
        <w:t>&lt;/Amend&gt;</w:t>
      </w:r>
    </w:p>
    <w:p>
      <w:pPr>
        <w:pStyle w:val="AmNumberTabs"/>
      </w:pPr>
      <w:r>
        <w:rPr>
          <w:rStyle w:val="HideTWBExt"/>
        </w:rPr>
        <w:t>&lt;Amend&gt;</w:t>
      </w:r>
      <w:r>
        <w:t>Ændringsforslag</w:t>
      </w:r>
      <w:r>
        <w:tab/>
      </w:r>
      <w:r>
        <w:tab/>
      </w:r>
      <w:r>
        <w:rPr>
          <w:rStyle w:val="HideTWBExt"/>
        </w:rPr>
        <w:t>&lt;NumAm&gt;</w:t>
      </w:r>
      <w:r>
        <w:t>44</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t xml:space="preserve">gentager, at Parlamentet tager sin </w:t>
            </w:r>
            <w:r>
              <w:rPr>
                <w:b/>
                <w:i/>
              </w:rPr>
              <w:t>kontrolfunktion</w:t>
            </w:r>
            <w:r>
              <w:t xml:space="preserve"> med hensyn til gennemførelsen af forordningen om konditionalitet meget </w:t>
            </w:r>
            <w:r>
              <w:rPr>
                <w:b/>
                <w:i/>
              </w:rPr>
              <w:t>alvorligt</w:t>
            </w:r>
            <w:r>
              <w:t>; anerkender, at Kommissionen har opfyldt sin retlige forpligtelse til straks at underrette Parlamentet om alle foreslåede, vedtagne eller ophævede foranstaltninger; beklager, at Kommissionen kun har fremlagt et absolut minimum af oplysninger uden centrale detaljer og selv efter anmodning fra Parlamentet ikke har delt den fulde dokumentation; understreger, at rettidig, omfattende og proaktiv informationsdeling er afgørende, for at Parlamentet kan udøve sit budgetmæssige og tilsynsmæssige ansvar effektivt;</w:t>
            </w:r>
          </w:p>
        </w:tc>
        <w:tc>
          <w:tcPr>
            <w:tcW w:w="4876" w:type="dxa"/>
            <w:tcBorders>
              <w:top w:val="nil"/>
              <w:left w:val="nil"/>
              <w:bottom w:val="nil"/>
              <w:right w:val="nil"/>
            </w:tcBorders>
          </w:tcPr>
          <w:p>
            <w:pPr>
              <w:pStyle w:val="Normal6a"/>
            </w:pPr>
            <w:r>
              <w:t>25.</w:t>
            </w:r>
            <w:r>
              <w:tab/>
            </w:r>
            <w:r>
              <w:t xml:space="preserve">gentager, at Parlamentet tager sin </w:t>
            </w:r>
            <w:r>
              <w:rPr>
                <w:b/>
                <w:i/>
              </w:rPr>
              <w:t>kontrolrolle</w:t>
            </w:r>
            <w:r>
              <w:t xml:space="preserve"> med hensyn til gennemførelsen af forordningen om konditionalitet meget </w:t>
            </w:r>
            <w:r>
              <w:rPr>
                <w:b/>
                <w:i/>
              </w:rPr>
              <w:t>alvorlig, og minder om, at Kommissionen i henhold til artikel 8 i forordningen straks skal underrette Europa-Parlamentet om alle foreslåede, vedtagne eller ophævede foranstaltninger i henhold til forordningens artikel 5, 6 og 7</w:t>
            </w:r>
            <w:r>
              <w:t>; anerkender, at Kommissionen har opfyldt sin retlige forpligtelse til straks at underrette Parlamentet om alle foreslåede, vedtagne eller ophævede foranstaltninger; beklager, at Kommissionen kun har fremlagt et absolut minimum af oplysninger uden centrale detaljer og selv efter anmodning fra Parlamentet ikke har delt den fulde dokumentation; understreger, at rettidig, omfattende og proaktiv informationsdeling er afgørende, for at Parlamentet kan udøve sit budgetmæssige og tilsynsmæssige ansvar effektivt;</w:t>
            </w:r>
          </w:p>
        </w:tc>
      </w:tr>
    </w:tbl>
    <w:p>
      <w:r>
        <w:rPr>
          <w:rStyle w:val="HideTWBExt"/>
        </w:rPr>
        <w:t>&lt;/Amend&gt;</w:t>
      </w:r>
    </w:p>
    <w:p>
      <w:pPr>
        <w:pStyle w:val="AmNumberTabs"/>
      </w:pPr>
      <w:r>
        <w:rPr>
          <w:rStyle w:val="HideTWBExt"/>
        </w:rPr>
        <w:t>&lt;Amend&gt;</w:t>
      </w:r>
      <w:r>
        <w:t>Ændringsforslag</w:t>
      </w:r>
      <w:r>
        <w:tab/>
      </w:r>
      <w:r>
        <w:tab/>
      </w:r>
      <w:r>
        <w:rPr>
          <w:rStyle w:val="HideTWBExt"/>
        </w:rPr>
        <w:t>&lt;NumAm&gt;</w:t>
      </w:r>
      <w:r>
        <w:t>45</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27.</w:t>
            </w:r>
            <w:r>
              <w:tab/>
            </w:r>
            <w:r>
              <w:rPr>
                <w:b/>
                <w:i/>
              </w:rPr>
              <w:t>opfordrer indtrængende Kommissionen til at nå til enighed om en sikker kommunikationskanal for at sikre adgang til sådanne oplysninger for Parlamentets ansvarlige organer, samtidig med at deres fortrolighed beskyttes;</w:t>
            </w:r>
          </w:p>
        </w:tc>
        <w:tc>
          <w:tcPr>
            <w:tcW w:w="4876" w:type="dxa"/>
            <w:tcBorders>
              <w:top w:val="nil"/>
              <w:left w:val="nil"/>
              <w:bottom w:val="nil"/>
              <w:right w:val="nil"/>
            </w:tcBorders>
          </w:tcPr>
          <w:p>
            <w:pPr>
              <w:pStyle w:val="Normal6a"/>
            </w:pPr>
            <w:r>
              <w:rPr>
                <w:b/>
                <w:i/>
              </w:rPr>
              <w:t>udgår</w:t>
            </w:r>
          </w:p>
        </w:tc>
      </w:tr>
    </w:tbl>
    <w:p>
      <w:r>
        <w:rPr>
          <w:rStyle w:val="HideTWBExt"/>
        </w:rPr>
        <w:t>&lt;/Amend&gt;</w:t>
      </w:r>
    </w:p>
    <w:p>
      <w:pPr>
        <w:pStyle w:val="AmNumberTabs"/>
      </w:pPr>
      <w:r>
        <w:rPr>
          <w:rStyle w:val="HideTWBExt"/>
        </w:rPr>
        <w:t>&lt;Amend&gt;</w:t>
      </w:r>
      <w:r>
        <w:t>Ændringsforslag</w:t>
      </w:r>
      <w:r>
        <w:tab/>
      </w:r>
      <w:r>
        <w:tab/>
      </w:r>
      <w:r>
        <w:rPr>
          <w:rStyle w:val="HideTWBExt"/>
        </w:rPr>
        <w:t>&lt;NumAm&gt;</w:t>
      </w:r>
      <w:r>
        <w:t>46</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28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28a.</w:t>
            </w:r>
            <w:r>
              <w:tab/>
            </w:r>
            <w:r>
              <w:rPr>
                <w:b/>
                <w:i/>
              </w:rPr>
              <w:t>mener mere overordnet, at den interinstitutionelle dialog og det interinstitutionelle samarbejde om retsstatsprincippet på EU-plan bør styrkes; beklager, at Kommissionen og Rådet hidtil har afvist dets tilbud om at indgå en interinstitutionel aftale om demokrati, retsstatsprincippet og de grundlæggende rettigheder; bekræfter på ny sin vilje til at genoptage forhandlingerne om sådan en aftale;</w:t>
            </w:r>
          </w:p>
        </w:tc>
      </w:tr>
    </w:tbl>
    <w:p>
      <w:r>
        <w:rPr>
          <w:rStyle w:val="HideTWBExt"/>
        </w:rPr>
        <w:t>&lt;/Amend&gt;</w:t>
      </w:r>
    </w:p>
    <w:p>
      <w:pPr>
        <w:pStyle w:val="AmNumberTabs"/>
      </w:pPr>
      <w:r>
        <w:rPr>
          <w:rStyle w:val="HideTWBExt"/>
        </w:rPr>
        <w:t>&lt;Amend&gt;</w:t>
      </w:r>
      <w:r>
        <w:t>Ændringsforslag</w:t>
      </w:r>
      <w:r>
        <w:tab/>
      </w:r>
      <w:r>
        <w:tab/>
      </w:r>
      <w:r>
        <w:rPr>
          <w:rStyle w:val="HideTWBExt"/>
        </w:rPr>
        <w:t>&lt;NumAm&gt;</w:t>
      </w:r>
      <w:r>
        <w:t>47</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28 b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28b.</w:t>
            </w:r>
            <w:r>
              <w:tab/>
            </w:r>
            <w:r>
              <w:rPr>
                <w:b/>
                <w:i/>
              </w:rPr>
              <w:t>minder om, at Kommissionen i henhold til artikel 9 i forordningen om konditionalitet senest den 12. januar 2024 aflægger rapport til Parlamentet og Rådet om anvendelsen af forordningen, navnlig om effektiviteten af de vedtagne foranstaltninger; bemærker, at Kommissionen har aflagt denne rapport behørigt; opfordrer indtrængende Kommissionen til at aflægge en sådan rapport én gang om året, eftersom forordningen skal finde anvendelse uden tidsbegrænsning;</w:t>
            </w:r>
          </w:p>
        </w:tc>
      </w:tr>
    </w:tbl>
    <w:p>
      <w:r>
        <w:rPr>
          <w:rStyle w:val="HideTWBExt"/>
        </w:rPr>
        <w:t>&lt;/Amend&gt;</w:t>
      </w:r>
    </w:p>
    <w:p>
      <w:pPr>
        <w:pStyle w:val="AmNumberTabs"/>
      </w:pPr>
      <w:r>
        <w:rPr>
          <w:rStyle w:val="HideTWBExt"/>
        </w:rPr>
        <w:t>&lt;Amend&gt;</w:t>
      </w:r>
      <w:r>
        <w:t>Ændringsforslag</w:t>
      </w:r>
      <w:r>
        <w:tab/>
      </w:r>
      <w:r>
        <w:tab/>
      </w:r>
      <w:r>
        <w:rPr>
          <w:rStyle w:val="HideTWBExt"/>
        </w:rPr>
        <w:t>&lt;NumAm&gt;</w:t>
      </w:r>
      <w:r>
        <w:t>48</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29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29.</w:t>
            </w:r>
            <w:r>
              <w:tab/>
            </w:r>
            <w:r>
              <w:t>minder om de specifikke bestemmelser i forordningen om konditionalitet og retningslinjerne fra 2022, som forpligter EU til at beskytte slutmodtagernes og tilskudsmodtagernes legitime interesser mod de finansielle konsekvenser af sanktioner, der pålægges deres regeringer; minder navnlig om, at de medlemsstater, der er omfattet af foranstaltninger vedtaget i henhold til forordningen, er forpligtet til fortsat at opfylde alle forpligtelser over for slutmodtagere og tilskudsmodtagere;</w:t>
            </w:r>
          </w:p>
        </w:tc>
        <w:tc>
          <w:tcPr>
            <w:tcW w:w="4876" w:type="dxa"/>
            <w:tcBorders>
              <w:top w:val="nil"/>
              <w:left w:val="nil"/>
              <w:bottom w:val="nil"/>
              <w:right w:val="nil"/>
            </w:tcBorders>
          </w:tcPr>
          <w:p>
            <w:pPr>
              <w:pStyle w:val="Normal6a"/>
            </w:pPr>
            <w:r>
              <w:t>29.</w:t>
            </w:r>
            <w:r>
              <w:tab/>
            </w:r>
            <w:r>
              <w:t>minder om de specifikke bestemmelser i forordningen om konditionalitet og retningslinjerne fra 2022, som forpligter EU til at beskytte slutmodtagernes og tilskudsmodtagernes legitime interesser mod de finansielle konsekvenser af sanktioner, der pålægges deres regeringer</w:t>
            </w:r>
            <w:r>
              <w:rPr>
                <w:b/>
                <w:i/>
              </w:rPr>
              <w:t>;</w:t>
            </w:r>
            <w:r>
              <w:t xml:space="preserve"> </w:t>
            </w:r>
            <w:r>
              <w:rPr>
                <w:b/>
                <w:i/>
              </w:rPr>
              <w:t>giver udtryk for bekymring for, at suspensionen af EU-midler kan misbruges som et politisk våben mod civilsamfundet og lokale og regionale myndigheder;</w:t>
            </w:r>
            <w:r>
              <w:t xml:space="preserve"> minder navnlig om, at de medlemsstater, der er omfattet af foranstaltninger vedtaget i henhold til forordningen, er forpligtet til fortsat at opfylde alle forpligtelser over for slutmodtagere og tilskudsmodtagere;</w:t>
            </w:r>
          </w:p>
        </w:tc>
      </w:tr>
    </w:tbl>
    <w:p>
      <w:r>
        <w:rPr>
          <w:rStyle w:val="HideTWBExt"/>
        </w:rPr>
        <w:t>&lt;/Amend&gt;</w:t>
      </w:r>
    </w:p>
    <w:p>
      <w:pPr>
        <w:pStyle w:val="AmNumberTabs"/>
      </w:pPr>
      <w:r>
        <w:rPr>
          <w:rStyle w:val="HideTWBExt"/>
        </w:rPr>
        <w:t>&lt;Amend&gt;</w:t>
      </w:r>
      <w:r>
        <w:t>Ændringsforslag</w:t>
      </w:r>
      <w:r>
        <w:tab/>
      </w:r>
      <w:r>
        <w:tab/>
      </w:r>
      <w:r>
        <w:rPr>
          <w:rStyle w:val="HideTWBExt"/>
        </w:rPr>
        <w:t>&lt;NumAm&gt;</w:t>
      </w:r>
      <w:r>
        <w:t>49</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30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30.</w:t>
            </w:r>
            <w:r>
              <w:tab/>
            </w:r>
            <w:r>
              <w:t>beklager, at de påtænkte sikkerhedsforanstaltninger i praksis forbliver overvejende teoretiske, eftersom procedurerne for direkte betaling eller omdirigering af midler er besværlige, og kommunikationen til slutmodtagere og tilskudsmodtagere er sporadisk; anerkender, at der skal gøres mere på EU-plan for at forbedre beskyttelsen af slutmodtagernes og tilskudsmodtagernes legitime interesser og for at sikre deres adgang til EU-finansiering;</w:t>
            </w:r>
          </w:p>
        </w:tc>
        <w:tc>
          <w:tcPr>
            <w:tcW w:w="4876" w:type="dxa"/>
            <w:tcBorders>
              <w:top w:val="nil"/>
              <w:left w:val="nil"/>
              <w:bottom w:val="nil"/>
              <w:right w:val="nil"/>
            </w:tcBorders>
          </w:tcPr>
          <w:p>
            <w:pPr>
              <w:pStyle w:val="Normal6a"/>
            </w:pPr>
            <w:r>
              <w:t>30.</w:t>
            </w:r>
            <w:r>
              <w:tab/>
            </w:r>
            <w:r>
              <w:t xml:space="preserve">beklager, at de påtænkte sikkerhedsforanstaltninger i praksis forbliver overvejende teoretiske, eftersom procedurerne for direkte betaling eller omdirigering af midler er besværlige, og kommunikationen til slutmodtagere og tilskudsmodtagere er sporadisk; </w:t>
            </w:r>
            <w:r>
              <w:rPr>
                <w:b/>
                <w:i/>
              </w:rPr>
              <w:t xml:space="preserve">glæder sig over Kommissionens erklærede intention i dens forslag til FFR 2028-2034 om at styrke beskyttelsen af slutmodtagere og tilskudsmodtagere; understreger dog, at denne forpligtelse skal omsættes til effektive sikkerhedsforanstaltninger i praksis, og understreger, at der i betragtning af de mangler, der er observeret i den nuværende ramme, skal defineres klare og konkrete mekanismer for at sikre, at modtagerne reelt er beskyttet; udtrykker bekymring over, at den foreslåede struktur i FFR 2028-2034 kan gøre det endnu vanskeligere at beskytte de endelige modtagere og støttemodtagere, da det ville give medlemsstaternes regeringer mere kontrol med forvaltningen af EU-midler; </w:t>
            </w:r>
            <w:r>
              <w:t>anerkender, at der skal gøres mere på EU-plan for at forbedre beskyttelsen af slutmodtagernes og tilskudsmodtagernes legitime interesser og for at sikre deres adgang til EU-finansiering;</w:t>
            </w:r>
            <w:r>
              <w:rPr>
                <w:b/>
                <w:i/>
              </w:rPr>
              <w:t xml:space="preserve"> noterer sig artikel 15, stk. 4, i udkastet til forordningen om fonden for nationalt og regionalt samarbejde og understreger, at der bør være en forpligtelse til at stille bevillinger svarende til frigørelser under ordningen med konditionalitet til rådighed til brug under andre EU-instrumenter eller -programmer, der gennemføres under direkte eller indirekte forvaltning, især dem, der bidrager til at støtte Europas demokrati, civilsamfundet, EU's værdier eller bekæmpelsen af korruption, og i det mindste delvist i de medlemsstater, hvor der har fundet tilsidesættelser af retsstatsprincippet sted;</w:t>
            </w:r>
          </w:p>
        </w:tc>
      </w:tr>
    </w:tbl>
    <w:p>
      <w:r>
        <w:rPr>
          <w:rStyle w:val="HideTWBExt"/>
        </w:rPr>
        <w:t>&lt;/Amend&gt;</w:t>
      </w:r>
    </w:p>
    <w:p>
      <w:pPr>
        <w:pStyle w:val="AmNumberTabs"/>
      </w:pPr>
      <w:r>
        <w:rPr>
          <w:rStyle w:val="HideTWBExt"/>
        </w:rPr>
        <w:t>&lt;Amend&gt;</w:t>
      </w:r>
      <w:r>
        <w:t>Ændringsforslag</w:t>
      </w:r>
      <w:r>
        <w:tab/>
      </w:r>
      <w:r>
        <w:tab/>
      </w:r>
      <w:r>
        <w:rPr>
          <w:rStyle w:val="HideTWBExt"/>
        </w:rPr>
        <w:t>&lt;NumAm&gt;</w:t>
      </w:r>
      <w:r>
        <w:t>50</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31.</w:t>
            </w:r>
            <w:r>
              <w:tab/>
            </w:r>
            <w:r>
              <w:t>bemærker med bekymring, at kleptokratiske oligarkiske strukturer i nogle medlemsstater på systematisk vis overtager strategisk vigtige sektorer såsom bankvæsenet, detailhandel, fødevarer, farmaci, byggeri og teknologi, hvilket kan medføre risici for beskyttelsen af EU-budgettet, f.eks. når sådanne strukturer ansøger om EU-midler; understreger vigtigheden af at sikre, at alle ansøgere har lige muligheder for adgang til både EU-midler og upartiske og effektive klagemekanismer;</w:t>
            </w:r>
          </w:p>
        </w:tc>
        <w:tc>
          <w:tcPr>
            <w:tcW w:w="4876" w:type="dxa"/>
            <w:tcBorders>
              <w:top w:val="nil"/>
              <w:left w:val="nil"/>
              <w:bottom w:val="nil"/>
              <w:right w:val="nil"/>
            </w:tcBorders>
          </w:tcPr>
          <w:p>
            <w:pPr>
              <w:pStyle w:val="Normal6a"/>
            </w:pPr>
            <w:r>
              <w:t>31.</w:t>
            </w:r>
            <w:r>
              <w:tab/>
            </w:r>
            <w:r>
              <w:t>bemærker med bekymring, at kleptokratiske oligarkiske strukturer i nogle medlemsstater på systematisk vis overtager strategisk vigtige sektorer såsom bankvæsenet, detailhandel, fødevarer, farmaci, byggeri og teknologi, hvilket kan medføre risici for beskyttelsen af EU-budgettet, f.eks. når sådanne strukturer ansøger om EU-midler; understreger vigtigheden af at sikre, at alle ansøgere har lige muligheder for adgang til både EU-midler og upartiske og effektive klagemekanismer;</w:t>
            </w:r>
            <w:r>
              <w:rPr>
                <w:b/>
                <w:i/>
              </w:rPr>
              <w:t xml:space="preserve"> opfordrer indtrængende Kommissionen til at foretage systematiske revisioner af fordelingen af EU-midler for at forhindre interessekonflikter, politisk instrumentalisering eller uigennemsigtighed i tildelingen af midler på nationalt plan;</w:t>
            </w:r>
          </w:p>
        </w:tc>
      </w:tr>
    </w:tbl>
    <w:p>
      <w:r>
        <w:rPr>
          <w:rStyle w:val="HideTWBExt"/>
        </w:rPr>
        <w:t>&lt;/Amend&gt;</w:t>
      </w:r>
    </w:p>
    <w:p>
      <w:pPr>
        <w:pStyle w:val="AmNumberTabs"/>
      </w:pPr>
      <w:r>
        <w:rPr>
          <w:rStyle w:val="HideTWBExt"/>
        </w:rPr>
        <w:t>&lt;Amend&gt;</w:t>
      </w:r>
      <w:r>
        <w:t>Ændringsforslag</w:t>
      </w:r>
      <w:r>
        <w:tab/>
      </w:r>
      <w:r>
        <w:tab/>
      </w:r>
      <w:r>
        <w:rPr>
          <w:rStyle w:val="HideTWBExt"/>
        </w:rPr>
        <w:t>&lt;NumAm&gt;</w:t>
      </w:r>
      <w:r>
        <w:t>51</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32.</w:t>
            </w:r>
            <w:r>
              <w:tab/>
            </w:r>
            <w:r>
              <w:t xml:space="preserve">mener </w:t>
            </w:r>
            <w:r>
              <w:rPr>
                <w:b/>
                <w:i/>
              </w:rPr>
              <w:t>på grundlag af de begrænsede erfaringer,</w:t>
            </w:r>
            <w:r>
              <w:t xml:space="preserve"> at </w:t>
            </w:r>
            <w:r>
              <w:rPr>
                <w:b/>
                <w:i/>
              </w:rPr>
              <w:t>ordningen med konditionalitet har været et effektivt</w:t>
            </w:r>
            <w:r>
              <w:t xml:space="preserve"> redskab til at beskytte EU's finansielle interesser mod risici, der følger af tilsidesættelser af retsstatsprincippet; insisterer </w:t>
            </w:r>
            <w:r>
              <w:rPr>
                <w:b/>
                <w:i/>
              </w:rPr>
              <w:t>derfor</w:t>
            </w:r>
            <w:r>
              <w:t xml:space="preserve"> på, at ordningen fortsat skal finde anvendelse på hele EU-budgettet, herunder resultatbaserede instrumenter, således at ingen af EU's udgifter unddrager sig en effektiv kontrol med retsstatsprincippet; opfordrer indtrængende Kommissionen til at sikre, at forordningen om konditionalitet anvendes konsekvent på EU-budgettet uafhængigt af finansieringsmodellen;</w:t>
            </w:r>
          </w:p>
        </w:tc>
        <w:tc>
          <w:tcPr>
            <w:tcW w:w="4876" w:type="dxa"/>
            <w:tcBorders>
              <w:top w:val="nil"/>
              <w:left w:val="nil"/>
              <w:bottom w:val="nil"/>
              <w:right w:val="nil"/>
            </w:tcBorders>
          </w:tcPr>
          <w:p>
            <w:pPr>
              <w:pStyle w:val="Normal6a"/>
            </w:pPr>
            <w:r>
              <w:t>32.</w:t>
            </w:r>
            <w:r>
              <w:tab/>
            </w:r>
            <w:r>
              <w:t>mener</w:t>
            </w:r>
            <w:r>
              <w:rPr>
                <w:b/>
                <w:i/>
              </w:rPr>
              <w:t>, at det kan være for tidligt</w:t>
            </w:r>
            <w:r>
              <w:t xml:space="preserve"> at </w:t>
            </w:r>
            <w:r>
              <w:rPr>
                <w:b/>
                <w:i/>
              </w:rPr>
              <w:t>afgive endelige udtalelser om effektiviteten af dette</w:t>
            </w:r>
            <w:r>
              <w:t xml:space="preserve"> redskab til at beskytte EU's finansielle interesser mod risici, der følger af tilsidesættelser af retsstatsprincippet</w:t>
            </w:r>
            <w:r>
              <w:rPr>
                <w:b/>
                <w:i/>
              </w:rPr>
              <w:t>, og understreger, at det på linje med ethvert andet instrument stadig kan forbedres</w:t>
            </w:r>
            <w:r>
              <w:t xml:space="preserve">; insisterer </w:t>
            </w:r>
            <w:r>
              <w:rPr>
                <w:b/>
                <w:i/>
              </w:rPr>
              <w:t>imidlertid</w:t>
            </w:r>
            <w:r>
              <w:t xml:space="preserve"> på, at ordningen fortsat skal finde anvendelse på hele EU-budgettet, herunder resultatbaserede instrumenter, således at ingen af EU's udgifter unddrager sig en effektiv kontrol med retsstatsprincippet; opfordrer indtrængende Kommissionen til at sikre, at forordningen om konditionalitet anvendes konsekvent på EU-budgettet uafhængigt af finansieringsmodellen;</w:t>
            </w:r>
          </w:p>
        </w:tc>
      </w:tr>
    </w:tbl>
    <w:p>
      <w:r>
        <w:rPr>
          <w:rStyle w:val="HideTWBExt"/>
        </w:rPr>
        <w:t>&lt;/Amend&gt;</w:t>
      </w:r>
    </w:p>
    <w:p>
      <w:pPr>
        <w:pStyle w:val="AmNumberTabs"/>
      </w:pPr>
      <w:r>
        <w:rPr>
          <w:rStyle w:val="HideTWBExt"/>
        </w:rPr>
        <w:t>&lt;Amend&gt;</w:t>
      </w:r>
      <w:r>
        <w:t>Ændringsforslag</w:t>
      </w:r>
      <w:r>
        <w:tab/>
      </w:r>
      <w:r>
        <w:tab/>
      </w:r>
      <w:r>
        <w:rPr>
          <w:rStyle w:val="HideTWBExt"/>
        </w:rPr>
        <w:t>&lt;NumAm&gt;</w:t>
      </w:r>
      <w:r>
        <w:t>52</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34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34.</w:t>
            </w:r>
            <w:r>
              <w:tab/>
            </w:r>
            <w:r>
              <w:t xml:space="preserve">opfordrer Kommissionen til hurtigst muligt at revidere retningslinjerne fra 2022 med henblik på at tage mere direkte fat på risikoen for omdirigering eller omfordeling af midler, offentliggøre en trinvis metode, der viser, hvordan graden af </w:t>
            </w:r>
            <w:r>
              <w:rPr>
                <w:b/>
                <w:i/>
              </w:rPr>
              <w:t>forholdsmæssighed</w:t>
            </w:r>
            <w:r>
              <w:t xml:space="preserve"> beregnes, definere, hvad der udgør en "tilstrækkelig direkte forbindelse" mellem en tilsidesættelse af retsstatsprincippet og en budgetmæssig risiko, kræve klarere forbindelser mellem tilsidesættelser og vedtagne foranstaltninger, herunder gennem mere præcise standarder vedrørende disse tilsidesættelser, og tilvejebringe klare løsninger og praktiske skridt i tilfælde af tilbageførsler;</w:t>
            </w:r>
          </w:p>
        </w:tc>
        <w:tc>
          <w:tcPr>
            <w:tcW w:w="4876" w:type="dxa"/>
            <w:tcBorders>
              <w:top w:val="nil"/>
              <w:left w:val="nil"/>
              <w:bottom w:val="nil"/>
              <w:right w:val="nil"/>
            </w:tcBorders>
          </w:tcPr>
          <w:p>
            <w:pPr>
              <w:pStyle w:val="Normal6a"/>
            </w:pPr>
            <w:r>
              <w:t>34.</w:t>
            </w:r>
            <w:r>
              <w:tab/>
            </w:r>
            <w:r>
              <w:t xml:space="preserve">opfordrer Kommissionen til hurtigst muligt at revidere retningslinjerne fra 2022 med henblik på at tage mere direkte fat på risikoen for omdirigering eller omfordeling af midler, offentliggøre en trinvis metode, der viser, hvordan graden af </w:t>
            </w:r>
            <w:r>
              <w:rPr>
                <w:b/>
                <w:i/>
              </w:rPr>
              <w:t>forholdsmæssighed og også effektiviteten af korrigerende foranstaltninger, estimeres eller</w:t>
            </w:r>
            <w:r>
              <w:t xml:space="preserve"> beregnes, definere, hvad der udgør en "tilstrækkelig direkte forbindelse" mellem en tilsidesættelse af retsstatsprincippet og en budgetmæssig risiko, </w:t>
            </w:r>
            <w:r>
              <w:rPr>
                <w:b/>
                <w:i/>
              </w:rPr>
              <w:t>herunder praktiske eksempler</w:t>
            </w:r>
            <w:r>
              <w:t xml:space="preserve"> kræve klarere forbindelser mellem tilsidesættelser og vedtagne foranstaltninger, herunder gennem mere præcise standarder vedrørende disse tilsidesættelser </w:t>
            </w:r>
            <w:r>
              <w:rPr>
                <w:b/>
                <w:i/>
              </w:rPr>
              <w:t>samt klarhed over, hvad en proaktiv overvågning kræver</w:t>
            </w:r>
            <w:r>
              <w:t>, og tilvejebringe klare løsninger og praktiske skridt i tilfælde af tilbageførsler;</w:t>
            </w:r>
          </w:p>
        </w:tc>
      </w:tr>
    </w:tbl>
    <w:p>
      <w:r>
        <w:rPr>
          <w:rStyle w:val="HideTWBExt"/>
        </w:rPr>
        <w:t>&lt;/Amend&gt;</w:t>
      </w:r>
    </w:p>
    <w:p>
      <w:pPr>
        <w:pStyle w:val="AmNumberTabs"/>
      </w:pPr>
      <w:r>
        <w:rPr>
          <w:rStyle w:val="HideTWBExt"/>
        </w:rPr>
        <w:t>&lt;Amend&gt;</w:t>
      </w:r>
      <w:r>
        <w:t>Ændringsforslag</w:t>
      </w:r>
      <w:r>
        <w:tab/>
      </w:r>
      <w:r>
        <w:tab/>
      </w:r>
      <w:r>
        <w:rPr>
          <w:rStyle w:val="HideTWBExt"/>
        </w:rPr>
        <w:t>&lt;NumAm&gt;</w:t>
      </w:r>
      <w:r>
        <w:t>53</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35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35.</w:t>
            </w:r>
            <w:r>
              <w:tab/>
            </w:r>
            <w:r>
              <w:t xml:space="preserve">opfordrer i </w:t>
            </w:r>
            <w:r>
              <w:rPr>
                <w:b/>
                <w:i/>
              </w:rPr>
              <w:t>denne</w:t>
            </w:r>
            <w:r>
              <w:t xml:space="preserve"> forbindelse Kommissionen til at revidere sin fortolkning af forordningen om konditionalitet som et instrument, der kun skal anvendes som en sidste udvej, og til at anvende den mere proaktivt, herunder artikel 6, stk. 4, samtidig med at proportionalitetsprincippet overholdes;</w:t>
            </w:r>
          </w:p>
        </w:tc>
        <w:tc>
          <w:tcPr>
            <w:tcW w:w="4876" w:type="dxa"/>
            <w:tcBorders>
              <w:top w:val="nil"/>
              <w:left w:val="nil"/>
              <w:bottom w:val="nil"/>
              <w:right w:val="nil"/>
            </w:tcBorders>
          </w:tcPr>
          <w:p>
            <w:pPr>
              <w:pStyle w:val="Normal6a"/>
            </w:pPr>
            <w:r>
              <w:t>35.</w:t>
            </w:r>
            <w:r>
              <w:tab/>
            </w:r>
            <w:r>
              <w:t xml:space="preserve">opfordrer i </w:t>
            </w:r>
            <w:r>
              <w:rPr>
                <w:b/>
                <w:i/>
              </w:rPr>
              <w:t>den</w:t>
            </w:r>
            <w:r>
              <w:t xml:space="preserve"> forbindelse Kommissionen </w:t>
            </w:r>
            <w:r>
              <w:rPr>
                <w:b/>
                <w:i/>
              </w:rPr>
              <w:t>til at arbejde videre på sin vurdering af henholdsvis merværdien og begrænsningerne af de forskellige budgetmæssige konditionalitetsredskaber,</w:t>
            </w:r>
            <w:r>
              <w:t xml:space="preserve"> til at revidere sin fortolkning af forordningen om konditionalitet som et instrument, der kun skal anvendes som en sidste udvej, og til at anvende den mere proaktivt, herunder artikel 6, stk. 4, samtidig med at proportionalitetsprincippet overholdes;</w:t>
            </w:r>
          </w:p>
        </w:tc>
      </w:tr>
    </w:tbl>
    <w:p>
      <w:r>
        <w:rPr>
          <w:rStyle w:val="HideTWBExt"/>
        </w:rPr>
        <w:t>&lt;/Amend&gt;</w:t>
      </w:r>
    </w:p>
    <w:p>
      <w:pPr>
        <w:pStyle w:val="AmNumberTabs"/>
      </w:pPr>
      <w:r>
        <w:rPr>
          <w:rStyle w:val="HideTWBExt"/>
        </w:rPr>
        <w:t>&lt;Amend&gt;</w:t>
      </w:r>
      <w:r>
        <w:t>Ændringsforslag</w:t>
      </w:r>
      <w:r>
        <w:tab/>
      </w:r>
      <w:r>
        <w:tab/>
      </w:r>
      <w:r>
        <w:rPr>
          <w:rStyle w:val="HideTWBExt"/>
        </w:rPr>
        <w:t>&lt;NumAm&gt;</w:t>
      </w:r>
      <w:r>
        <w:t>54</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36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36.</w:t>
            </w:r>
            <w:r>
              <w:tab/>
            </w:r>
            <w:r>
              <w:t>anmoder Kommissionen om i sin proportionalitetsvurdering systematisk at tage højde for konsekvenserne for slutmodtagerne, navnlig mindre slutmodtagere såsom, men ikke kun, universiteter, små og mellemstore virksomheder og civilsamfundsorganisationer, og til at gengive denne analyse i det dossier, som den fremsender til Parlamentet i henhold til artikel 8 i forordningen om konditionalitet;</w:t>
            </w:r>
          </w:p>
        </w:tc>
        <w:tc>
          <w:tcPr>
            <w:tcW w:w="4876" w:type="dxa"/>
            <w:tcBorders>
              <w:top w:val="nil"/>
              <w:left w:val="nil"/>
              <w:bottom w:val="nil"/>
              <w:right w:val="nil"/>
            </w:tcBorders>
          </w:tcPr>
          <w:p>
            <w:pPr>
              <w:pStyle w:val="Normal6a"/>
            </w:pPr>
            <w:r>
              <w:t>36.</w:t>
            </w:r>
            <w:r>
              <w:tab/>
            </w:r>
            <w:r>
              <w:t>anmoder Kommissionen om i sin proportionalitetsvurdering systematisk at tage højde for konsekvenserne for slutmodtagerne, navnlig mindre slutmodtagere såsom, men ikke kun, universiteter, små og mellemstore virksomheder og civilsamfundsorganisationer, og til at gengive denne analyse i det dossier, som den fremsender til Parlamentet i henhold til artikel 8 i forordningen om konditionalitet</w:t>
            </w:r>
            <w:r>
              <w:rPr>
                <w:b/>
                <w:i/>
              </w:rPr>
              <w:t>, samtidig med at det sikres, at de nødvendige ændringer implementeres effektivt på stedet for alle disse aktører og ikke kun på en teoretisk måder</w:t>
            </w:r>
            <w:r>
              <w:t>;</w:t>
            </w:r>
          </w:p>
        </w:tc>
      </w:tr>
    </w:tbl>
    <w:p>
      <w:r>
        <w:rPr>
          <w:rStyle w:val="HideTWBExt"/>
        </w:rPr>
        <w:t>&lt;/Amend&gt;</w:t>
      </w:r>
    </w:p>
    <w:p>
      <w:pPr>
        <w:pStyle w:val="AmNumberTabs"/>
      </w:pPr>
      <w:r>
        <w:rPr>
          <w:rStyle w:val="HideTWBExt"/>
        </w:rPr>
        <w:t>&lt;Amend&gt;</w:t>
      </w:r>
      <w:r>
        <w:t>Ændringsforslag</w:t>
      </w:r>
      <w:r>
        <w:tab/>
      </w:r>
      <w:r>
        <w:tab/>
      </w:r>
      <w:r>
        <w:rPr>
          <w:rStyle w:val="HideTWBExt"/>
        </w:rPr>
        <w:t>&lt;NumAm&gt;</w:t>
      </w:r>
      <w:r>
        <w:t>55</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37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37.</w:t>
            </w:r>
            <w:r>
              <w:tab/>
            </w:r>
            <w:r>
              <w:t>opfordrer Kommissionen til at undersøge, hvordan den effektivt kan opfylde sin forpligtelse til at beskytte slutmodtageres og tilskudsmodtageres legitime finansielle interesser, navnlig for dem, der lider under konsekvenserne af utilstrækkelige retsstatsforhold, herunder ved at håndhæve de relevante bestemmelser i forordningen om konditionalitet med hensyn til medlemsstaternes forpligtelser til at foretage betalinger; understreger, at eventuelle foranstaltninger til at sikre, at legitime slutmodtagere og tilskudsmodtagere fortsat kan få adgang til EU-midler, ikke bør svække anvendelsen af forordningen om konditionalitet; forventer at blive inddraget fuldt ud i denne proces;</w:t>
            </w:r>
          </w:p>
        </w:tc>
        <w:tc>
          <w:tcPr>
            <w:tcW w:w="4876" w:type="dxa"/>
            <w:tcBorders>
              <w:top w:val="nil"/>
              <w:left w:val="nil"/>
              <w:bottom w:val="nil"/>
              <w:right w:val="nil"/>
            </w:tcBorders>
          </w:tcPr>
          <w:p>
            <w:pPr>
              <w:pStyle w:val="Normal6a"/>
            </w:pPr>
            <w:r>
              <w:t>37.</w:t>
            </w:r>
            <w:r>
              <w:tab/>
            </w:r>
            <w:r>
              <w:t xml:space="preserve">opfordrer Kommissionen til at undersøge, hvordan den effektivt kan opfylde sin forpligtelse til at beskytte slutmodtageres og tilskudsmodtageres legitime finansielle interesser, navnlig for dem, der lider under konsekvenserne af utilstrækkelige retsstatsforhold, herunder ved at håndhæve de relevante bestemmelser i forordningen om konditionalitet med hensyn til medlemsstaternes forpligtelser til at foretage betalinger; </w:t>
            </w:r>
            <w:r>
              <w:rPr>
                <w:b/>
                <w:i/>
              </w:rPr>
              <w:t xml:space="preserve">opfordrer Kommissionen til at finde måder, hvorpå de berørte midler kan bringes under direkte forvaltning eller stilles til rådighed under andre EU-instrumenter eller -programmer, der gennemføres under direkte forvaltning eller indirekte forvaltning, idet det under alle omstændigheder sikres, at lokale myndigheder, civilsamfundsorganisationer og små og mellemstore virksomheder ikke lider under konsekvenserne af suspensioner af finansieringen forårsaget af deres nationale regerings handlinger, og til, hvis den konkluderer, at denne mulighed ikke er gennemførlig, tydeligt at angive årsagerne til denne konklusion; </w:t>
            </w:r>
            <w:r>
              <w:t>understreger, at eventuelle foranstaltninger til at sikre, at legitime slutmodtagere og tilskudsmodtagere fortsat kan få adgang til EU-midler, ikke bør svække anvendelsen af forordningen om konditionalitet; forventer at blive inddraget fuldt ud i denne proces;</w:t>
            </w:r>
          </w:p>
        </w:tc>
      </w:tr>
    </w:tbl>
    <w:p>
      <w:r>
        <w:rPr>
          <w:rStyle w:val="HideTWBExt"/>
        </w:rPr>
        <w:t>&lt;/Amend&gt;</w:t>
      </w:r>
    </w:p>
    <w:p>
      <w:pPr>
        <w:pStyle w:val="AmNumberTabs"/>
      </w:pPr>
      <w:r>
        <w:rPr>
          <w:rStyle w:val="HideTWBExt"/>
        </w:rPr>
        <w:t>&lt;Amend&gt;</w:t>
      </w:r>
      <w:r>
        <w:t>Ændringsforslag</w:t>
      </w:r>
      <w:r>
        <w:tab/>
      </w:r>
      <w:r>
        <w:tab/>
      </w:r>
      <w:r>
        <w:rPr>
          <w:rStyle w:val="HideTWBExt"/>
        </w:rPr>
        <w:t>&lt;NumAm&gt;</w:t>
      </w:r>
      <w:r>
        <w:t>56</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38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38.</w:t>
            </w:r>
            <w:r>
              <w:tab/>
            </w:r>
            <w:r>
              <w:t xml:space="preserve">opfordrer Kommissionen til at foretage systematiske krydshenvisninger mellem traktatbrudsprocedurer og foranstaltninger vedtaget i henhold til finansforordningens artikel 6 og </w:t>
            </w:r>
            <w:r>
              <w:rPr>
                <w:b/>
                <w:i/>
              </w:rPr>
              <w:t>igangværende konditionalitetsscreeninger</w:t>
            </w:r>
            <w:r>
              <w:t>, således at medlemsstaterne ikke kan udnytte proceduremæssige siloer, og EU's finansielle interesser beskyttes, uanset hvilket retligt instrument der anvendes;</w:t>
            </w:r>
          </w:p>
        </w:tc>
        <w:tc>
          <w:tcPr>
            <w:tcW w:w="4876" w:type="dxa"/>
            <w:tcBorders>
              <w:top w:val="nil"/>
              <w:left w:val="nil"/>
              <w:bottom w:val="nil"/>
              <w:right w:val="nil"/>
            </w:tcBorders>
          </w:tcPr>
          <w:p>
            <w:pPr>
              <w:pStyle w:val="Normal6a"/>
            </w:pPr>
            <w:r>
              <w:t>38.</w:t>
            </w:r>
            <w:r>
              <w:tab/>
            </w:r>
            <w:r>
              <w:t xml:space="preserve">opfordrer Kommissionen til at foretage systematiske krydshenvisninger mellem traktatbrudsprocedurer og foranstaltninger vedtaget i henhold til finansforordningens artikel 6 og </w:t>
            </w:r>
            <w:r>
              <w:rPr>
                <w:b/>
                <w:i/>
              </w:rPr>
              <w:t>forordningen om konditionalitet, forordningen om fælles bestemmelser, forordningen om genopretnings- og resiliensfaciliteten og den fremtidige ordning med konditionalitet i FFR 2028-2034 samt ethvert andet relevant værktøj</w:t>
            </w:r>
            <w:r>
              <w:t>, således at medlemsstaterne ikke kan udnytte proceduremæssige siloer, og EU's finansielle interesser beskyttes, uanset hvilket retligt instrument der anvendes;</w:t>
            </w:r>
          </w:p>
        </w:tc>
      </w:tr>
    </w:tbl>
    <w:p>
      <w:r>
        <w:rPr>
          <w:rStyle w:val="HideTWBExt"/>
        </w:rPr>
        <w:t>&lt;/Amend&gt;</w:t>
      </w:r>
    </w:p>
    <w:p>
      <w:pPr>
        <w:pStyle w:val="AmNumberTabs"/>
      </w:pPr>
      <w:r>
        <w:rPr>
          <w:rStyle w:val="HideTWBExt"/>
        </w:rPr>
        <w:t>&lt;Amend&gt;</w:t>
      </w:r>
      <w:r>
        <w:t>Ændringsforslag</w:t>
      </w:r>
      <w:r>
        <w:tab/>
      </w:r>
      <w:r>
        <w:tab/>
      </w:r>
      <w:r>
        <w:rPr>
          <w:rStyle w:val="HideTWBExt"/>
        </w:rPr>
        <w:t>&lt;NumAm&gt;</w:t>
      </w:r>
      <w:r>
        <w:t>57</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39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39.</w:t>
            </w:r>
            <w:r>
              <w:tab/>
            </w:r>
            <w:r>
              <w:t>mener, at afhjælpende foranstaltninger bør ledsages af sikkerhedsforanstaltninger for at forhindre lignende situationer i fremtiden, hvor det er relevant;</w:t>
            </w:r>
          </w:p>
        </w:tc>
        <w:tc>
          <w:tcPr>
            <w:tcW w:w="4876" w:type="dxa"/>
            <w:tcBorders>
              <w:top w:val="nil"/>
              <w:left w:val="nil"/>
              <w:bottom w:val="nil"/>
              <w:right w:val="nil"/>
            </w:tcBorders>
          </w:tcPr>
          <w:p>
            <w:pPr>
              <w:pStyle w:val="Normal6a"/>
            </w:pPr>
            <w:r>
              <w:t>39.</w:t>
            </w:r>
            <w:r>
              <w:tab/>
            </w:r>
            <w:r>
              <w:t xml:space="preserve">mener, at afhjælpende foranstaltninger bør ledsages af sikkerhedsforanstaltninger for at forhindre lignende situationer </w:t>
            </w:r>
            <w:r>
              <w:rPr>
                <w:b/>
                <w:i/>
              </w:rPr>
              <w:t>eller yderligere tilbageskridt i forbindelse med retsstatsprincippet</w:t>
            </w:r>
            <w:r>
              <w:t xml:space="preserve"> i fremtiden, hvor det er relevant;</w:t>
            </w:r>
          </w:p>
        </w:tc>
      </w:tr>
    </w:tbl>
    <w:p>
      <w:r>
        <w:rPr>
          <w:rStyle w:val="HideTWBExt"/>
        </w:rPr>
        <w:t>&lt;/Amend&gt;</w:t>
      </w:r>
    </w:p>
    <w:p>
      <w:pPr>
        <w:pStyle w:val="AmNumberTabs"/>
      </w:pPr>
      <w:r>
        <w:rPr>
          <w:rStyle w:val="HideTWBExt"/>
        </w:rPr>
        <w:t>&lt;Amend&gt;</w:t>
      </w:r>
      <w:r>
        <w:t>Ændringsforslag</w:t>
      </w:r>
      <w:r>
        <w:tab/>
      </w:r>
      <w:r>
        <w:tab/>
      </w:r>
      <w:r>
        <w:rPr>
          <w:rStyle w:val="HideTWBExt"/>
        </w:rPr>
        <w:t>&lt;NumAm&gt;</w:t>
      </w:r>
      <w:r>
        <w:t>58</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40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40.</w:t>
            </w:r>
            <w:r>
              <w:tab/>
            </w:r>
            <w:r>
              <w:t>forventer, at Kommissionen træffer konkrete foranstaltninger til at styrke forbindelserne mellem henstillingerne i dens årlige retsstatsrapporter og den finansielle støtte fra EU-budgettet, sådan som det er skitseret i opgavebeskrivelserne fra 2024 til kommissærerne med ansvar for budget og for retsstatsprincippet; opfordrer Kommissionen til at omsætte de landespecifikke henstillinger fra dens årlige retsstatsrapporter til konkrete milepæle, som medlemsstaterne systematisk skal følge op på, og som i givet fald kan tjene som dokumentation til at berettige aktivering af forordningen om konditionalitet;</w:t>
            </w:r>
          </w:p>
        </w:tc>
        <w:tc>
          <w:tcPr>
            <w:tcW w:w="4876" w:type="dxa"/>
            <w:tcBorders>
              <w:top w:val="nil"/>
              <w:left w:val="nil"/>
              <w:bottom w:val="nil"/>
              <w:right w:val="nil"/>
            </w:tcBorders>
          </w:tcPr>
          <w:p>
            <w:pPr>
              <w:pStyle w:val="Normal6a"/>
            </w:pPr>
            <w:r>
              <w:t>40.</w:t>
            </w:r>
            <w:r>
              <w:tab/>
            </w:r>
            <w:r>
              <w:t xml:space="preserve">forventer, at Kommissionen træffer konkrete foranstaltninger til at styrke forbindelserne mellem henstillingerne i dens årlige retsstatsrapporter og den finansielle støtte fra EU-budgettet, sådan som det er skitseret i opgavebeskrivelserne fra 2024 til kommissærerne med ansvar for budget og for retsstatsprincippet; opfordrer Kommissionen til at omsætte de landespecifikke henstillinger fra dens årlige retsstatsrapporter til konkrete milepæle, som medlemsstaterne systematisk skal følge op på, og som i givet fald kan tjene som dokumentation til at berettige aktivering af forordningen om konditionalitet </w:t>
            </w:r>
            <w:r>
              <w:rPr>
                <w:b/>
                <w:i/>
              </w:rPr>
              <w:t>og andre værktøjer;</w:t>
            </w:r>
            <w:r>
              <w:rPr>
                <w:b/>
                <w:i/>
              </w:rPr>
              <w:t xml:space="preserve"> </w:t>
            </w:r>
            <w:r>
              <w:rPr>
                <w:b/>
                <w:i/>
              </w:rPr>
              <w:t>understreger, at sådanne milepæle bør ledsages af klare frister, og opfordrer til, at der udvikles tilsvarende indikatorer</w:t>
            </w:r>
            <w:r>
              <w:t>;</w:t>
            </w:r>
          </w:p>
        </w:tc>
      </w:tr>
    </w:tbl>
    <w:p>
      <w:r>
        <w:rPr>
          <w:rStyle w:val="HideTWBExt"/>
        </w:rPr>
        <w:t>&lt;/Amend&gt;</w:t>
      </w:r>
    </w:p>
    <w:p>
      <w:pPr>
        <w:pStyle w:val="AmNumberTabs"/>
      </w:pPr>
      <w:r>
        <w:rPr>
          <w:rStyle w:val="HideTWBExt"/>
        </w:rPr>
        <w:t>&lt;Amend&gt;</w:t>
      </w:r>
      <w:r>
        <w:t>Ændringsforslag</w:t>
      </w:r>
      <w:r>
        <w:tab/>
      </w:r>
      <w:r>
        <w:tab/>
      </w:r>
      <w:r>
        <w:rPr>
          <w:rStyle w:val="HideTWBExt"/>
        </w:rPr>
        <w:t>&lt;NumAm&gt;</w:t>
      </w:r>
      <w:r>
        <w:t>59</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41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41.</w:t>
            </w:r>
            <w:r>
              <w:tab/>
            </w:r>
            <w:r>
              <w:t xml:space="preserve">understreger, at den årlige retsstatsrapport i øjeblikket er bygget op omkring fire søjler, nemlig retssystemet, rammen for bekæmpelse af korruption, mediepluralisme og andre institutionelle spørgsmål forbundet med kontrolforanstaltninger; </w:t>
            </w:r>
            <w:r>
              <w:rPr>
                <w:b/>
                <w:i/>
              </w:rPr>
              <w:t>anerkender</w:t>
            </w:r>
            <w:r>
              <w:t>, at der i retsstatsrapporten 2025 er medtaget en dimension vedrørende det indre marked for at tage fat på retsstatsspørgsmål, der påvirker virksomheder og arbejdstagere; understreger, at et velfungerende retssystem, en stærk ramme for bekæmpelse af korruption, mediepluralisme</w:t>
            </w:r>
            <w:r>
              <w:rPr>
                <w:b/>
                <w:i/>
              </w:rPr>
              <w:t>,</w:t>
            </w:r>
            <w:r>
              <w:t xml:space="preserve"> tilstrækkelige kontrolforanstaltninger </w:t>
            </w:r>
            <w:r>
              <w:rPr>
                <w:b/>
                <w:i/>
              </w:rPr>
              <w:t>og</w:t>
            </w:r>
            <w:r>
              <w:t xml:space="preserve"> et velfungerende indre marked </w:t>
            </w:r>
            <w:r>
              <w:rPr>
                <w:b/>
                <w:i/>
              </w:rPr>
              <w:t>er uløseligt forbundet med retsstatsprincippet</w:t>
            </w:r>
            <w:r>
              <w:t>;</w:t>
            </w:r>
          </w:p>
        </w:tc>
        <w:tc>
          <w:tcPr>
            <w:tcW w:w="4876" w:type="dxa"/>
            <w:tcBorders>
              <w:top w:val="nil"/>
              <w:left w:val="nil"/>
              <w:bottom w:val="nil"/>
              <w:right w:val="nil"/>
            </w:tcBorders>
          </w:tcPr>
          <w:p>
            <w:pPr>
              <w:pStyle w:val="Normal6a"/>
            </w:pPr>
            <w:r>
              <w:t>41.</w:t>
            </w:r>
            <w:r>
              <w:tab/>
            </w:r>
            <w:r>
              <w:t xml:space="preserve">understreger, at den årlige retsstatsrapport i øjeblikket er bygget op omkring fire søjler, nemlig retssystemet, rammen for bekæmpelse af korruption, mediepluralisme og andre institutionelle spørgsmål forbundet med kontrolforanstaltninger; </w:t>
            </w:r>
            <w:r>
              <w:rPr>
                <w:b/>
                <w:i/>
              </w:rPr>
              <w:t>glæder sig over</w:t>
            </w:r>
            <w:r>
              <w:t xml:space="preserve">, at der i retsstatsrapporten 2025 er medtaget en dimension vedrørende det indre marked for at tage fat på retsstatsspørgsmål, der påvirker virksomheder og arbejdstagere; understreger, at et velfungerende retssystem, en stærk ramme for bekæmpelse af korruption, mediepluralisme </w:t>
            </w:r>
            <w:r>
              <w:rPr>
                <w:b/>
                <w:i/>
              </w:rPr>
              <w:t>og</w:t>
            </w:r>
            <w:r>
              <w:t xml:space="preserve"> tilstrækkelige kontrolforanstaltninger </w:t>
            </w:r>
            <w:r>
              <w:rPr>
                <w:b/>
                <w:i/>
              </w:rPr>
              <w:t>allesammen udgør en forudsætning for</w:t>
            </w:r>
            <w:r>
              <w:t xml:space="preserve"> et velfungerende indre marked</w:t>
            </w:r>
            <w:r>
              <w:rPr>
                <w:b/>
                <w:i/>
              </w:rPr>
              <w:t>;</w:t>
            </w:r>
            <w:r>
              <w:rPr>
                <w:b/>
                <w:i/>
              </w:rPr>
              <w:t xml:space="preserve"> </w:t>
            </w:r>
            <w:r>
              <w:rPr>
                <w:b/>
                <w:i/>
              </w:rPr>
              <w:t>understreger, at disse søjler suppleres af undersøjler, som bør videreudvikles, hvor det er nødvendigt</w:t>
            </w:r>
            <w:r>
              <w:t>;</w:t>
            </w:r>
          </w:p>
        </w:tc>
      </w:tr>
    </w:tbl>
    <w:p>
      <w:r>
        <w:rPr>
          <w:rStyle w:val="HideTWBExt"/>
        </w:rPr>
        <w:t>&lt;/Amend&gt;</w:t>
      </w:r>
    </w:p>
    <w:p>
      <w:pPr>
        <w:pStyle w:val="AmNumberTabs"/>
      </w:pPr>
      <w:r>
        <w:rPr>
          <w:rStyle w:val="HideTWBExt"/>
        </w:rPr>
        <w:t>&lt;Amend&gt;</w:t>
      </w:r>
      <w:r>
        <w:t>Ændringsforslag</w:t>
      </w:r>
      <w:r>
        <w:tab/>
      </w:r>
      <w:r>
        <w:tab/>
      </w:r>
      <w:r>
        <w:rPr>
          <w:rStyle w:val="HideTWBExt"/>
        </w:rPr>
        <w:t>&lt;NumAm&gt;</w:t>
      </w:r>
      <w:r>
        <w:t>60</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41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41a.</w:t>
            </w:r>
            <w:r>
              <w:tab/>
            </w:r>
            <w:r>
              <w:rPr>
                <w:b/>
                <w:i/>
              </w:rPr>
              <w:t>understreger derfor, at den årlige rapport om retsstatssituationen – og navnlig henstillingerne heri – bør udformes på en sådan måde, at de er fuldt ud operationelle og direkte anvendelige til at fastslå, hvorvidt der er grund til at aktivere forordningen om konditionalitet; opfordrer desuden Kommissionen til at præcisere tærsklen, hvor mangler, der identificeres i rapporten, og de tilhørende henstillinger anses for at være tilstrækkeligt alvorlige til at retfærdiggøre anvendelsen af et økonomisk instrument som forordningen om konditionalitet;</w:t>
            </w:r>
          </w:p>
        </w:tc>
      </w:tr>
    </w:tbl>
    <w:p>
      <w:r>
        <w:rPr>
          <w:rStyle w:val="HideTWBExt"/>
        </w:rPr>
        <w:t>&lt;/Amend&gt;</w:t>
      </w:r>
    </w:p>
    <w:p>
      <w:pPr>
        <w:pStyle w:val="AmNumberTabs"/>
      </w:pPr>
      <w:r>
        <w:rPr>
          <w:rStyle w:val="HideTWBExt"/>
        </w:rPr>
        <w:t>&lt;Amend&gt;</w:t>
      </w:r>
      <w:r>
        <w:t>Ændringsforslag</w:t>
      </w:r>
      <w:r>
        <w:tab/>
      </w:r>
      <w:r>
        <w:tab/>
      </w:r>
      <w:r>
        <w:rPr>
          <w:rStyle w:val="HideTWBExt"/>
        </w:rPr>
        <w:t>&lt;NumAm&gt;</w:t>
      </w:r>
      <w:r>
        <w:t>61</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42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42.</w:t>
            </w:r>
            <w:r>
              <w:tab/>
            </w:r>
            <w:r>
              <w:t>bemærker, at systematiske tilsidesættelser af retsstatsprincippet, der er konstateret under søjlerne i den årlige retsstatsrapport, og som har en tilstrækkelig direkte forbindelse til beskyttelsen af EU-budgettet, bør føre til aktivering af konditionalitetsmekanismen, navnlig i tilfælde såsom overtrædelser, manipulation eller favorisering i forbindelse med indkaldelser af udbud og ansøgninger, der involverer EU-finansiering, samt administrativ chikane, der krænker ligebehandlingen af lokale og regionale myndigheder, virksomheder eller andre slutmodtagere og tilskudsmodtagere og deres adgang til EU-midler;</w:t>
            </w:r>
          </w:p>
        </w:tc>
        <w:tc>
          <w:tcPr>
            <w:tcW w:w="4876" w:type="dxa"/>
            <w:tcBorders>
              <w:top w:val="nil"/>
              <w:left w:val="nil"/>
              <w:bottom w:val="nil"/>
              <w:right w:val="nil"/>
            </w:tcBorders>
          </w:tcPr>
          <w:p>
            <w:pPr>
              <w:pStyle w:val="Normal6a"/>
            </w:pPr>
            <w:r>
              <w:t>42.</w:t>
            </w:r>
            <w:r>
              <w:tab/>
            </w:r>
            <w:r>
              <w:t xml:space="preserve">bemærker, at systematiske tilsidesættelser af retsstatsprincippet, der er konstateret under søjlerne i den årlige retsstatsrapport, og som har en tilstrækkelig direkte forbindelse til beskyttelsen af EU-budgettet, bør føre til aktivering af konditionalitetsmekanismen, navnlig i tilfælde såsom </w:t>
            </w:r>
            <w:r>
              <w:rPr>
                <w:b/>
                <w:i/>
              </w:rPr>
              <w:t>systemiske tilsidesættelser af retsvæsenets uafhængighed, en ineffektiv ramme for bekæmpelse af korruption, herunder politisk indflydelse på anklagemyndighedens tjenestegrene eller på overordnede revisionsorganer, eller</w:t>
            </w:r>
            <w:r>
              <w:t xml:space="preserve"> overtrædelser, manipulation eller favorisering i forbindelse med indkaldelser af udbud og ansøgninger, der involverer EU-finansiering, samt administrativ chikane, der krænker ligebehandlingen af lokale og regionale myndigheder, virksomheder eller andre slutmodtagere og tilskudsmodtagere og deres adgang til EU-midler;</w:t>
            </w:r>
          </w:p>
        </w:tc>
      </w:tr>
    </w:tbl>
    <w:p>
      <w:r>
        <w:rPr>
          <w:rStyle w:val="HideTWBExt"/>
        </w:rPr>
        <w:t>&lt;/Amend&gt;</w:t>
      </w:r>
    </w:p>
    <w:p>
      <w:pPr>
        <w:pStyle w:val="AmNumberTabs"/>
      </w:pPr>
      <w:r>
        <w:rPr>
          <w:rStyle w:val="HideTWBExt"/>
        </w:rPr>
        <w:t>&lt;Amend&gt;</w:t>
      </w:r>
      <w:r>
        <w:t>Ændringsforslag</w:t>
      </w:r>
      <w:r>
        <w:tab/>
      </w:r>
      <w:r>
        <w:tab/>
      </w:r>
      <w:r>
        <w:rPr>
          <w:rStyle w:val="HideTWBExt"/>
        </w:rPr>
        <w:t>&lt;NumAm&gt;</w:t>
      </w:r>
      <w:r>
        <w:t>62</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44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44.</w:t>
            </w:r>
            <w:r>
              <w:tab/>
            </w:r>
            <w:r>
              <w:t>insisterer på, at Parlamentets kontrolbeføjelser skal beskyttes ved at give Parlamentet beføjelse til at overvåge, om anvendelsen (eller den manglende anvendelse) af ordningen med konditionalitet sker på en konsekvent måde, og dermed forhindre politisk instrumentalisering eller uigennemsigtighed; opfordrer Kommissionen til at forelægge Parlamentet en konsolideret årlig oversigt over alle konditionalitetsrelaterede afgørelser på tværs af budgetposter i forbindelse med den årlige budgetprocedure;</w:t>
            </w:r>
          </w:p>
        </w:tc>
        <w:tc>
          <w:tcPr>
            <w:tcW w:w="4876" w:type="dxa"/>
            <w:tcBorders>
              <w:top w:val="nil"/>
              <w:left w:val="nil"/>
              <w:bottom w:val="nil"/>
              <w:right w:val="nil"/>
            </w:tcBorders>
          </w:tcPr>
          <w:p>
            <w:pPr>
              <w:pStyle w:val="Normal6a"/>
            </w:pPr>
            <w:r>
              <w:t>44.</w:t>
            </w:r>
            <w:r>
              <w:tab/>
            </w:r>
            <w:r>
              <w:t xml:space="preserve">insisterer på, at Parlamentets kontrolbeføjelser skal beskyttes ved at give Parlamentet beføjelse til at overvåge, om anvendelsen (eller den manglende anvendelse) af ordningen med konditionalitet </w:t>
            </w:r>
            <w:r>
              <w:rPr>
                <w:b/>
                <w:i/>
              </w:rPr>
              <w:t>under nuværende og fremtidige værktøjer</w:t>
            </w:r>
            <w:r>
              <w:t xml:space="preserve"> sker på en konsekvent måde, og dermed forhindre politisk instrumentalisering eller uigennemsigtighed; opfordrer Kommissionen til at forelægge Parlamentet en konsolideret årlig oversigt over alle konditionalitetsrelaterede afgørelser på tværs af budgetposter i forbindelse med den årlige budgetprocedure;</w:t>
            </w:r>
          </w:p>
        </w:tc>
      </w:tr>
    </w:tbl>
    <w:p>
      <w:r>
        <w:rPr>
          <w:rStyle w:val="HideTWBExt"/>
        </w:rPr>
        <w:t>&lt;/Amend&gt;</w:t>
      </w:r>
    </w:p>
    <w:p>
      <w:pPr>
        <w:pStyle w:val="AmNumberTabs"/>
      </w:pPr>
      <w:r>
        <w:rPr>
          <w:rStyle w:val="HideTWBExt"/>
        </w:rPr>
        <w:t>&lt;Amend&gt;</w:t>
      </w:r>
      <w:r>
        <w:t>Ændringsforslag</w:t>
      </w:r>
      <w:r>
        <w:tab/>
      </w:r>
      <w:r>
        <w:tab/>
      </w:r>
      <w:r>
        <w:rPr>
          <w:rStyle w:val="HideTWBExt"/>
        </w:rPr>
        <w:t>&lt;NumAm&gt;</w:t>
      </w:r>
      <w:r>
        <w:t>63</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45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45a.</w:t>
            </w:r>
            <w:r>
              <w:tab/>
            </w:r>
            <w:r>
              <w:rPr>
                <w:b/>
                <w:i/>
              </w:rPr>
              <w:t>opfordrer indtrængende Kommissionen til at nå til enighed om en sikker kommunikationskanal med Parlamentets ansvarlige organer for at sikre fuld adgang til dokumentation, herunder den fulde ordlyd af skriftlige meddelelser og udvekslinger mellem Kommissionens tjenestegrene og den pågældende medlemsstat, på en rettidig, omfattende og proaktiv måde, samtidig med at fortroligheden beskyttes;</w:t>
            </w:r>
          </w:p>
        </w:tc>
      </w:tr>
    </w:tbl>
    <w:p>
      <w:r>
        <w:rPr>
          <w:rStyle w:val="HideTWBExt"/>
        </w:rPr>
        <w:t>&lt;/Amend&gt;</w:t>
      </w:r>
    </w:p>
    <w:p>
      <w:pPr>
        <w:pStyle w:val="AmNumberTabs"/>
      </w:pPr>
      <w:r>
        <w:rPr>
          <w:rStyle w:val="HideTWBExt"/>
        </w:rPr>
        <w:t>&lt;Amend&gt;</w:t>
      </w:r>
      <w:r>
        <w:t>Ændringsforslag</w:t>
      </w:r>
      <w:r>
        <w:tab/>
      </w:r>
      <w:r>
        <w:tab/>
      </w:r>
      <w:r>
        <w:rPr>
          <w:rStyle w:val="HideTWBExt"/>
        </w:rPr>
        <w:t>&lt;NumAm&gt;</w:t>
      </w:r>
      <w:r>
        <w:t>64</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46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46.</w:t>
            </w:r>
            <w:r>
              <w:tab/>
            </w:r>
            <w:r>
              <w:t xml:space="preserve">opfordrer Rådet til at sikre, at processen er faktabaseret og objektiv, og til at holde sig så tæt op ad Kommissionens forslag som muligt; opfordrer endvidere indtrængende Rådet til ikke at bruge den proces, der fører til vedtagelsen af foranstaltninger, </w:t>
            </w:r>
            <w:r>
              <w:rPr>
                <w:b/>
                <w:i/>
              </w:rPr>
              <w:t>som et forhandlingsmiddel</w:t>
            </w:r>
            <w:r>
              <w:t>;</w:t>
            </w:r>
          </w:p>
        </w:tc>
        <w:tc>
          <w:tcPr>
            <w:tcW w:w="4876" w:type="dxa"/>
            <w:tcBorders>
              <w:top w:val="nil"/>
              <w:left w:val="nil"/>
              <w:bottom w:val="nil"/>
              <w:right w:val="nil"/>
            </w:tcBorders>
          </w:tcPr>
          <w:p>
            <w:pPr>
              <w:pStyle w:val="Normal6a"/>
            </w:pPr>
            <w:r>
              <w:t>46.</w:t>
            </w:r>
            <w:r>
              <w:tab/>
            </w:r>
            <w:r>
              <w:t>opfordrer Rådet til at sikre, at processen er faktabaseret og objektiv, og til at holde sig så tæt op ad Kommissionens forslag som muligt</w:t>
            </w:r>
            <w:r>
              <w:rPr>
                <w:b/>
                <w:i/>
              </w:rPr>
              <w:t>, samt til, i tilfælde af at det afviger herfra, at sikre, at der foreligger en tilstrækkelig begrundelse herfor</w:t>
            </w:r>
            <w:r>
              <w:t xml:space="preserve">; opfordrer endvidere indtrængende Rådet til ikke at bruge den proces, der fører til vedtagelsen af foranstaltninger </w:t>
            </w:r>
            <w:r>
              <w:rPr>
                <w:b/>
                <w:i/>
              </w:rPr>
              <w:t>som en politisk forhandlingsproces</w:t>
            </w:r>
            <w:r>
              <w:t xml:space="preserve">, </w:t>
            </w:r>
            <w:r>
              <w:rPr>
                <w:b/>
                <w:i/>
              </w:rPr>
              <w:t>hvilket vil gøre det muligt for en medlemsstat, der er omfattet af denne proces, at udnytte sin vetoret over for hastebeslutninger, der kræver enstemmighed i Det Europæiske Råd;</w:t>
            </w:r>
            <w:r>
              <w:rPr>
                <w:b/>
                <w:i/>
              </w:rPr>
              <w:t xml:space="preserve"> </w:t>
            </w:r>
            <w:r>
              <w:rPr>
                <w:b/>
                <w:i/>
              </w:rPr>
              <w:t>mener, at det under den nuværende forordning bør være muligt at vedtage nye foranstaltninger til beskyttelse af EU's budget på en forenklet måde inden for samme procedure, hvis den situation, der har ført til vedtagelsen af foranstaltninger, ikke er blevet afhjulpet eller er blevet forværret, samtidig med at det sikres, at det samme væsentlige kriterium og de samme garantier fortsat gælder</w:t>
            </w:r>
            <w:r>
              <w:t>;</w:t>
            </w:r>
          </w:p>
        </w:tc>
      </w:tr>
    </w:tbl>
    <w:p>
      <w:r>
        <w:rPr>
          <w:rStyle w:val="HideTWBExt"/>
        </w:rPr>
        <w:t>&lt;/Amend&gt;</w:t>
      </w:r>
    </w:p>
    <w:p>
      <w:pPr>
        <w:pStyle w:val="AmNumberTabs"/>
      </w:pPr>
      <w:r>
        <w:rPr>
          <w:rStyle w:val="HideTWBExt"/>
        </w:rPr>
        <w:t>&lt;Amend&gt;</w:t>
      </w:r>
      <w:r>
        <w:t>Ændringsforslag</w:t>
      </w:r>
      <w:r>
        <w:tab/>
      </w:r>
      <w:r>
        <w:tab/>
      </w:r>
      <w:r>
        <w:rPr>
          <w:rStyle w:val="HideTWBExt"/>
        </w:rPr>
        <w:t>&lt;NumAm&gt;</w:t>
      </w:r>
      <w:r>
        <w:t>65</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47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47.</w:t>
            </w:r>
            <w:r>
              <w:tab/>
            </w:r>
            <w:r>
              <w:t>anmoder Kommissionen om at oprette en interaktiv portal, der vil gøre det muligt for borgere, slutmodtagere, tilskudsmodtagere og erhvervsdrivende at følge konditionalitetssager i hele deres forløb fra anmeldelse til eventuel ophævelse af foranstaltninger, med henblik på at øge gennemsigtigheden og forhindre misinformation; opfordrer i den forbindelse Kommissionen til at offentliggøre faktablade med alle fremtidige foranstaltninger i henhold til forordningen om konditionalitet, som angiver typen og vurderingen af overtrædelserne, indvirkningen på EU-budgettet og, hvor det er relevant, forholdsmæssigheden af de foreslåede foranstaltninger; opfordrer Kommissionen til at sikre, at de relevante oplysninger formidles til de berørte slutmodtagere og tilskudsmodtagere og til den brede offentlighed;</w:t>
            </w:r>
          </w:p>
        </w:tc>
        <w:tc>
          <w:tcPr>
            <w:tcW w:w="4876" w:type="dxa"/>
            <w:tcBorders>
              <w:top w:val="nil"/>
              <w:left w:val="nil"/>
              <w:bottom w:val="nil"/>
              <w:right w:val="nil"/>
            </w:tcBorders>
          </w:tcPr>
          <w:p>
            <w:pPr>
              <w:pStyle w:val="Normal6a"/>
            </w:pPr>
            <w:r>
              <w:t>47.</w:t>
            </w:r>
            <w:r>
              <w:tab/>
            </w:r>
            <w:r>
              <w:t>anmoder Kommissionen om at oprette en interaktiv portal, der vil gøre det muligt for borgere</w:t>
            </w:r>
            <w:r>
              <w:rPr>
                <w:b/>
                <w:i/>
              </w:rPr>
              <w:t>, civilsamfundsorganisationer</w:t>
            </w:r>
            <w:r>
              <w:t>, slutmodtagere, tilskudsmodtagere og erhvervsdrivende at følge konditionalitetssager i hele deres forløb fra anmeldelse til eventuel ophævelse af foranstaltninger, med henblik på at øge gennemsigtigheden og forhindre misinformation; opfordrer i den forbindelse Kommissionen til at offentliggøre faktablade med alle fremtidige foranstaltninger i henhold til forordningen om konditionalitet, som angiver typen og vurderingen af overtrædelserne, indvirkningen på EU-budgettet og, hvor det er relevant, forholdsmæssigheden af de foreslåede foranstaltninger; opfordrer Kommissionen til at sikre, at de relevante oplysninger formidles til de berørte slutmodtagere og tilskudsmodtagere og til den brede offentlighed;</w:t>
            </w:r>
          </w:p>
        </w:tc>
      </w:tr>
    </w:tbl>
    <w:p>
      <w:r>
        <w:rPr>
          <w:rStyle w:val="HideTWBExt"/>
        </w:rPr>
        <w:t>&lt;/Amend&gt;</w:t>
      </w:r>
    </w:p>
    <w:p>
      <w:pPr>
        <w:pStyle w:val="AmNumberTabs"/>
      </w:pPr>
      <w:r>
        <w:rPr>
          <w:rStyle w:val="HideTWBExt"/>
        </w:rPr>
        <w:t>&lt;Amend&gt;</w:t>
      </w:r>
      <w:r>
        <w:t>Ændringsforslag</w:t>
      </w:r>
      <w:r>
        <w:tab/>
      </w:r>
      <w:r>
        <w:tab/>
      </w:r>
      <w:r>
        <w:rPr>
          <w:rStyle w:val="HideTWBExt"/>
        </w:rPr>
        <w:t>&lt;NumAm&gt;</w:t>
      </w:r>
      <w:r>
        <w:t>66</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49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49.</w:t>
            </w:r>
            <w:r>
              <w:tab/>
            </w:r>
            <w:r>
              <w:t xml:space="preserve">opfordrer Kommissionen til at styrke </w:t>
            </w:r>
            <w:r>
              <w:rPr>
                <w:b/>
                <w:i/>
              </w:rPr>
              <w:t>sin</w:t>
            </w:r>
            <w:r>
              <w:t xml:space="preserve"> undersøgelseskapacitet ved at etablere en fast liste over specialiserede eksperter, der er i stand til at vurdere komplekse tilsidesættelser af retsstatsprincippet, for på den måde at sikre hurtigere og teknisk robuste afgørelser og til at udvikle et IT-system, der gør det muligt at opdage mønstre eller ligheder i de modtagne indberetninger;</w:t>
            </w:r>
          </w:p>
        </w:tc>
        <w:tc>
          <w:tcPr>
            <w:tcW w:w="4876" w:type="dxa"/>
            <w:tcBorders>
              <w:top w:val="nil"/>
              <w:left w:val="nil"/>
              <w:bottom w:val="nil"/>
              <w:right w:val="nil"/>
            </w:tcBorders>
          </w:tcPr>
          <w:p>
            <w:pPr>
              <w:pStyle w:val="Normal6a"/>
            </w:pPr>
            <w:r>
              <w:t>49.</w:t>
            </w:r>
            <w:r>
              <w:tab/>
            </w:r>
            <w:r>
              <w:rPr>
                <w:b/>
                <w:i/>
              </w:rPr>
              <w:t xml:space="preserve">mener, at Kommissionen endnu ikke fuldt ud har udviklet den nødvendige administrative kapacitet til at gennemføre forordningen; understreger, at EU-institutionerne skal sikre, at Kommissionen har tilstrækkelige midler til at håndhæve den effektivt; </w:t>
            </w:r>
            <w:r>
              <w:t xml:space="preserve">opfordrer </w:t>
            </w:r>
            <w:r>
              <w:rPr>
                <w:b/>
                <w:i/>
              </w:rPr>
              <w:t>på dette grundlag derfor</w:t>
            </w:r>
            <w:r>
              <w:t xml:space="preserve"> Kommissionen til at </w:t>
            </w:r>
            <w:r>
              <w:rPr>
                <w:b/>
                <w:i/>
              </w:rPr>
              <w:t>afsætte passende menneskelige ressourcer til håndhævelsen af forordningen for og til at</w:t>
            </w:r>
            <w:r>
              <w:t xml:space="preserve"> styrke </w:t>
            </w:r>
            <w:r>
              <w:rPr>
                <w:b/>
                <w:i/>
              </w:rPr>
              <w:t>Kommissionens</w:t>
            </w:r>
            <w:r>
              <w:t xml:space="preserve"> undersøgelseskapacitet ved at etablere en fast liste over specialiserede eksperter, der er i stand til at vurdere komplekse tilsidesættelser af retsstatsprincippet, for på den måde at sikre hurtigere og teknisk robuste afgørelser og til at udvikle et IT-system, der gør det muligt at opdage mønstre eller ligheder i de modtagne indberetninger;</w:t>
            </w:r>
            <w:r>
              <w:rPr>
                <w:b/>
                <w:i/>
              </w:rPr>
              <w:t xml:space="preserve"> understreger behovet for et tæt og struktureret samarbejde mellem de relevante generaldirektorater i Kommissionen, navnlig Generaldirektoratet for Budget og Generaldirektoratet for Retlige Anliggender og Forbrugere, for at sikre sammenhæng og komplementaritet i anvendelsen af ​forordningen;</w:t>
            </w:r>
          </w:p>
        </w:tc>
      </w:tr>
    </w:tbl>
    <w:p>
      <w:r>
        <w:rPr>
          <w:rStyle w:val="HideTWBExt"/>
        </w:rPr>
        <w:t>&lt;/Amend&gt;</w:t>
      </w:r>
    </w:p>
    <w:p>
      <w:pPr>
        <w:pStyle w:val="AmNumberTabs"/>
      </w:pPr>
      <w:r>
        <w:rPr>
          <w:rStyle w:val="HideTWBExt"/>
        </w:rPr>
        <w:t>&lt;Amend&gt;</w:t>
      </w:r>
      <w:r>
        <w:t>Ændringsforslag</w:t>
      </w:r>
      <w:r>
        <w:tab/>
      </w:r>
      <w:r>
        <w:tab/>
      </w:r>
      <w:r>
        <w:rPr>
          <w:rStyle w:val="HideTWBExt"/>
        </w:rPr>
        <w:t>&lt;NumAm&gt;</w:t>
      </w:r>
      <w:r>
        <w:t>67</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51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51a.</w:t>
            </w:r>
            <w:r>
              <w:tab/>
            </w:r>
            <w:r>
              <w:rPr>
                <w:b/>
                <w:i/>
              </w:rPr>
              <w:t>gentager sit forslag om at oprette en EU-mekanisme for demokrati, retsstatsprincippet og grundlæggende rettigheder, der bygger på Parlamentets forslag fra 2020; understreger, at denne mekanisme bør styres af en interinstitutionel aftale mellem Parlamentet, Kommissionen og Rådet, der består af en årlig overvågningscyklus for EU's værdier, der dækker alle aspekter af artikel 2 i TEU, og som finder ensartet, objektiv og retfærdig anvendelse på alle medlemsstater og kandidatlande, støttet af et panel af uafhængige eksperter, der udarbejder henstillinger og forbinder dem med budget- og andre håndhævelsesværktøjer, samt styrker Parlamentets tilsynsfunktion; understreger, at selv om den retsstatsværktøjskasse, som EU har til rådighed, er blevet betydeligt udvidet, afhænger dens effektivitet af en sammenhængende og konsekvent anvendelse på tværs af alle institutioner; understreger nødvendigheden af i mellemtiden at oprette et europæisk retsstatssemester med en klar struktur med faste milepæle og aktive bidrag fra alle EU-institutioner; understreger, at selv om dette europæiske retsstatssemester oprindeligt fokuserede på retsstatsprincippet, bør det udformes på en måde, der gør det muligt gradvist at udvide det til at omfatte alle de værdier, der er nedfældet i artikel 2 i TEU, og sikre en omfattende og sammenhængende tilgang til beskyttelsen af EU's værdier; understreger, at denne årlige cyklus skal være baseret på solide, objektive indikatorer og gøre det klart, at overtrædelser af retsstatsprincippet aldrig er uvæsentlige, og at eventuelle bekymrende konstateringer bør føre til reelle konsekvenser, der afspejler den mekanisme for det europæiske semester, der anvendes på området for offentlige finanser;</w:t>
            </w:r>
          </w:p>
        </w:tc>
      </w:tr>
    </w:tbl>
    <w:p>
      <w:r>
        <w:rPr>
          <w:rStyle w:val="HideTWBExt"/>
        </w:rPr>
        <w:t>&lt;/Amend&gt;</w:t>
      </w:r>
    </w:p>
    <w:p>
      <w:r>
        <w:rPr>
          <w:rStyle w:val="HideTWBExt"/>
        </w:rPr>
        <w:t>&lt;/RepeatBlock-Amend&gt;</w:t>
      </w:r>
    </w:p>
    <w:p>
      <w:pPr>
        <w:sectPr>
          <w:footnotePr>
            <w:numRestart w:val="eachSect"/>
          </w:footnotePr>
          <w:type w:val="nextPage"/>
          <w:pgSz w:w="11909" w:h="16834"/>
          <w:pgMar w:top="1134" w:right="1417" w:bottom="1417" w:left="1417" w:header="1134" w:footer="567"/>
          <w:cols w:space="720"/>
        </w:sectPr>
      </w:pPr>
    </w:p>
    <w:p>
      <w:pPr>
        <w:pStyle w:val="PageHeading"/>
      </w:pPr>
      <w:r>
        <w:t>BILAG: ERKLÆRING OM INPUT</w:t>
      </w:r>
    </w:p>
    <w:p>
      <w:pPr>
        <w:pStyle w:val="Normal12a"/>
      </w:pPr>
      <w:r>
        <w:rPr>
          <w:rStyle w:val="HideTWBExt"/>
        </w:rPr>
        <w:t>&lt;FootprintIntro&gt;</w:t>
      </w:r>
      <w:r>
        <w:rPr>
          <w:rStyle w:val="HideTWBExt"/>
        </w:rPr>
        <w:t>&lt;/FootprintIntro&gt;</w:t>
      </w:r>
    </w:p>
    <w:p>
      <w:pPr>
        <w:pStyle w:val="Normal12a"/>
      </w:pPr>
      <w:r>
        <w:t>Formanden i sin rolle som ordfører for udtalelsen erklærer på eget ansvar, at han ikke i sin udtalelse har medtaget input fra interesserepræsentanter, der er omfattet af anvendelsesområdet for den interinstitutionelle aftale om et obligatorisk åbenhedsregister</w:t>
      </w:r>
      <w:r>
        <w:rPr>
          <w:rStyle w:val="FootnoteReference"/>
        </w:rPr>
        <w:footnoteReference w:customMarkFollows="1" w:id="2"/>
        <w:t xml:space="preserve">1</w:t>
      </w:r>
      <w:r>
        <w:t>, eller fra repræsentanter for offentlige myndigheder i tredjelande, herunder deres diplomatiske repræsentationer og ambassader, som i henhold til artikel 8 i bilag I til forretningsordenen skal angives i dette bilag.</w:t>
      </w:r>
    </w:p>
    <w:p>
      <w:pPr>
        <w:sectPr>
          <w:footnotePr>
            <w:numRestart w:val="eachSect"/>
          </w:footnotePr>
          <w:type w:val="nextPage"/>
          <w:pgSz w:w="11909" w:h="16834"/>
          <w:pgMar w:top="1134" w:right="1417" w:bottom="1417" w:left="1417" w:header="1134" w:footer="567"/>
          <w:cols w:space="720"/>
        </w:sectPr>
      </w:pPr>
    </w:p>
    <w:p>
      <w:pPr>
        <w:pStyle w:val="PageHeading"/>
      </w:pPr>
      <w:r>
        <w:t>OPLYSNINGER OM VEDTAGELSE I RÅDGIVENDE UDVALG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0" w:type="dxa"/>
          <w:right w:w="140" w:type="dxa"/>
        </w:tblCellMar>
      </w:tblPr>
      <w:tblGrid>
        <w:gridCol w:w="3600"/>
        <w:gridCol w:w="6400"/>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0" w:type="dxa"/>
            <w:right w:w="140" w:type="dxa"/>
          </w:tblCellMar>
        </w:tblPrEx>
        <w:tc>
          <w:tcPr>
            <w:tcW w:w="3600" w:type="dxa"/>
          </w:tcPr>
          <w:p>
            <w:pPr>
              <w:pStyle w:val="ProcedureTableBold"/>
            </w:pPr>
            <w:r>
              <w:t>Dato for vedtagelse</w:t>
            </w:r>
          </w:p>
        </w:tc>
        <w:tc>
          <w:tcPr>
            <w:tcW w:w="6400" w:type="dxa"/>
            <w:tcBorders>
              <w:left w:val="dotted" w:sz="4" w:space="0" w:color="auto"/>
            </w:tcBorders>
          </w:tcPr>
          <w:p>
            <w:pPr>
              <w:pStyle w:val="ProcedureTable"/>
            </w:pPr>
            <w:r>
              <w:t>5.11.2025</w:t>
            </w:r>
          </w:p>
        </w:tc>
      </w:tr>
      <w:tr>
        <w:tblPrEx>
          <w:tblW w:w="0" w:type="auto"/>
          <w:tblLayout w:type="fixed"/>
          <w:tblCellMar>
            <w:left w:w="140" w:type="dxa"/>
            <w:right w:w="140" w:type="dxa"/>
          </w:tblCellMar>
        </w:tblPrEx>
        <w:tc>
          <w:tcPr>
            <w:tcW w:w="3600" w:type="dxa"/>
          </w:tcPr>
          <w:p>
            <w:pPr>
              <w:pStyle w:val="ProcedureTableBold"/>
            </w:pPr>
            <w:r>
              <w:t>Resultat af den endelige afstemning</w:t>
            </w:r>
          </w:p>
        </w:tc>
        <w:tc>
          <w:tcPr>
            <w:tcW w:w="6400" w:type="dxa"/>
            <w:tcBorders>
              <w:left w:val="dotted" w:sz="4" w:space="0" w:color="auto"/>
            </w:tcBorders>
          </w:tcPr>
          <w:p>
            <w:r>
              <w:t>+</w:t>
            </w:r>
            <w:r>
              <w:tab/>
            </w:r>
            <w:r>
              <w:t>:</w:t>
            </w:r>
            <w:r>
              <w:tab/>
            </w:r>
            <w:r>
              <w:t>52</w:t>
            </w:r>
          </w:p>
          <w:p>
            <w:r>
              <w:t>-</w:t>
            </w:r>
            <w:r>
              <w:tab/>
            </w:r>
            <w:r>
              <w:t>:</w:t>
            </w:r>
            <w:r>
              <w:tab/>
            </w:r>
            <w:r>
              <w:t>21</w:t>
            </w:r>
          </w:p>
          <w:p>
            <w:r>
              <w:t>0</w:t>
            </w:r>
            <w:r>
              <w:tab/>
            </w:r>
            <w:r>
              <w:t>:</w:t>
            </w:r>
            <w:r>
              <w:tab/>
            </w:r>
            <w:r>
              <w:t>1</w:t>
            </w:r>
          </w:p>
        </w:tc>
      </w:tr>
      <w:tr>
        <w:tblPrEx>
          <w:tblW w:w="0" w:type="auto"/>
          <w:tblLayout w:type="fixed"/>
          <w:tblCellMar>
            <w:left w:w="140" w:type="dxa"/>
            <w:right w:w="140" w:type="dxa"/>
          </w:tblCellMar>
        </w:tblPrEx>
        <w:tc>
          <w:tcPr>
            <w:tcW w:w="3600" w:type="dxa"/>
          </w:tcPr>
          <w:p>
            <w:pPr>
              <w:pStyle w:val="ProcedureTableBold"/>
            </w:pPr>
            <w:r>
              <w:t>Til stede ved den endelige afstemning - medlemmer</w:t>
            </w:r>
          </w:p>
        </w:tc>
        <w:tc>
          <w:tcPr>
            <w:tcW w:w="6400" w:type="dxa"/>
            <w:tcBorders>
              <w:left w:val="dotted" w:sz="4" w:space="0" w:color="auto"/>
            </w:tcBorders>
          </w:tcPr>
          <w:p>
            <w:pPr>
              <w:pStyle w:val="ProcedureTable"/>
            </w:pPr>
            <w:r>
              <w:t>Abir Al-Sahlani, Giuseppe Antoci, Jaume Asens Llodrà, Malik Azmani, Pernando Barrena Arza, Nicolas Bay, Ioan-Rareş Bogdan, Krzysztof Brejza, Saskia Bricmont, Jorge Buxadé Villalba, Jaroslav Bžoch, Mélissa Camara, Susanna Ceccardi, Caterina Chinnici, Alessandro Ciriani, Paulo Cunha, Lena Düpont, Marieke Ehlers, Estrella Galán, Raquel García Hermida-Van Der Walle, Evin Incir, Paolo Inselvini, Marina Kaljurand, Mariusz Kamiński, Assita Kanko, Fabienne Keller, Mary Khan, Moritz Körner, András László, Murielle Laurent, Fabrice Leggeri, Jeroen Lenaers, Erik Marquardt, Michael McNamara, Ana Catarina Mendes, Verena Mertens, Nadine Morano, Matjaž Nemec, Ana Miguel Pedro, Emil Radev, Ilaria Salis, Birgit Sippel, Petra Steger, Cecilia Strada, Tineke Strik, Tomas Tobé, Milan Uhrík, Tom Vandendriessche, Kristian Vigenin, Charlie Weimers, Sophie Wilmès, Alessandro Zan, Javier Zarzalejos</w:t>
            </w:r>
          </w:p>
        </w:tc>
      </w:tr>
      <w:tr>
        <w:tblPrEx>
          <w:tblW w:w="0" w:type="auto"/>
          <w:tblLayout w:type="fixed"/>
          <w:tblCellMar>
            <w:left w:w="140" w:type="dxa"/>
            <w:right w:w="140" w:type="dxa"/>
          </w:tblCellMar>
        </w:tblPrEx>
        <w:tc>
          <w:tcPr>
            <w:tcW w:w="3600" w:type="dxa"/>
          </w:tcPr>
          <w:p>
            <w:pPr>
              <w:pStyle w:val="ProcedureTableBold"/>
            </w:pPr>
            <w:r>
              <w:t>Til stede ved den endelige afstemning - stedfortrædere</w:t>
            </w:r>
          </w:p>
        </w:tc>
        <w:tc>
          <w:tcPr>
            <w:tcW w:w="6400" w:type="dxa"/>
            <w:tcBorders>
              <w:left w:val="dotted" w:sz="4" w:space="0" w:color="auto"/>
            </w:tcBorders>
          </w:tcPr>
          <w:p>
            <w:pPr>
              <w:pStyle w:val="ProcedureTable"/>
            </w:pPr>
            <w:r>
              <w:t>Anja Arndt, Konstantinos Arvanitis, David Casa, Kinga Gál, Geadis Geadi, Nikola Minchev, Dolors Montserrat, Javier Moreno Sánchez, Leoluca Orlando, Maria Walsh, Maciej Wąsik</w:t>
            </w:r>
          </w:p>
        </w:tc>
      </w:tr>
      <w:tr>
        <w:tblPrEx>
          <w:tblW w:w="0" w:type="auto"/>
          <w:tblLayout w:type="fixed"/>
          <w:tblCellMar>
            <w:left w:w="140" w:type="dxa"/>
            <w:right w:w="140" w:type="dxa"/>
          </w:tblCellMar>
        </w:tblPrEx>
        <w:tc>
          <w:tcPr>
            <w:tcW w:w="3600" w:type="dxa"/>
          </w:tcPr>
          <w:p>
            <w:pPr>
              <w:pStyle w:val="ProcedureTableBold"/>
            </w:pPr>
            <w:r>
              <w:t>Til stede ved den endelige afstemning – medlemmer som omhandlet i forretningsordenens art. 216, stk. 7</w:t>
            </w:r>
          </w:p>
        </w:tc>
        <w:tc>
          <w:tcPr>
            <w:tcW w:w="6400" w:type="dxa"/>
            <w:tcBorders>
              <w:left w:val="dotted" w:sz="4" w:space="0" w:color="auto"/>
            </w:tcBorders>
          </w:tcPr>
          <w:p>
            <w:pPr>
              <w:pStyle w:val="ProcedureTable"/>
            </w:pPr>
            <w:r>
              <w:t>Isabel Benjumea Benjumea, Robert Biedroń, Henrik Dahl, Elisabetta Gualmini, Martine Kemp, Stefan Köhler, Judita Laššáková, Miriam Lexmann, André Rodrigues, Marjan Šarec</w:t>
            </w:r>
          </w:p>
        </w:tc>
      </w:tr>
    </w:tbl>
    <w:p>
      <w:pPr>
        <w:sectPr>
          <w:type w:val="nextPage"/>
          <w:pgSz w:w="11909" w:h="16834"/>
          <w:pgMar w:top="1134" w:right="1417" w:bottom="1417" w:left="1417" w:header="1134" w:footer="567"/>
          <w:cols w:space="720"/>
        </w:sectPr>
      </w:pPr>
    </w:p>
    <w:p>
      <w:pPr>
        <w:pStyle w:val="PageHeading"/>
      </w:pPr>
      <w:r>
        <w:t>ENDELIG AFSTEMNING VED NAVNEOPRÅB I RÅDGIVENDE UDVALG</w:t>
      </w:r>
    </w:p>
    <w:tbl>
      <w:tblPr>
        <w:tblW w:w="0" w:type="auto"/>
        <w:tblBorders>
          <w:top w:val="double" w:sz="8" w:space="0" w:color="000000"/>
          <w:left w:val="double" w:sz="8" w:space="0" w:color="000000"/>
          <w:bottom w:val="double" w:sz="8" w:space="0" w:color="000000"/>
          <w:right w:val="double" w:sz="8" w:space="0" w:color="000000"/>
          <w:insideH w:val="single" w:sz="4" w:space="0" w:color="auto"/>
          <w:insideV w:val="single" w:sz="4" w:space="0" w:color="auto"/>
        </w:tblBorders>
        <w:tblLayout w:type="fixed"/>
        <w:tblCellMar>
          <w:top w:w="54" w:type="dxa"/>
          <w:left w:w="140" w:type="dxa"/>
          <w:bottom w:w="54" w:type="dxa"/>
          <w:right w:w="140" w:type="dxa"/>
        </w:tblCellMar>
      </w:tblPr>
      <w:tblGrid>
        <w:gridCol w:w="1600"/>
        <w:gridCol w:w="7600"/>
      </w:tblGrid>
      <w:tr>
        <w:tblPrEx>
          <w:tblW w:w="0" w:type="auto"/>
          <w:tblBorders>
            <w:top w:val="double" w:sz="8" w:space="0" w:color="000000"/>
            <w:left w:val="double" w:sz="8" w:space="0" w:color="000000"/>
            <w:bottom w:val="double" w:sz="8" w:space="0" w:color="000000"/>
            <w:right w:val="double" w:sz="8" w:space="0" w:color="000000"/>
            <w:insideH w:val="single" w:sz="4" w:space="0" w:color="auto"/>
            <w:insideV w:val="single" w:sz="4" w:space="0" w:color="auto"/>
          </w:tblBorders>
          <w:tblLayout w:type="fixed"/>
          <w:tblCellMar>
            <w:top w:w="54" w:type="dxa"/>
            <w:left w:w="140" w:type="dxa"/>
            <w:bottom w:w="54" w:type="dxa"/>
            <w:right w:w="140" w:type="dxa"/>
          </w:tblCellMar>
        </w:tblPrEx>
        <w:tc>
          <w:tcPr>
            <w:tcW w:w="1600" w:type="dxa"/>
            <w:shd w:val="clear" w:color="auto" w:fill="C0C0C0"/>
          </w:tcPr>
          <w:p>
            <w:pPr>
              <w:pStyle w:val="NormalBold"/>
            </w:pPr>
            <w:r>
              <w:t>52</w:t>
            </w:r>
          </w:p>
        </w:tc>
        <w:tc>
          <w:tcPr>
            <w:tcW w:w="7600" w:type="dxa"/>
            <w:shd w:val="clear" w:color="auto" w:fill="C0C0C0"/>
          </w:tcPr>
          <w:p>
            <w:pPr>
              <w:pStyle w:val="Arial14CentreBold"/>
            </w:pPr>
            <w:r>
              <w:t>+</w:t>
            </w:r>
          </w:p>
        </w:tc>
      </w:tr>
      <w:tr>
        <w:tblPrEx>
          <w:tblW w:w="0" w:type="auto"/>
          <w:tblLayout w:type="fixed"/>
          <w:tblCellMar>
            <w:top w:w="54" w:type="dxa"/>
            <w:left w:w="140" w:type="dxa"/>
            <w:bottom w:w="54" w:type="dxa"/>
            <w:right w:w="140" w:type="dxa"/>
          </w:tblCellMar>
        </w:tblPrEx>
        <w:tc>
          <w:tcPr>
            <w:tcW w:w="1600" w:type="dxa"/>
          </w:tcPr>
          <w:p>
            <w:pPr>
              <w:pStyle w:val="ProcedureTable"/>
            </w:pPr>
            <w:r>
              <w:t>PPE</w:t>
            </w:r>
          </w:p>
        </w:tc>
        <w:tc>
          <w:tcPr>
            <w:tcW w:w="7600" w:type="dxa"/>
          </w:tcPr>
          <w:p>
            <w:pPr>
              <w:pStyle w:val="ProcedureTable"/>
            </w:pPr>
            <w:r>
              <w:t>Benjumea Benjumea Isabel, Bogdan Ioan-Rares, Brejza Krzysztof, Casa David, Chinnici Caterina, Cunha Paulo, Dahl Henrik, Düpont Lena, Kemp Martine, Köhler Stefan, Lenaers Jeroen, Mertens Verena, Montserrat Dolors, Morano Nadine, Pedro Ana Miguel, Radev Emil, Tobé Tomas, Walsh Maria, Zarzalejos Javier</w:t>
            </w:r>
          </w:p>
        </w:tc>
      </w:tr>
      <w:tr>
        <w:tblPrEx>
          <w:tblW w:w="0" w:type="auto"/>
          <w:tblLayout w:type="fixed"/>
          <w:tblCellMar>
            <w:top w:w="54" w:type="dxa"/>
            <w:left w:w="140" w:type="dxa"/>
            <w:bottom w:w="54" w:type="dxa"/>
            <w:right w:w="140" w:type="dxa"/>
          </w:tblCellMar>
        </w:tblPrEx>
        <w:tc>
          <w:tcPr>
            <w:tcW w:w="1600" w:type="dxa"/>
          </w:tcPr>
          <w:p>
            <w:pPr>
              <w:pStyle w:val="ProcedureTable"/>
            </w:pPr>
            <w:r>
              <w:t>Gruppen Renew Europe</w:t>
            </w:r>
          </w:p>
        </w:tc>
        <w:tc>
          <w:tcPr>
            <w:tcW w:w="7600" w:type="dxa"/>
          </w:tcPr>
          <w:p>
            <w:pPr>
              <w:pStyle w:val="ProcedureTable"/>
            </w:pPr>
            <w:r>
              <w:t>Al-Sahlani Abir, Azmani Malik, García Hermida-Van Der Walle Raquel, Keller Fabienne, Körner Moritz, McNamara Michael, Minchev Nikola, Sarec Marjan, Wilmès Sophie</w:t>
            </w:r>
          </w:p>
        </w:tc>
      </w:tr>
      <w:tr>
        <w:tblPrEx>
          <w:tblW w:w="0" w:type="auto"/>
          <w:tblLayout w:type="fixed"/>
          <w:tblCellMar>
            <w:top w:w="54" w:type="dxa"/>
            <w:left w:w="140" w:type="dxa"/>
            <w:bottom w:w="54" w:type="dxa"/>
            <w:right w:w="140" w:type="dxa"/>
          </w:tblCellMar>
        </w:tblPrEx>
        <w:tc>
          <w:tcPr>
            <w:tcW w:w="1600" w:type="dxa"/>
          </w:tcPr>
          <w:p>
            <w:pPr>
              <w:pStyle w:val="ProcedureTable"/>
            </w:pPr>
            <w:r>
              <w:t>S&amp;D</w:t>
            </w:r>
          </w:p>
        </w:tc>
        <w:tc>
          <w:tcPr>
            <w:tcW w:w="7600" w:type="dxa"/>
          </w:tcPr>
          <w:p>
            <w:pPr>
              <w:pStyle w:val="ProcedureTable"/>
            </w:pPr>
            <w:r>
              <w:t>Biedron Robert, Gualmini Elisabetta, Incir Evin, Kaljurand Marina, Laurent Murielle, Mendes Ana Catarina, Moreno Sánchez Javier, Nemec Matjaz, Rodrigues André, Sippel Birgit, Strada Cecilia, Vigenin Kristian, Zan Alessandro</w:t>
            </w:r>
          </w:p>
        </w:tc>
      </w:tr>
      <w:tr>
        <w:tblPrEx>
          <w:tblW w:w="0" w:type="auto"/>
          <w:tblLayout w:type="fixed"/>
          <w:tblCellMar>
            <w:top w:w="54" w:type="dxa"/>
            <w:left w:w="140" w:type="dxa"/>
            <w:bottom w:w="54" w:type="dxa"/>
            <w:right w:w="140" w:type="dxa"/>
          </w:tblCellMar>
        </w:tblPrEx>
        <w:tc>
          <w:tcPr>
            <w:tcW w:w="1600" w:type="dxa"/>
          </w:tcPr>
          <w:p>
            <w:pPr>
              <w:pStyle w:val="ProcedureTable"/>
            </w:pPr>
            <w:r>
              <w:t>The Left</w:t>
            </w:r>
          </w:p>
        </w:tc>
        <w:tc>
          <w:tcPr>
            <w:tcW w:w="7600" w:type="dxa"/>
          </w:tcPr>
          <w:p>
            <w:pPr>
              <w:pStyle w:val="ProcedureTable"/>
            </w:pPr>
            <w:r>
              <w:t>Antoci Giuseppe, Arvanitis Konstantinos, Barrena Arza Pernando, Galán Estrella, Salis Ilaria</w:t>
            </w:r>
          </w:p>
        </w:tc>
      </w:tr>
      <w:tr>
        <w:tblPrEx>
          <w:tblW w:w="0" w:type="auto"/>
          <w:tblLayout w:type="fixed"/>
          <w:tblCellMar>
            <w:top w:w="54" w:type="dxa"/>
            <w:left w:w="140" w:type="dxa"/>
            <w:bottom w:w="54" w:type="dxa"/>
            <w:right w:w="140" w:type="dxa"/>
          </w:tblCellMar>
        </w:tblPrEx>
        <w:tc>
          <w:tcPr>
            <w:tcW w:w="1600" w:type="dxa"/>
          </w:tcPr>
          <w:p>
            <w:pPr>
              <w:pStyle w:val="ProcedureTable"/>
            </w:pPr>
            <w:r>
              <w:t>Verts/ALE</w:t>
            </w:r>
          </w:p>
        </w:tc>
        <w:tc>
          <w:tcPr>
            <w:tcW w:w="7600" w:type="dxa"/>
          </w:tcPr>
          <w:p>
            <w:pPr>
              <w:pStyle w:val="ProcedureTable"/>
            </w:pPr>
            <w:r>
              <w:t>Asens Llodrà Jaume, Bricmont Saskia, Camara Mélissa, Marquardt Erik, Orlando Leoluca, Strik Tineke</w:t>
            </w:r>
          </w:p>
        </w:tc>
      </w:tr>
    </w:tbl>
    <w:p/>
    <w:tbl>
      <w:tblPr>
        <w:tblW w:w="0" w:type="auto"/>
        <w:tblBorders>
          <w:top w:val="double" w:sz="8" w:space="0" w:color="000000"/>
          <w:left w:val="double" w:sz="8" w:space="0" w:color="000000"/>
          <w:bottom w:val="double" w:sz="8" w:space="0" w:color="000000"/>
          <w:right w:val="double" w:sz="8" w:space="0" w:color="000000"/>
          <w:insideH w:val="single" w:sz="4" w:space="0" w:color="auto"/>
          <w:insideV w:val="single" w:sz="4" w:space="0" w:color="auto"/>
        </w:tblBorders>
        <w:tblLayout w:type="fixed"/>
        <w:tblCellMar>
          <w:top w:w="54" w:type="dxa"/>
          <w:left w:w="140" w:type="dxa"/>
          <w:bottom w:w="54" w:type="dxa"/>
          <w:right w:w="140" w:type="dxa"/>
        </w:tblCellMar>
      </w:tblPr>
      <w:tblGrid>
        <w:gridCol w:w="1600"/>
        <w:gridCol w:w="7600"/>
      </w:tblGrid>
      <w:tr>
        <w:tblPrEx>
          <w:tblW w:w="0" w:type="auto"/>
          <w:tblBorders>
            <w:top w:val="double" w:sz="8" w:space="0" w:color="000000"/>
            <w:left w:val="double" w:sz="8" w:space="0" w:color="000000"/>
            <w:bottom w:val="double" w:sz="8" w:space="0" w:color="000000"/>
            <w:right w:val="double" w:sz="8" w:space="0" w:color="000000"/>
            <w:insideH w:val="single" w:sz="4" w:space="0" w:color="auto"/>
            <w:insideV w:val="single" w:sz="4" w:space="0" w:color="auto"/>
          </w:tblBorders>
          <w:tblLayout w:type="fixed"/>
          <w:tblCellMar>
            <w:top w:w="54" w:type="dxa"/>
            <w:left w:w="140" w:type="dxa"/>
            <w:bottom w:w="54" w:type="dxa"/>
            <w:right w:w="140" w:type="dxa"/>
          </w:tblCellMar>
        </w:tblPrEx>
        <w:tc>
          <w:tcPr>
            <w:tcW w:w="1600" w:type="dxa"/>
            <w:shd w:val="clear" w:color="auto" w:fill="C0C0C0"/>
          </w:tcPr>
          <w:p>
            <w:pPr>
              <w:pStyle w:val="NormalBold"/>
            </w:pPr>
            <w:r>
              <w:t>21</w:t>
            </w:r>
          </w:p>
        </w:tc>
        <w:tc>
          <w:tcPr>
            <w:tcW w:w="7600" w:type="dxa"/>
            <w:shd w:val="clear" w:color="auto" w:fill="C0C0C0"/>
          </w:tcPr>
          <w:p>
            <w:pPr>
              <w:pStyle w:val="Arial14CentreBold"/>
            </w:pPr>
            <w:r>
              <w:t>-</w:t>
            </w:r>
          </w:p>
        </w:tc>
      </w:tr>
      <w:tr>
        <w:tblPrEx>
          <w:tblW w:w="0" w:type="auto"/>
          <w:tblLayout w:type="fixed"/>
          <w:tblCellMar>
            <w:top w:w="54" w:type="dxa"/>
            <w:left w:w="140" w:type="dxa"/>
            <w:bottom w:w="54" w:type="dxa"/>
            <w:right w:w="140" w:type="dxa"/>
          </w:tblCellMar>
        </w:tblPrEx>
        <w:tc>
          <w:tcPr>
            <w:tcW w:w="1600" w:type="dxa"/>
          </w:tcPr>
          <w:p>
            <w:pPr>
              <w:pStyle w:val="ProcedureTable"/>
            </w:pPr>
            <w:r>
              <w:t>ECR</w:t>
            </w:r>
          </w:p>
        </w:tc>
        <w:tc>
          <w:tcPr>
            <w:tcW w:w="7600" w:type="dxa"/>
          </w:tcPr>
          <w:p>
            <w:pPr>
              <w:pStyle w:val="ProcedureTable"/>
            </w:pPr>
            <w:r>
              <w:t>Bay Nicolas, Ciriani Alessandro, Geadi Geadis, Inselvini Paolo, Kaminski Mariusz, Kanko Assita, Wasik Maciej, Weimers Charlie</w:t>
            </w:r>
          </w:p>
        </w:tc>
      </w:tr>
      <w:tr>
        <w:tblPrEx>
          <w:tblW w:w="0" w:type="auto"/>
          <w:tblLayout w:type="fixed"/>
          <w:tblCellMar>
            <w:top w:w="54" w:type="dxa"/>
            <w:left w:w="140" w:type="dxa"/>
            <w:bottom w:w="54" w:type="dxa"/>
            <w:right w:w="140" w:type="dxa"/>
          </w:tblCellMar>
        </w:tblPrEx>
        <w:tc>
          <w:tcPr>
            <w:tcW w:w="1600" w:type="dxa"/>
          </w:tcPr>
          <w:p>
            <w:pPr>
              <w:pStyle w:val="ProcedureTable"/>
            </w:pPr>
            <w:r>
              <w:t>ESN</w:t>
            </w:r>
          </w:p>
        </w:tc>
        <w:tc>
          <w:tcPr>
            <w:tcW w:w="7600" w:type="dxa"/>
          </w:tcPr>
          <w:p>
            <w:pPr>
              <w:pStyle w:val="ProcedureTable"/>
            </w:pPr>
            <w:r>
              <w:t>Arndt Anja, Khan Mary, Uhrík Milan</w:t>
            </w:r>
          </w:p>
        </w:tc>
      </w:tr>
      <w:tr>
        <w:tblPrEx>
          <w:tblW w:w="0" w:type="auto"/>
          <w:tblLayout w:type="fixed"/>
          <w:tblCellMar>
            <w:top w:w="54" w:type="dxa"/>
            <w:left w:w="140" w:type="dxa"/>
            <w:bottom w:w="54" w:type="dxa"/>
            <w:right w:w="140" w:type="dxa"/>
          </w:tblCellMar>
        </w:tblPrEx>
        <w:tc>
          <w:tcPr>
            <w:tcW w:w="1600" w:type="dxa"/>
          </w:tcPr>
          <w:p>
            <w:pPr>
              <w:pStyle w:val="ProcedureTable"/>
            </w:pPr>
            <w:r>
              <w:t>NI</w:t>
            </w:r>
          </w:p>
        </w:tc>
        <w:tc>
          <w:tcPr>
            <w:tcW w:w="7600" w:type="dxa"/>
          </w:tcPr>
          <w:p>
            <w:pPr>
              <w:pStyle w:val="ProcedureTable"/>
            </w:pPr>
            <w:r>
              <w:t>Lassáková Judita</w:t>
            </w:r>
          </w:p>
        </w:tc>
      </w:tr>
      <w:tr>
        <w:tblPrEx>
          <w:tblW w:w="0" w:type="auto"/>
          <w:tblLayout w:type="fixed"/>
          <w:tblCellMar>
            <w:top w:w="54" w:type="dxa"/>
            <w:left w:w="140" w:type="dxa"/>
            <w:bottom w:w="54" w:type="dxa"/>
            <w:right w:w="140" w:type="dxa"/>
          </w:tblCellMar>
        </w:tblPrEx>
        <w:tc>
          <w:tcPr>
            <w:tcW w:w="1600" w:type="dxa"/>
          </w:tcPr>
          <w:p>
            <w:pPr>
              <w:pStyle w:val="ProcedureTable"/>
            </w:pPr>
            <w:r>
              <w:t>PfE</w:t>
            </w:r>
          </w:p>
        </w:tc>
        <w:tc>
          <w:tcPr>
            <w:tcW w:w="7600" w:type="dxa"/>
          </w:tcPr>
          <w:p>
            <w:pPr>
              <w:pStyle w:val="ProcedureTable"/>
            </w:pPr>
            <w:r>
              <w:t>Buxadé Villalba Jorge, Bzoch Jaroslav, Ceccardi Susanna, Ehlers Marieke, Gál Kinga, László András, Leggeri Fabrice, Steger Petra, Vandendriessche Tom</w:t>
            </w:r>
          </w:p>
        </w:tc>
      </w:tr>
    </w:tbl>
    <w:p/>
    <w:tbl>
      <w:tblPr>
        <w:tblW w:w="0" w:type="auto"/>
        <w:tblBorders>
          <w:top w:val="double" w:sz="8" w:space="0" w:color="000000"/>
          <w:left w:val="double" w:sz="8" w:space="0" w:color="000000"/>
          <w:bottom w:val="double" w:sz="8" w:space="0" w:color="000000"/>
          <w:right w:val="double" w:sz="8" w:space="0" w:color="000000"/>
          <w:insideH w:val="single" w:sz="4" w:space="0" w:color="auto"/>
          <w:insideV w:val="single" w:sz="4" w:space="0" w:color="auto"/>
        </w:tblBorders>
        <w:tblLayout w:type="fixed"/>
        <w:tblCellMar>
          <w:top w:w="54" w:type="dxa"/>
          <w:left w:w="140" w:type="dxa"/>
          <w:bottom w:w="54" w:type="dxa"/>
          <w:right w:w="140" w:type="dxa"/>
        </w:tblCellMar>
      </w:tblPr>
      <w:tblGrid>
        <w:gridCol w:w="1600"/>
        <w:gridCol w:w="7600"/>
      </w:tblGrid>
      <w:tr>
        <w:tblPrEx>
          <w:tblW w:w="0" w:type="auto"/>
          <w:tblBorders>
            <w:top w:val="double" w:sz="8" w:space="0" w:color="000000"/>
            <w:left w:val="double" w:sz="8" w:space="0" w:color="000000"/>
            <w:bottom w:val="double" w:sz="8" w:space="0" w:color="000000"/>
            <w:right w:val="double" w:sz="8" w:space="0" w:color="000000"/>
            <w:insideH w:val="single" w:sz="4" w:space="0" w:color="auto"/>
            <w:insideV w:val="single" w:sz="4" w:space="0" w:color="auto"/>
          </w:tblBorders>
          <w:tblLayout w:type="fixed"/>
          <w:tblCellMar>
            <w:top w:w="54" w:type="dxa"/>
            <w:left w:w="140" w:type="dxa"/>
            <w:bottom w:w="54" w:type="dxa"/>
            <w:right w:w="140" w:type="dxa"/>
          </w:tblCellMar>
        </w:tblPrEx>
        <w:tc>
          <w:tcPr>
            <w:tcW w:w="1600" w:type="dxa"/>
            <w:shd w:val="clear" w:color="auto" w:fill="C0C0C0"/>
          </w:tcPr>
          <w:p>
            <w:pPr>
              <w:pStyle w:val="NormalBold"/>
            </w:pPr>
            <w:r>
              <w:t>1</w:t>
            </w:r>
          </w:p>
        </w:tc>
        <w:tc>
          <w:tcPr>
            <w:tcW w:w="7600" w:type="dxa"/>
            <w:shd w:val="clear" w:color="auto" w:fill="C0C0C0"/>
          </w:tcPr>
          <w:p>
            <w:pPr>
              <w:pStyle w:val="Arial14CentreBold"/>
            </w:pPr>
            <w:r>
              <w:t>0</w:t>
            </w:r>
          </w:p>
        </w:tc>
      </w:tr>
      <w:tr>
        <w:tblPrEx>
          <w:tblW w:w="0" w:type="auto"/>
          <w:tblLayout w:type="fixed"/>
          <w:tblCellMar>
            <w:top w:w="54" w:type="dxa"/>
            <w:left w:w="140" w:type="dxa"/>
            <w:bottom w:w="54" w:type="dxa"/>
            <w:right w:w="140" w:type="dxa"/>
          </w:tblCellMar>
        </w:tblPrEx>
        <w:tc>
          <w:tcPr>
            <w:tcW w:w="1600" w:type="dxa"/>
          </w:tcPr>
          <w:p>
            <w:pPr>
              <w:pStyle w:val="ProcedureTable"/>
            </w:pPr>
            <w:r>
              <w:t>PPE</w:t>
            </w:r>
          </w:p>
        </w:tc>
        <w:tc>
          <w:tcPr>
            <w:tcW w:w="7600" w:type="dxa"/>
          </w:tcPr>
          <w:p>
            <w:pPr>
              <w:pStyle w:val="ProcedureTable"/>
            </w:pPr>
            <w:r>
              <w:t>Lexmann Miriam</w:t>
            </w:r>
          </w:p>
        </w:tc>
      </w:tr>
    </w:tbl>
    <w:p/>
    <w:p>
      <w:r>
        <w:t>Tegnforklaring:</w:t>
      </w:r>
    </w:p>
    <w:p>
      <w:pPr>
        <w:pStyle w:val="NormalTab"/>
      </w:pPr>
      <w:r>
        <w:t>+</w:t>
      </w:r>
      <w:r>
        <w:t xml:space="preserve">  :  </w:t>
      </w:r>
      <w:r>
        <w:t>for</w:t>
      </w:r>
    </w:p>
    <w:p>
      <w:pPr>
        <w:pStyle w:val="NormalTab"/>
      </w:pPr>
      <w:r>
        <w:t>-</w:t>
      </w:r>
      <w:r>
        <w:t xml:space="preserve">  :  </w:t>
      </w:r>
      <w:r>
        <w:t>imod</w:t>
      </w:r>
    </w:p>
    <w:p>
      <w:pPr>
        <w:pStyle w:val="NormalTab"/>
      </w:pPr>
      <w:r>
        <w:t>0</w:t>
      </w:r>
      <w:r>
        <w:t xml:space="preserve">  :  </w:t>
      </w:r>
      <w:r>
        <w:t>hverken/eller</w:t>
      </w:r>
    </w:p>
    <w:sectPr>
      <w:type w:val="nextPage"/>
      <w:pgSz w:w="11909" w:h="16834"/>
      <w:pgMar w:top="1134" w:right="1417" w:bottom="1417" w:left="1417" w:header="1134" w:footer="567"/>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776.885</w:t>
    </w:r>
    <w:r>
      <w:rPr>
        <w:rStyle w:val="HideTWBExt"/>
      </w:rPr>
      <w:t>&lt;/NoPE&gt;</w:t>
    </w:r>
    <w:r>
      <w:rPr>
        <w:rStyle w:val="HideTWBExt"/>
      </w:rPr>
      <w:t>&lt;Version&gt;</w:t>
    </w:r>
    <w:r>
      <w:t>v02-00</w:t>
    </w:r>
    <w:r>
      <w:rPr>
        <w:rStyle w:val="HideTWBExt"/>
      </w:rPr>
      <w:t>&lt;/Version&gt;</w:t>
    </w:r>
    <w:r>
      <w:tab/>
    </w:r>
    <w:r>
      <w:fldChar w:fldCharType="begin"/>
    </w:r>
    <w:r>
      <w:instrText xml:space="preserve"> PAGE </w:instrText>
    </w:r>
    <w:r>
      <w:fldChar w:fldCharType="separate"/>
    </w:r>
    <w:r>
      <w:t>44</w:t>
    </w:r>
    <w:r>
      <w:fldChar w:fldCharType="end"/>
    </w:r>
    <w:r>
      <w:t>/</w:t>
    </w:r>
    <w:r>
      <w:fldChar w:fldCharType="begin"/>
    </w:r>
    <w:r>
      <w:instrText xml:space="preserve"> NUMPAGES </w:instrText>
    </w:r>
    <w:r>
      <w:fldChar w:fldCharType="separate"/>
    </w:r>
    <w:r>
      <w:t>44</w:t>
    </w:r>
    <w:r>
      <w:fldChar w:fldCharType="end"/>
    </w:r>
    <w:r>
      <w:tab/>
    </w:r>
    <w:r>
      <w:rPr>
        <w:rStyle w:val="HideTWBExt"/>
      </w:rPr>
      <w:t>&lt;PathFdR&gt;</w:t>
    </w:r>
    <w:r>
      <w:t>AD\1330371DA.docx</w:t>
    </w:r>
    <w:r>
      <w:rPr>
        <w:rStyle w:val="HideTWBExt"/>
      </w:rPr>
      <w:t>&lt;/PathFdR&gt;</w:t>
    </w:r>
  </w:p>
  <w:p>
    <w:pPr>
      <w:pStyle w:val="EPFooter2"/>
    </w:pPr>
    <w:r>
      <w:t>DA</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AD\1330371DA.docx</w:t>
    </w:r>
    <w:r>
      <w:rPr>
        <w:rStyle w:val="HideTWBExt"/>
      </w:rPr>
      <w:t>&lt;/PathFdR&gt;</w:t>
    </w:r>
    <w:r>
      <w:tab/>
    </w:r>
    <w:r>
      <w:fldChar w:fldCharType="begin"/>
    </w:r>
    <w:r>
      <w:instrText xml:space="preserve"> PAGE </w:instrText>
    </w:r>
    <w:r>
      <w:fldChar w:fldCharType="separate"/>
    </w:r>
    <w:r>
      <w:t>43</w:t>
    </w:r>
    <w:r>
      <w:fldChar w:fldCharType="end"/>
    </w:r>
    <w:r>
      <w:t>/</w:t>
    </w:r>
    <w:r>
      <w:fldChar w:fldCharType="begin"/>
    </w:r>
    <w:r>
      <w:instrText xml:space="preserve"> NUMPAGES </w:instrText>
    </w:r>
    <w:r>
      <w:fldChar w:fldCharType="separate"/>
    </w:r>
    <w:r>
      <w:t>44</w:t>
    </w:r>
    <w:r>
      <w:fldChar w:fldCharType="end"/>
    </w:r>
    <w:r>
      <w:tab/>
    </w:r>
    <w:r>
      <w:t>PE</w:t>
    </w:r>
    <w:r>
      <w:rPr>
        <w:rStyle w:val="HideTWBExt"/>
      </w:rPr>
      <w:t>&lt;NoPE&gt;</w:t>
    </w:r>
    <w:r>
      <w:t>776.885</w:t>
    </w:r>
    <w:r>
      <w:rPr>
        <w:rStyle w:val="HideTWBExt"/>
      </w:rPr>
      <w:t>&lt;/NoPE&gt;</w:t>
    </w:r>
    <w:r>
      <w:rPr>
        <w:rStyle w:val="HideTWBExt"/>
      </w:rPr>
      <w:t>&lt;Version&gt;</w:t>
    </w:r>
    <w:r>
      <w:t>v02-00</w:t>
    </w:r>
    <w:r>
      <w:rPr>
        <w:rStyle w:val="HideTWBExt"/>
      </w:rPr>
      <w:t>&lt;/Version&gt;</w:t>
    </w:r>
  </w:p>
  <w:p>
    <w:pPr>
      <w:pStyle w:val="EPFooter2"/>
    </w:pPr>
    <w:r>
      <w:tab/>
    </w:r>
    <w:r>
      <w:tab/>
    </w:r>
    <w:r>
      <w:t>DA</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AD\1330371DA.docx</w:t>
    </w:r>
    <w:r>
      <w:rPr>
        <w:rStyle w:val="HideTWBExt"/>
      </w:rPr>
      <w:t>&lt;/PathFdR&gt;</w:t>
    </w:r>
    <w:r>
      <w:tab/>
    </w:r>
    <w:r>
      <w:tab/>
    </w:r>
    <w:r>
      <w:t>PE</w:t>
    </w:r>
    <w:r>
      <w:rPr>
        <w:rStyle w:val="HideTWBExt"/>
      </w:rPr>
      <w:t>&lt;NoPE&gt;</w:t>
    </w:r>
    <w:r>
      <w:t>776.885</w:t>
    </w:r>
    <w:r>
      <w:rPr>
        <w:rStyle w:val="HideTWBExt"/>
      </w:rPr>
      <w:t>&lt;/NoPE&gt;</w:t>
    </w:r>
    <w:r>
      <w:rPr>
        <w:rStyle w:val="HideTWBExt"/>
      </w:rPr>
      <w:t>&lt;Version&gt;</w:t>
    </w:r>
    <w:r>
      <w:t>v02-00</w:t>
    </w:r>
    <w:r>
      <w:rPr>
        <w:rStyle w:val="HideTWBExt"/>
      </w:rPr>
      <w:t>&lt;/Version&gt;</w:t>
    </w:r>
  </w:p>
  <w:p>
    <w:pPr>
      <w:pStyle w:val="EPFooter2"/>
    </w:pPr>
    <w:r>
      <w:t>DA</w:t>
    </w:r>
    <w:r>
      <w:tab/>
    </w:r>
    <w:r>
      <w:rPr>
        <w:rStyle w:val="EPFooter2Motto"/>
      </w:rPr>
      <w:t>Forenet i mangfoldighed</w:t>
    </w:r>
    <w:r>
      <w:tab/>
    </w:r>
    <w:r>
      <w:t>DA</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pPr>
        <w:spacing w:after="0" w:line="240" w:lineRule="auto"/>
      </w:pPr>
      <w:r>
        <w:separator/>
      </w:r>
    </w:p>
  </w:footnote>
  <w:footnote w:type="continuationSeparator" w:id="1">
    <w:p>
      <w:pPr>
        <w:spacing w:after="0" w:line="240" w:lineRule="auto"/>
      </w:pPr>
      <w:r>
        <w:continuationSeparator/>
      </w:r>
    </w:p>
  </w:footnote>
  <w:footnote w:id="2">
    <w:p>
      <w:pPr>
        <w:pStyle w:val="FootnoteText"/>
      </w:pPr>
      <w:r>
        <w:rPr>
          <w:vertAlign w:val="superscript"/>
        </w:rPr>
        <w:t>1</w:t>
      </w:r>
      <w:r>
        <w:t xml:space="preserve"> </w:t>
      </w:r>
      <w:r>
        <w:t>Interinstitutionel aftale af 20. maj 2021 mellem Europa-Parlamentet, Rådet for Den Europæiske Union og Europa-Kommissionen om et obligatorisk åbenhedsregister (EUT L 207 af 11.6.2021, s. 1, ELI: http://data.europa.eu/eli/agree_interinstit/2021/611/oj).</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footnotePr>
    <w:numRestart w:val="eachSect"/>
    <w:footnote w:id="0"/>
    <w:footnote w:id="1"/>
  </w:foot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restartBrut" w:val="{\rtf1\adeflang1025\ansi\ansicpg1257\uc1\adeff0\deff0\stshfdbch0\stshfloch0\stshfhich0\stshfbi0\deflang1063\deflangfe1041\themelang2057\themelangfe1041\themelangcs1108{\fonttbl{\f0\fbidi \froman\fcharset0\fprq2{\*\panose 02020603050405020304}Times New Roman;}{\f1\fbidi \fswiss\fcharset0\fprq2{\*\panose 020b0604020202020204}Arial;}&#13;_x000a_{\f34\fbidi \froman\fcharset0\fprq2{\*\panose 02040503050406030204}Cambria Math;}{\f38\fbidi \fswiss\fcharset128\fprq2{\*\panose 020b0300000000000000}Yu Gothic Light{\*\falt \'9f\'e0\'83\'53\'83\'56\'83\'62\'83\'4e Light};}&#13;_x000a_{\f163\fbidi \fswiss\fcharset128\fprq2 @Yu Gothic Light;}{\flomajor\f31500\fbidi \froman\fcharset0\fprq2{\*\panose 02020603050405020304}Times New Roman;}&#13;_x000a_{\fdbmajor\f31501\fbidi \fswiss\fcharset128\fprq2{\*\panose 020b0300000000000000}Yu Gothic Light{\*\falt \'9f\'e0\'83\'53\'83\'56\'83\'62\'83\'4e Light};}{\fhimajor\f31502\fbidi \fswiss\fcharset0\fprq2{\*\panose 020f0302020204030204}Calibri Light;}&#13;_x000a_{\fbimajor\f31503\fbidi \fswiss\fcharset0\fprq2 DokChampa;}{\flominor\f31504\fbidi \froman\fcharset0\fprq2{\*\panose 02020603050405020304}Times New Roman;}&#13;_x000a_{\fdbminor\f31505\fbidi \froman\fcharset128\fprq0{\*\panose 00000000000000000000}Yu Mincho{\*\falt \'9f\'e0\'96\'be\'92\'a9};}{\fhiminor\f31506\fbidi \fswiss\fcharset0\fprq2{\*\panose 020f0502020204030204}Calibri;}&#13;_x000a_{\fbiminor\f31507\fbidi \fswiss\fcharset0\fprq2 DokChampa;}{\f335\fbidi \froman\fcharset238\fprq2 Times New Roman CE;}{\f336\fbidi \froman\fcharset204\fprq2 Times New Roman Cyr;}{\f338\fbidi \froman\fcharset161\fprq2 Times New Roman Greek;}&#13;_x000a_{\f339\fbidi \froman\fcharset162\fprq2 Times New Roman Tur;}{\f340\fbidi \froman\fcharset177\fprq2 Times New Roman (Hebrew);}{\f341\fbidi \froman\fcharset178\fprq2 Times New Roman (Arabic);}{\f342\fbidi \froman\fcharset186\fprq2 Times New Roman Baltic;}&#13;_x000a_{\f343\fbidi \froman\fcharset163\fprq2 Times New Roman (Vietnamese);}{\f345\fbidi \fswiss\fcharset238\fprq2 Arial CE;}{\f346\fbidi \fswiss\fcharset204\fprq2 Arial Cyr;}{\f348\fbidi \fswiss\fcharset161\fprq2 Arial Greek;}&#13;_x000a_{\f349\fbidi \fswiss\fcharset162\fprq2 Arial Tur;}{\f350\fbidi \fswiss\fcharset177\fprq2 Arial (Hebrew);}{\f351\fbidi \fswiss\fcharset178\fprq2 Arial (Arabic);}{\f352\fbidi \fswiss\fcharset186\fprq2 Arial Baltic;}&#13;_x000a_{\f353\fbidi \fswiss\fcharset163\fprq2 Arial (Vietnamese);}{\f675\fbidi \froman\fcharset238\fprq2 Cambria Math CE;}{\f676\fbidi \froman\fcharset204\fprq2 Cambria Math Cyr;}{\f678\fbidi \froman\fcharset161\fprq2 Cambria Math Greek;}&#13;_x000a_{\f679\fbidi \froman\fcharset162\fprq2 Cambria Math Tur;}{\f682\fbidi \froman\fcharset186\fprq2 Cambria Math Baltic;}{\f683\fbidi \froman\fcharset163\fprq2 Cambria Math (Vietnamese);}&#13;_x000a_{\f717\fbidi \fswiss\fcharset0\fprq2 Yu Gothic Light Western{\*\falt \'9f\'e0\'83\'53\'83\'56\'83\'62\'83\'4e Light};}{\f715\fbidi \fswiss\fcharset238\fprq2 Yu Gothic Light CE{\*\falt \'9f\'e0\'83\'53\'83\'56\'83\'62\'83\'4e Light};}&#13;_x000a_{\f716\fbidi \fswiss\fcharset204\fprq2 Yu Gothic Light Cyr{\*\falt \'9f\'e0\'83\'53\'83\'56\'83\'62\'83\'4e Light};}{\f718\fbidi \fswiss\fcharset161\fprq2 Yu Gothic Light Greek{\*\falt \'9f\'e0\'83\'53\'83\'56\'83\'62\'83\'4e Light};}&#13;_x000a_{\f719\fbidi \fswiss\fcharset162\fprq2 Yu Gothic Light Tur{\*\falt \'9f\'e0\'83\'53\'83\'56\'83\'62\'83\'4e Light};}{\f722\fbidi \fswiss\fcharset186\fprq2 Yu Gothic Light Baltic{\*\falt \'9f\'e0\'83\'53\'83\'56\'83\'62\'83\'4e Light};}&#13;_x000a_{\f1967\fbidi \fswiss\fcharset0\fprq2 @Yu Gothic Light Western;}{\f1965\fbidi \fswiss\fcharset238\fprq2 @Yu Gothic Light CE;}{\f1966\fbidi \fswiss\fcharset204\fprq2 @Yu Gothic Light Cyr;}{\f1968\fbidi \fswiss\fcharset161\fprq2 @Yu Gothic Light Greek;}&#13;_x000a_{\f1969\fbidi \fswiss\fcharset162\fprq2 @Yu Gothic Light Tur;}{\f1972\fbidi \fswiss\fcharset186\fprq2 @Yu Gothic Light Baltic;}{\flomajor\f31508\fbidi \froman\fcharset238\fprq2 Times New Roman CE;}&#13;_x000a_{\flomajor\f31509\fbidi \froman\fcharset204\fprq2 Times New Roman Cyr;}{\flomajor\f31511\fbidi \froman\fcharset161\fprq2 Times New Roman Greek;}{\flomajor\f31512\fbidi \froman\fcharset162\fprq2 Times New Roman Tur;}&#13;_x000a_{\flomajor\f31513\fbidi \froman\fcharset177\fprq2 Times New Roman (Hebrew);}{\flomajor\f31514\fbidi \froman\fcharset178\fprq2 Times New Roman (Arabic);}{\flomajor\f31515\fbidi \froman\fcharset186\fprq2 Times New Roman Baltic;}&#13;_x000a_{\flomajor\f31516\fbidi \froman\fcharset163\fprq2 Times New Roman (Vietnamese);}{\fdbmajor\f31520\fbidi \fswiss\fcharset0\fprq2 Yu Gothic Light Western{\*\falt \'9f\'e0\'83\'53\'83\'56\'83\'62\'83\'4e Light};}&#13;_x000a_{\fdbmajor\f31518\fbidi \fswiss\fcharset238\fprq2 Yu Gothic Light CE{\*\falt \'9f\'e0\'83\'53\'83\'56\'83\'62\'83\'4e Light};}{\fdbmajor\f31519\fbidi \fswiss\fcharset204\fprq2 Yu Gothic Light Cyr{\*\falt \'9f\'e0\'83\'53\'83\'56\'83\'62\'83\'4e Light};}&#13;_x000a_{\fdbmajor\f31521\fbidi \fswiss\fcharset161\fprq2 Yu Gothic Light Greek{\*\falt \'9f\'e0\'83\'53\'83\'56\'83\'62\'83\'4e Light};}&#13;_x000a_{\fdbmajor\f31522\fbidi \fswiss\fcharset162\fprq2 Yu Gothic Light Tur{\*\falt \'9f\'e0\'83\'53\'83\'56\'83\'62\'83\'4e Light};}&#13;_x000a_{\fdbmajor\f31525\fbidi \fswiss\fcharset186\fprq2 Yu Gothic Light Baltic{\*\falt \'9f\'e0\'83\'53\'83\'56\'83\'62\'83\'4e Light};}{\fhimajor\f31528\fbidi \fswiss\fcharset238\fprq2 Calibri Light CE;}&#13;_x000a_{\fhimajor\f31529\fbidi \fswiss\fcharset204\fprq2 Calibri Light Cyr;}{\fhimajor\f31531\fbidi \fswiss\fcharset161\fprq2 Calibri Light Greek;}{\fhimajor\f31532\fbidi \fswiss\fcharset162\fprq2 Calibri Light Tur;}&#13;_x000a_{\fhimajor\f31533\fbidi \fswiss\fcharset177\fprq2 Calibri Light (Hebrew);}{\fhimajor\f31534\fbidi \fswiss\fcharset178\fprq2 Calibri Light (Arabic);}{\fhimajor\f31535\fbidi \fswiss\fcharset186\fprq2 Calibri Light Baltic;}&#13;_x000a_{\fhimajor\f31536\fbidi \fswiss\fcharset163\fprq2 Calibri Light (Vietnamese);}{\fbimajor\f31547\fbidi \fswiss\fcharset222\fprq2 DokChampa (Thai);}{\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himinor\f31568\fbidi \fswiss\fcharset238\fprq2 Calibri CE;}{\fhiminor\f31569\fbidi \fswiss\fcharset204\fprq2 Calibri Cyr;}&#13;_x000a_{\fhiminor\f31571\fbidi \fswiss\fcharset161\fprq2 Calibri Greek;}{\fhiminor\f31572\fbidi \fswiss\fcharset162\fprq2 Calibri Tur;}{\fhiminor\f31573\fbidi \fswiss\fcharset177\fprq2 Calibri (Hebrew);}&#13;_x000a_{\fhiminor\f31574\fbidi \fswiss\fcharset178\fprq2 Calibri (Arabic);}{\fhiminor\f31575\fbidi \fswiss\fcharset186\fprq2 Calibri Baltic;}{\fhiminor\f31576\fbidi \fswiss\fcharset163\fprq2 Calibri (Vietnamese);}&#13;_x000a_{\fbiminor\f31587\fbidi \fswiss\fcharset222\fprq2 DokChampa (Thai);}}{\colortbl;\red0\green0\blue0;\red0\green0\blue255;\red0\green255\blue255;\red0\green255\blue0;\red255\green0\blue255;\red255\green0\blue0;\red255\green255\blue0;&#13;_x000a_\red255\green255\blue255;\red0\green0\blue128;\red0\green128\blue128;\red0\green128\blue0;\red128\green0\blue128;\red128\green0\blue0;\red128\green128\blue0;\red128\green128\blue128;\red192\green192\blue192;&#13;_x000a_\caccentone\ctint255\cshade191\red46\green116\blue181;}{\*\defchp \lang2057\langfe2057\langnp2057\langfenp2057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styrsid7823322 Normal;}{&#13;_x000a_\s1\ql \li0\ri0\sb240\keep\keepn\widctlpar\wrapdefault\aspalpha\aspnum\faauto\outlinelevel0\adjustright\rin0\lin0\itap0 \rtlch\fcs1 \af31503\afs32\alang1025 \ltrch\fcs0 &#13;_x000a_\fs32\cf17\lang2057\langfe2057\loch\f31502\hich\af31502\dbch\af31501\cgrid\langnp2057\langfenp2057 \sbasedon0 \snext0 \slink15 \ssemihidden \sqformat \spriority0 \styrsid223860 heading 1;}{\*\cs10 \additive \ssemihidden \sunhideused \spriority1 &#13;_x000a_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unhideused Normal Table;}{\*\cs15 \additive &#13;_x000a_\rtlch\fcs1 \af31503\afs32 \ltrch\fcs0 \fs32\cf17\loch\f31502\hich\af31502\dbch\af31501 \sbasedon10 \slink1 \slocked \ssemihidden \spriority0 \styrsid11549030 Heading 1 Char;}{&#13;_x000a_\s16\ql \li0\ri0\sa240\widctlpar\wrapdefault\aspalpha\aspnum\faauto\adjustright\rin0\lin0\itap0 \rtlch\fcs1 \af0\afs20\alang1025 \ltrch\fcs0 \fs24\lang2057\langfe2057\cgrid\langnp2057\langfenp2057 &#13;_x000a_\sbasedon0 \snext0 \ssemihidden \sunhideused \sqformat \spriority39 \styrsid223860 TOC Heading;}{\*\cs17 \additive \v\f1\fs20\cf9\lang1024\langfe1024\noproof \spriority0 \styrsid2242834 HideTWBExt;}{&#13;_x000a_\s18\ql \li0\ri0\nowidctlpar\wrapdefault\aspalpha\aspnum\faauto\adjustright\rin0\lin0\itap0 \rtlch\fcs1 \af0\afs20\alang1025 \ltrch\fcs0 \b\fs24\lang2057\langfe2057\cgrid\langnp2057\langfenp2057 \sbasedon0 \snext18 \spriority0 \styrsid2242834 NormalBold;}&#13;_x000a_{\s19\qr \li0\ri0\sb240\sa240\nowidctlpar\wrapdefault\aspalpha\aspnum\faauto\adjustright\rin0\lin0\itap0 \rtlch\fcs1 \af0\afs20\alang1025 \ltrch\fcs0 \fs24\lang2057\langfe2057\cgrid\langnp2057\langfenp2057 \sbasedon0 \snext19 \spriority0 \styrsid2242834 &#13;_x000a_AmOrLang;}{\s20\ql \li0\ri0\sa120\nowidctlpar\wrapdefault\aspalpha\aspnum\faauto\adjustright\rin0\lin0\itap0 \rtlch\fcs1 \af0\afs20\alang1025 \ltrch\fcs0 \fs24\lang2057\langfe2057\cgrid\langnp2057\langfenp2057 &#13;_x000a_\sbasedon0 \snext20 \spriority0 \styrsid2242834 Normal6a;}{\s21\qc \li0\ri0\sa240\nowidctlpar\wrapdefault\aspalpha\aspnum\faauto\adjustright\rin0\lin0\itap0 \rtlch\fcs1 \af0\afs20\alang1025 \ltrch\fcs0 &#13;_x000a_\i\fs24\lang2057\langfe2057\cgrid\langnp2057\langfenp2057 \sbasedon0 \snext21 \spriority0 \styrsid2242834 AmColumnHeading;}{\s22\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2 \spriority0 \styrsid2242834 AmNumberTabs;}{\s23\ql \li0\ri0\sb240\nowidctlpar\wrapdefault\aspalpha\aspnum\faauto\adjustright\rin0\lin0\itap0 \rtlch\fcs1 &#13;_x000a_\af0\afs20\alang1025 \ltrch\fcs0 \b\fs24\lang2057\langfe2057\cgrid\langnp2057\langfenp2057 \sbasedon0 \snext23 \spriority0 \styrsid2242834 NormalBold12b;}}{\*\rsidtbl \rsid24658\rsid223860\rsid735077\rsid1718133\rsid2242834\rsid2892074\rsid3565327&#13;_x000a_\rsid4666813\rsid6641733\rsid7823322\rsid9582763\rsid9636012\rsid10377208\rsid11215221\rsid11549030\rsid12154954\rsid14382809\rsid14424199\rsid15204470\rsid15285974\rsid15950462\rsid16324206\rsid16662270}{\mmathPr\mmathFont34\mbrkBin0\mbrkBinSub0&#13;_x000a_\msmallFrac0\mdispDef1\mlMargin0\mrMargin0\mdefJc1\mwrapIndent1440\mintLim0\mnaryLim1}{\info{\author nmonkuniene}{\operator MONKUNIENE Neringa}{\creatim\yr2024\mo5\dy23\hr11\min2}{\revtim\yr2024\mo5\dy23\hr11\min2}{\version1}{\edmins0}{\nofpages1}&#13;_x000a_{\nofwords120}{\nofchars69}{\nofcharsws188}{\vern109}}{\*\xmlnstbl {\xmlns1 http://schemas.microsoft.com/office/word/2003/wordml}}\paperw11906\paperh16838\margl1418\margr1418\margt1134\margb1418\gutter0\ltrsect &#13;_x000a_\facingp\widowctrl\ftnbj\aenddoc\ftnrestart\hyphhotz396\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4\viewscale100\pgbrdrhead\pgbrdrfoot\splytwnine\ftnlytwnine\htmautsp\nolnhtadjtbl\useltbaln\alntblind\lytcalctblwd\lyttblrtgr\lnbrkrule\nobrkwrptbl\snaptogridincell\allowfieldendsel\wrppunct&#13;_x000a_\asianbrkrule\nojkernpunct\rsidroot2242834\newtblstyruls\nogrowautofit\usenormstyforlist\noindnmbrts\felnbrelev\nocxsptable\indrlsweleven\noafcnsttbl\afelev\utinl\hwelev\spltpgpar\notcvasp\notbrkcnstfrctbl\notvatxbx\krnprsnet\cachedcolbal &#13;_x000a_\nouicompat \fet0{\*\wgrffmtfilter 013f}\nofeaturethrottle1\ilfomacatclnup0{\*\template C:\\Users\\NMONKU~1\\AppData\\Local\\Temp\\Blank1.dotx}{\*\ftnsep \ltrpar \pard\plain \ltrpar&#13;_x000a_\ql \li0\ri0\widctlpar\wrapdefault\aspalpha\aspnum\faauto\adjustright\rin0\lin0\itap0 \rtlch\fcs1 \af0\afs20\alang1025 \ltrch\fcs0 \fs24\lang2057\langfe2057\cgrid\langnp2057\langfenp2057 {\rtlch\fcs1 \af0 \ltrch\fcs0 \insrsid9582763 \chftnsep &#13;_x000a_\par }}{\*\ftnsepc \ltrpar \pard\plain \ltrpar\ql \li0\ri0\widctlpar\wrapdefault\aspalpha\aspnum\faauto\adjustright\rin0\lin0\itap0 \rtlch\fcs1 \af0\afs20\alang1025 \ltrch\fcs0 \fs24\lang2057\langfe2057\cgrid\langnp2057\langfenp2057 {\rtlch\fcs1 \af0 &#13;_x000a_\ltrch\fcs0 \insrsid9582763 \chftnsepc &#13;_x000a_\par }}{\*\aftnsep \ltrpar \pard\plain \ltrpar\ql \li0\ri0\widctlpar\wrapdefault\aspalpha\aspnum\faauto\adjustright\rin0\lin0\itap0 \rtlch\fcs1 \af0\afs20\alang1025 \ltrch\fcs0 \fs24\lang2057\langfe2057\cgrid\langnp2057\langfenp2057 {\rtlch\fcs1 \af0 &#13;_x000a_\ltrch\fcs0 \insrsid9582763 \chftnsep &#13;_x000a_\par }}{\*\aftnsepc \ltrpar \pard\plain \ltrpar\ql \li0\ri0\widctlpar\wrapdefault\aspalpha\aspnum\faauto\adjustright\rin0\lin0\itap0 \rtlch\fcs1 \af0\afs20\alang1025 \ltrch\fcs0 \fs24\lang2057\langfe2057\cgrid\langnp2057\langfenp2057 {\rtlch\fcs1 \af0 &#13;_x000a_\ltrch\fcs0 \insrsid9582763 \chftnsepc &#13;_x000a_\par }}\ltrpar \sectd \ltrsect\psz9\linex0\headery1134\footery567\endnhere\titlepg\sectlinegrid326\sectdefaultcl\sectrsid10377208\sftnbj\sftnrestart {\headerl \ltrpar \pard\plain \ltrpar&#13;_x000a_\ql \li0\ri0\widctlpar\wrapdefault\aspalpha\aspnum\faauto\adjustright\rin0\lin0\itap0 \rtlch\fcs1 \af0\afs20\alang1025 \ltrch\fcs0 \fs24\lang2057\langfe2057\cgrid\langnp2057\langfenp2057 {\rtlch\fcs1 \af0 \ltrch\fcs0 \insrsid1718133 &#13;_x000a_\par }}{\headerr \ltrpar \pard\plain \ltrpar\ql \li0\ri0\widctlpar\wrapdefault\aspalpha\aspnum\faauto\adjustright\rin0\lin0\itap0 \rtlch\fcs1 \af0\afs20\alang1025 \ltrch\fcs0 \fs24\lang2057\langfe2057\cgrid\langnp2057\langfenp2057 {\rtlch\fcs1 \af0 &#13;_x000a_\ltrch\fcs0 \insrsid1718133 &#13;_x000a_\par }}{\footerl \ltrpar \pard\plain \ltrpar\ql \li0\ri0\widctlpar\wrapdefault\aspalpha\aspnum\faauto\adjustright\rin0\lin0\itap0 \rtlch\fcs1 \af0\afs20\alang1025 \ltrch\fcs0 \fs24\lang2057\langfe2057\cgrid\langnp2057\langfenp2057 {\rtlch\fcs1 \af0 &#13;_x000a_\ltrch\fcs0 \insrsid1718133 &#13;_x000a_\par }}{\footerr \ltrpar \pard\plain \ltrpar\ql \li0\ri0\widctlpar\wrapdefault\aspalpha\aspnum\faauto\adjustright\rin0\lin0\itap0 \rtlch\fcs1 \af0\afs20\alang1025 \ltrch\fcs0 \fs24\lang2057\langfe2057\cgrid\langnp2057\langfenp2057 {\rtlch\fcs1 \af0 &#13;_x000a_\ltrch\fcs0 \insrsid1718133 &#13;_x000a_\par }}{\headerf \ltrpar \pard\plain \ltrpar\ql \li0\ri0\widctlpar\wrapdefault\aspalpha\aspnum\faauto\adjustright\rin0\lin0\itap0 \rtlch\fcs1 \af0\afs20\alang1025 \ltrch\fcs0 \fs24\lang2057\langfe2057\cgrid\langnp2057\langfenp2057 {\rtlch\fcs1 \af0 &#13;_x000a_\ltrch\fcs0 \insrsid1718133 &#13;_x000a_\par }}{\footerf \ltrpar \pard\plain \ltrpar\ql \li0\ri0\widctlpar\wrapdefault\aspalpha\aspnum\faauto\adjustright\rin0\lin0\itap0 \rtlch\fcs1 \af0\afs20\alang1025 \ltrch\fcs0 \fs24\lang2057\langfe2057\cgrid\langnp2057\langfenp2057 {\rtlch\fcs1 \af0 &#13;_x000a_\ltrch\fcs0 \insrsid1718133 &#13;_x000a_\par }}{\*\pnseclvl1\pnucrm\pnqc\pnstart1\pnindent720\pnhang {\pntxta .}}{\*\pnseclvl2\pnucltr\pnqc\pnstart1\pnindent720\pnhang {\pntxta .}}{\*\pnseclvl3\pndec\pnqc\pnstart1\pnindent720\pnhang {\pntxta .}}{\*\pnseclvl4\pnlcltr\pnqc\pnstart1\pnindent720\pnhang &#13;_x000a_{\pntxta )}}{\*\pnseclvl5\pndec\pnqc\pnstart1\pnindent720\pnhang {\pntxtb (}{\pntxta )}}{\*\pnseclvl6\pnlcltr\pnqc\pnstart1\pnindent720\pnhang {\pntxtb (}{\pntxta )}}{\*\pnseclvl7\pnlcrm\pnqc\pnstart1\pnindent720\pnhang {\pntxtb (}{\pntxta )}}&#13;_x000a_{\*\pnseclvl8\pnlcltr\pnqc\pnstart1\pnindent720\pnhang {\pntxtb (}{\pntxta )}}{\*\pnseclvl9\pnlcrm\pnqc\pnstart1\pnindent720\pnhang {\pntxtb (}{\pntxta )}}\pard\plain \ltrpar\s22\ql \li0\ri0\sb240\keepn\nowidctlpar&#13;_x000a_\tx879\tx936\tx1021\tx1077\tx1134\tx1191\tx1247\tx1304\tx1361\tx1418\tx1474\tx1531\tx1588\tx1644\tx1701\tx1758\tx1814\tx1871\tx2070\tx2126\tx3374\tx3430\wrapdefault\aspalpha\aspnum\faauto\adjustright\rin0\lin0\itap0\pararsid2242834 \rtlch\fcs1 &#13;_x000a_\af0\afs20\alang1025 \ltrch\fcs0 \b\fs24\lang2057\langfe2057\cgrid\langnp2057\langfenp2057 {\rtlch\fcs1 \af0 \ltrch\fcs0 \cs17\b0\v\fs20\cf9\lang1024\langfe1024\loch\af1\hich\af1\dbch\af31501\noproof\langnp1036\insrsid2242834\charrsid4291528 &#13;_x000a_{\*\bkmkstart restart}\hich\af1\dbch\af31501\loch\f1 &lt;Amend&gt;}{\rtlch\fcs1 \af0 \ltrch\fcs0 \lang1036\langfe2057\langnp1036\insrsid2242834\charrsid4291528 [ZAMENDMENT]\tab \tab }{\rtlch\fcs1 \af0 \ltrch\fcs0 &#13;_x000a_\cs17\b0\v\fs20\cf9\lang1024\langfe1024\loch\af1\hich\af1\dbch\af31501\noproof\langnp1036\insrsid2242834\charrsid4291528 \hich\af1\dbch\af31501\loch\f1 &lt;NumAm&gt;}{\rtlch\fcs1 \af0 \ltrch\fcs0 \lang1036\langfe2057\langnp1036\insrsid2242834\charrsid4291528 &#13;_x000a_[ZNRAM]}{\rtlch\fcs1 \af0 \ltrch\fcs0 \cs17\b0\v\fs20\cf9\lang1024\langfe1024\loch\af1\hich\af1\dbch\af31501\noproof\langnp1036\insrsid2242834\charrsid4291528 \hich\af1\dbch\af31501\loch\f1 &lt;/NumAm&gt;}{\rtlch\fcs1 \af0 \ltrch\fcs0 &#13;_x000a_\lang1036\langfe2057\langnp1036\insrsid2242834\charrsid4291528 &#13;_x000a_\par }\pard\plain \ltrpar\s23\ql \li0\ri0\sb240\keepn\nowidctlpar\wrapdefault\aspalpha\aspnum\faauto\adjustright\rin0\lin0\itap0\pararsid2242834 \rtlch\fcs1 \af0\afs20\alang1025 \ltrch\fcs0 \b\fs24\lang2057\langfe2057\cgrid\langnp2057\langfenp2057 {&#13;_x000a_\rtlch\fcs1 \af0 \ltrch\fcs0 \cs17\b0\v\fs20\cf9\lang1024\langfe1024\loch\af1\hich\af1\dbch\af31501\noproof\langnp1036\insrsid2242834\charrsid4291528 \hich\af1\dbch\af31501\loch\f1 &lt;DocAmend&gt;}{\rtlch\fcs1 \af0 \ltrch\fcs0 &#13;_x000a_\lang1036\langfe2057\langnp1036\insrsid2242834\charrsid4291528 [}{\rtlch\fcs1 \af0 \ltrch\fcs0 \lang1036\langfe2057\langnp1036\insrsid2242834\charrsid3548259 ZPROPOSAL}{\rtlch\fcs1 \af0 \ltrch\fcs0 &#13;_x000a_\lang1036\langfe2057\langnp1036\insrsid2242834\charrsid4291528 ]}{\rtlch\fcs1 \af0 \ltrch\fcs0 \cs17\b0\v\fs20\cf9\lang1024\langfe1024\loch\af1\hich\af1\dbch\af31501\noproof\langnp1036\insrsid2242834\charrsid4291528 \hich\af1\dbch\af31501\loch\f1 &#13;_x000a_&lt;/DocAmend&gt;}{\rtlch\fcs1 \af0 \ltrch\fcs0 \lang1036\langfe2057\langnp1036\insrsid2242834\charrsid4291528 &#13;_x000a_\par }\pard\plain \ltrpar\s18\ql \li0\ri0\nowidctlpar\wrapdefault\aspalpha\aspnum\faauto\adjustright\rin0\lin0\itap0\pararsid2242834 \rtlch\fcs1 \af0\afs20\alang1025 \ltrch\fcs0 \b\fs24\lang2057\langfe2057\cgrid\langnp2057\langfenp2057 {\rtlch\fcs1 \af0 &#13;_x000a_\ltrch\fcs0 \cs17\b0\v\fs20\cf9\lang1024\langfe1024\loch\af1\hich\af1\dbch\af31501\noproof\langnp1036\insrsid2242834\charrsid4291528 \hich\af1\dbch\af31501\loch\f1 &lt;Article&gt;}{\rtlch\fcs1 \af0 \ltrch\fcs0 &#13;_x000a_\lang1036\langfe2057\langnp1036\insrsid2242834\charrsid4291528 [ZAMPART]}{\rtlch\fcs1 \af0 \ltrch\fcs0 \cs17\b0\v\fs20\cf9\lang1024\langfe1024\loch\af1\hich\af1\dbch\af31501\noproof\langnp1036\insrsid2242834\charrsid4291528 \hich\af1\dbch\af31501\loch\f1 &#13;_x000a_&lt;/Article&gt;}{\rtlch\fcs1 \af0 \ltrch\fcs0 \lang1036\langfe2057\langnp1036\insrsid2242834\charrsid4291528 &#13;_x000a_\par \ltrrow}\trowd \irow0\irowband0\ltrrow\ts11\trqc\trgaph340\trleft0\trftsWidth3\trwWidth9752\trftsWidthB3\trpaddl340\trpaddr340\trpaddfl3\trpaddft3\trpaddfb3\trpaddfr3\tblrsid9505846\tblind0\tblindtype3 \clvertalt\clbrdrt\brdrtbl \clbrdrl\brdrtbl \clbrdrb&#13;_x000a_\brdrtbl \clbrdrr\brdrtbl \cltxlrtb\clftsWidth3\clwWidth9752\clshdrawnil \cellx9752\pard\plain \ltrpar\ql \li0\ri0\keepn\widctlpar\intbl\wrapdefault\aspalpha\aspnum\faauto\adjustright\rin0\lin0\pararsid9505846 \rtlch\fcs1 \af0\afs20\alang1025 \ltrch\fcs0 &#13;_x000a_\fs24\lang2057\langfe2057\cgrid\langnp2057\langfenp2057 {\rtlch\fcs1 \af0 \ltrch\fcs0 \lang1036\langfe2057\langnp1036\insrsid2242834\charrsid4291528 \cell }\pard\plain \ltrpar&#13;_x000a_\ql \li0\ri0\widctlpar\intbl\wrapdefault\aspalpha\aspnum\faauto\adjustright\rin0\lin0 \rtlch\fcs1 \af0\afs20\alang1025 \ltrch\fcs0 \fs24\lang2057\langfe2057\cgrid\langnp2057\langfenp2057 {\rtlch\fcs1 \af0 \ltrch\fcs0 \insrsid2242834\charrsid4291528 &#13;_x000a_\trowd \irow0\irowband0\ltrrow\ts11\trqc\trgaph340\trleft0\trftsWidth3\trwWidth9752\trftsWidthB3\trpaddl340\trpaddr340\trpaddfl3\trpaddft3\trpaddfb3\trpaddfr3\tblrsid9505846\tblind0\tblindtype3 \clvertalt\clbrdrt\brdrtbl \clbrdrl\brdrtbl \clbrdrb\brdrtbl &#13;_x000a_\clbrdrr\brdrtbl \cltxlrtb\clftsWidth3\clwWidth9752\clshdrawnil \cellx9752\row \ltrrow}\trowd \irow1\irowband1\ltrrow&#13;_x000a_\ts11\trqc\trgaph340\trleft0\trftsWidth3\trwWidth9752\trftsWidthB3\trpaddl340\trpaddr340\trpaddfl3\trpaddft3\trpaddfb3\trpaddfr3\tblrsid9505846\tblind0\tblindtype3 \clvertalt\clbrdrt\brdrtbl \clbrdrl\brdrtbl \clbrdrb\brdrtbl \clbrdrr\brdrtbl &#13;_x000a_\cltxlrtb\clftsWidth3\clwWidth4876\clshdrawnil \cellx4876\clvertalt\clbrdrt\brdrtbl \clbrdrl\brdrtbl \clbrdrb\brdrtbl \clbrdrr\brdrtbl \cltxlrtb\clftsWidth3\clwWidth4876\clshdrawnil \cellx9752\pard\plain \ltrpar&#13;_x000a_\s21\qc \li0\ri0\sa240\keepn\nowidctlpar\intbl\wrapdefault\aspalpha\aspnum\faauto\adjustright\rin0\lin0\pararsid9505846 \rtlch\fcs1 \af0\afs20\alang1025 \ltrch\fcs0 \i\fs24\lang2057\langfe2057\cgrid\langnp2057\langfenp2057 {\rtlch\fcs1 \af0 \ltrch\fcs0 &#13;_x000a_\insrsid2242834\charrsid6708014 [ZLEFT]\cell [ZRIGHT]\cell }\pard\plain \ltrpar\ql \li0\ri0\widctlpar\intbl\wrapdefault\aspalpha\aspnum\faauto\adjustright\rin0\lin0 \rtlch\fcs1 \af0\afs20\alang1025 \ltrch\fcs0 &#13;_x000a_\fs24\lang2057\langfe2057\cgrid\langnp2057\langfenp2057 {\rtlch\fcs1 \af0 \ltrch\fcs0 \insrsid2242834\charrsid6708014 \trowd \irow1\irowband1\ltrrow&#13;_x000a_\ts11\trqc\trgaph340\trleft0\trftsWidth3\trwWidth9752\trftsWidthB3\trpaddl340\trpaddr340\trpaddfl3\trpaddft3\trpaddfb3\trpaddfr3\tblrsid9505846\tblind0\tblindtype3 \clvertalt\clbrdrt\brdrtbl \clbrdrl\brdrtbl \clbrdrb\brdrtbl \clbrdrr\brdrtbl &#13;_x000a_\cltxlrtb\clftsWidth3\clwWidth4876\clshdrawnil \cellx4876\clvertalt\clbrdrt\brdrtbl \clbrdrl\brdrtbl \clbrdrb\brdrtbl \clbrdrr\brdrtbl \cltxlrtb\clftsWidth3\clwWidth4876\clshdrawnil \cellx9752\row \ltrrow}\pard\plain \ltrpar&#13;_x000a_\s20\ql \li0\ri0\sa120\nowidctlpar\intbl\wrapdefault\aspalpha\aspnum\faauto\adjustright\rin0\lin0\pararsid9505846 \rtlch\fcs1 \af0\afs20\alang1025 \ltrch\fcs0 \fs24\lang2057\langfe2057\cgrid\langnp2057\langfenp2057 {\rtlch\fcs1 \af0 \ltrch\fcs0 &#13;_x000a_\insrsid2242834\charrsid6708014 [ZTEXTL]\cell [ZTEXTR]}{\rtlch\fcs1 \af0\afs24 \ltrch\fcs0 \insrsid2242834\charrsid6708014 \cell }\pard\plain \ltrpar\ql \li0\ri0\widctlpar\intbl\wrapdefault\aspalpha\aspnum\faauto\adjustright\rin0\lin0 \rtlch\fcs1 &#13;_x000a_\af0\afs20\alang1025 \ltrch\fcs0 \fs24\lang2057\langfe2057\cgrid\langnp2057\langfenp2057 {\rtlch\fcs1 \af0 \ltrch\fcs0 \insrsid2242834\charrsid6708014 \trowd \irow2\irowband2\lastrow \ltrrow&#13;_x000a_\ts11\trqc\trgaph340\trleft0\trftsWidth3\trwWidth9752\trftsWidthB3\trpaddl340\trpaddr340\trpaddfl3\trpaddft3\trpaddfb3\trpaddfr3\tblrsid9505846\tblind0\tblindtype3 \clvertalt\clbrdrt\brdrtbl \clbrdrl\brdrtbl \clbrdrb\brdrtbl \clbrdrr\brdrtbl &#13;_x000a_\cltxlrtb\clftsWidth3\clwWidth4876\clshdrawnil \cellx4876\clvertalt\clbrdrt\brdrtbl \clbrdrl\brdrtbl \clbrdrb\brdrtbl \clbrdrr\brdrtbl \cltxlrtb\clftsWidth3\clwWidth4876\clshdrawnil \cellx9752\row }\pard\plain \ltrpar&#13;_x000a_\s19\qr \li0\ri0\sb240\sa240\nowidctlpar\wrapdefault\aspalpha\aspnum\faauto\adjustright\rin0\lin0\itap0\pararsid2242834 \rtlch\fcs1 \af0\afs20\alang1025 \ltrch\fcs0 \fs24\lang2057\langfe2057\cgrid\langnp2057\langfenp2057 {\rtlch\fcs1 \af0 \ltrch\fcs0 &#13;_x000a_\insrsid2242834\charrsid6708014 Or. }{\rtlch\fcs1 \af0 \ltrch\fcs0 \cs17\v\fs20\cf9\lang1024\langfe1024\loch\af1\hich\af1\dbch\af31501\noproof\insrsid2242834\charrsid6708014 \hich\af1\dbch\af31501\loch\f1 &lt;Original&gt;}{\rtlch\fcs1 \af0 \ltrch\fcs0 &#13;_x000a_\insrsid2242834\charrsid6708014 [ZORLANG]}{\rtlch\fcs1 \af0 \ltrch\fcs0 \cs17\v\fs20\cf9\lang1024\langfe1024\loch\af1\hich\af1\dbch\af31501\noproof\insrsid2242834\charrsid6708014 \hich\af1\dbch\af31501\loch\f1 &lt;/Original&gt;}{\rtlch\fcs1 \af0 \ltrch\fcs0 &#13;_x000a_\insrsid2242834\charrsid6708014 &#13;_x000a_\par }\pard\plain \ltrpar\ql \li0\ri0\widctlpar\wrapdefault\aspalpha\aspnum\faauto\adjustright\rin0\lin0\itap0\pararsid2242834 \rtlch\fcs1 \af0\afs20\alang1025 \ltrch\fcs0 \fs24\lang2057\langfe2057\cgrid\langnp2057\langfenp2057 {\rtlch\fcs1 \af0 \ltrch\fcs0 &#13;_x000a_\cs17\v\fs20\cf9\lang1024\langfe1024\loch\af1\hich\af1\dbch\af31501\noproof\insrsid2242834\charrsid6708014 \hich\af1\dbch\af31501\loch\f1 &lt;/Amend&gt;}{\rtlch\fcs1 \af0 \ltrch\fcs0 \insrsid24658\charrsid16324206 {\*\bkmkend restart}&#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unhideused1 \lsdlocked0 Normal Table;\lsdsemihidden1 \lsdunhideused1 \lsdlocked0 Table Simple 1;&#13;_x000a_\lsdsemihidden1 \lsdunhideused1 \lsdlocked0 Table Simple 2;\lsdsemihidden1 \lsdunhideused1 \lsdlocked0 Table Simple 3;\lsdsemihidden1 \lsdunhideused1 \lsdlocked0 Table Classic 1;\lsdsemihidden1 \lsdunhideused1 \lsdlocked0 Table Classic 2;&#13;_x000a_\lsdsemihidden1 \lsdunhideused1 \lsdlocked0 Table Classic 3;\lsdsemihidden1 \lsdunhideused1 \lsdlocked0 Table Classic 4;\lsdsemihidden1 \lsdunhideused1 \lsdlocked0 Table Colorful 1;\lsdsemihidden1 \lsdunhideused1 \lsdlocked0 Table Colorful 2;&#13;_x000a_\lsdsemihidden1 \lsdunhideused1 \lsdlocked0 Table Colorful 3;\lsdsemihidden1 \lsdunhideused1 \lsdlocked0 Table Columns 1;\lsdsemihidden1 \lsdunhideused1 \lsdlocked0 Table Columns 2;\lsdsemihidden1 \lsdunhideused1 \lsdlocked0 Table Columns 3;&#13;_x000a_\lsdsemihidden1 \lsdunhideused1 \lsdlocked0 Table Columns 4;\lsdsemihidden1 \lsdunhideused1 \lsdlocked0 Table Columns 5;\lsdsemihidden1 \lsdunhideused1 \lsdlocked0 Table Grid 1;\lsdsemihidden1 \lsdunhideused1 \lsdlocked0 Table Grid 2;&#13;_x000a_\lsdsemihidden1 \lsdunhideused1 \lsdlocked0 Table Grid 3;\lsdsemihidden1 \lsdunhideused1 \lsdlocked0 Table Grid 4;\lsdsemihidden1 \lsdunhideused1 \lsdlocked0 Table Grid 5;\lsdsemihidden1 \lsdunhideused1 \lsdlocked0 Table Grid 6;&#13;_x000a_\lsdsemihidden1 \lsdunhideused1 \lsdlocked0 Table Grid 7;\lsdsemihidden1 \lsdunhideused1 \lsdlocked0 Table Grid 8;\lsdsemihidden1 \lsdunhideused1 \lsdlocked0 Table List 1;\lsdsemihidden1 \lsdunhideused1 \lsdlocked0 Table List 2;&#13;_x000a_\lsdsemihidden1 \lsdunhideused1 \lsdlocked0 Table List 3;\lsdsemihidden1 \lsdunhideused1 \lsdlocked0 Table List 4;\lsdsemihidden1 \lsdunhideused1 \lsdlocked0 Table List 5;\lsdsemihidden1 \lsdunhideused1 \lsdlocked0 Table List 6;&#13;_x000a_\lsdsemihidden1 \lsdunhideused1 \lsdlocked0 Table List 7;\lsdsemihidden1 \lsdunhideused1 \lsdlocked0 Table List 8;\lsdsemihidden1 \lsdunhideused1 \lsdlocked0 Table 3D effects 1;\lsdsemihidden1 \lsdunhideused1 \lsdlocked0 Table 3D effects 2;&#13;_x000a_\lsdsemihidden1 \lsdunhideused1 \lsdlocked0 Table 3D effects 3;\lsdsemihidden1 \lsdunhideused1 \lsdlocked0 Table Contemporary;\lsdsemihidden1 \lsdunhideused1 \lsdlocked0 Table Elegant;\lsdsemihidden1 \lsdunhideused1 \lsdlocked0 Table Professional;&#13;_x000a_\lsdsemihidden1 \lsdunhideused1 \lsdlocked0 Table Subtle 1;\lsdsemihidden1 \lsdunhideused1 \lsdlocked0 Table Subtle 2;\lsdsemihidden1 \lsdunhideused1 \lsdlocked0 Table Web 1;\lsdsemihidden1 \lsdunhideused1 \lsdlocked0 Table Web 2;&#13;_x000a_\lsdsemihidden1 \lsdunhideused1 \lsdlocked0 Table Web 3;\lsdsemihidden1 \lsdunhideused1 \lsdlocked0 Table Theme;\lsdsemihidden1 \lsdpriority99 \lsdlocked0 Placeholder Text;\lsdqformat1 \lsdpriority1 \lsdlocked0 No Spacing;&#13;_x000a_\lsdpriority60 \lsdlocked0 Light Shading;\lsdpriority61 \lsdlocked0 Light List;\lsdpriority62 \lsdlocked0 Light Grid;\lsdpriority63 \lsdlocked0 Medium Shading 1;\lsdpriority64 \lsdlocked0 Medium Shading 2;\lsdpriority65 \lsdlocked0 Medium List 1;&#13;_x000a_\lsdpriority66 \lsdlocked0 Medium List 2;\lsdpriority67 \lsdlocked0 Medium Grid 1;\lsdpriority68 \lsdlocked0 Medium Grid 2;\lsdpriority69 \lsdlocked0 Medium Grid 3;\lsdpriority70 \lsdlocked0 Dark List;\lsdpriority71 \lsdlocked0 Colorful Shading;&#13;_x000a_\lsdpriority72 \lsdlocked0 Colorful List;\lsdpriority73 \lsdlocked0 Colorful Grid;\lsdpriority60 \lsdlocked0 Light Shading Accent 1;\lsdpriority61 \lsdlocked0 Light List Accent 1;\lsdpriority62 \lsdlocked0 Light Grid Accent 1;&#13;_x000a_\lsdpriority63 \lsdlocked0 Medium Shading 1 Accent 1;\lsdpriority64 \lsdlocked0 Medium Shading 2 Accent 1;\lsdpriority65 \lsdlocked0 Medium List 1 Accent 1;\lsdsemihidden1 \lsdpriority99 \lsdlocked0 Revision;&#13;_x000a_\lsdqformat1 \lsdpriority34 \lsdlocked0 List Paragraph;\lsdqformat1 \lsdpriority29 \lsdlocked0 Quote;\lsdqformat1 \lsdpriority30 \lsdlocked0 Intense Quote;\lsdpriority66 \lsdlocked0 Medium List 2 Accent 1;\lsdpriority67 \lsdlocked0 Medium Grid 1 Accent 1;&#13;_x000a_\lsdpriority68 \lsdlocked0 Medium Grid 2 Accent 1;\lsdpriority69 \lsdlocked0 Medium Grid 3 Accent 1;\lsdpriority70 \lsdlocked0 Dark List Accent 1;\lsdpriority71 \lsdlocked0 Colorful Shading Accent 1;\lsdpriority72 \lsdlocked0 Colorful List Accent 1;&#13;_x000a_\lsdpriority73 \lsdlocked0 Colorful Grid Accent 1;\lsdpriority60 \lsdlocked0 Light Shading Accent 2;\lsdpriority61 \lsdlocked0 Light List Accent 2;\lsdpriority62 \lsdlocked0 Light Grid Accent 2;\lsdpriority63 \lsdlocked0 Medium Shading 1 Accent 2;&#13;_x000a_\lsdpriority64 \lsdlocked0 Medium Shading 2 Accent 2;\lsdpriority65 \lsdlocked0 Medium List 1 Accent 2;\lsdpriority66 \lsdlocked0 Medium List 2 Accent 2;\lsdpriority67 \lsdlocked0 Medium Grid 1 Accent 2;\lsdpriority68 \lsdlocked0 Medium Grid 2 Accent 2;&#13;_x000a_\lsdpriority69 \lsdlocked0 Medium Grid 3 Accent 2;\lsdpriority70 \lsdlocked0 Dark List Accent 2;\lsdpriority71 \lsdlocked0 Colorful Shading Accent 2;\lsdpriority72 \lsdlocked0 Colorful List Accent 2;\lsdpriority73 \lsdlocked0 Colorful Grid Accent 2;&#13;_x000a_\lsdpriority60 \lsdlocked0 Light Shading Accent 3;\lsdpriority61 \lsdlocked0 Light List Accent 3;\lsdpriority62 \lsdlocked0 Light Grid Accent 3;\lsdpriority63 \lsdlocked0 Medium Shading 1 Accent 3;\lsdpriority64 \lsdlocked0 Medium Shading 2 Accent 3;&#13;_x000a_\lsdpriority65 \lsdlocked0 Medium List 1 Accent 3;\lsdpriority66 \lsdlocked0 Medium List 2 Accent 3;\lsdpriority67 \lsdlocked0 Medium Grid 1 Accent 3;\lsdpriority68 \lsdlocked0 Medium Grid 2 Accent 3;\lsdpriority69 \lsdlocked0 Medium Grid 3 Accent 3;&#13;_x000a_\lsdpriority70 \lsdlocked0 Dark List Accent 3;\lsdpriority71 \lsdlocked0 Colorful Shading Accent 3;\lsdpriority72 \lsdlocked0 Colorful List Accent 3;\lsdpriority73 \lsdlocked0 Colorful Grid Accent 3;\lsdpriority60 \lsdlocked0 Light Shading Accent 4;&#13;_x000a_\lsdpriority61 \lsdlocked0 Light List Accent 4;\lsdpriority62 \lsdlocked0 Light Grid Accent 4;\lsdpriority63 \lsdlocked0 Medium Shading 1 Accent 4;\lsdpriority64 \lsdlocked0 Medium Shading 2 Accent 4;\lsdpriority65 \lsdlocked0 Medium List 1 Accent 4;&#13;_x000a_\lsdpriority66 \lsdlocked0 Medium List 2 Accent 4;\lsdpriority67 \lsdlocked0 Medium Grid 1 Accent 4;\lsdpriority68 \lsdlocked0 Medium Grid 2 Accent 4;\lsdpriority69 \lsdlocked0 Medium Grid 3 Accent 4;\lsdpriority70 \lsdlocked0 Dark List Accent 4;&#13;_x000a_\lsdpriority71 \lsdlocked0 Colorful Shading Accent 4;\lsdpriority72 \lsdlocked0 Colorful List Accent 4;\lsdpriority73 \lsdlocked0 Colorful Grid Accent 4;\lsdpriority60 \lsdlocked0 Light Shading Accent 5;\lsdpriority61 \lsdlocked0 Light List Accent 5;&#13;_x000a_\lsdpriority62 \lsdlocked0 Light Grid Accent 5;\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60b4&#13;_x000a_ebf4efacda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a-DK"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paragraph" w:styleId="Heading1">
    <w:name w:val="heading 1"/>
    <w:basedOn w:val="Normal"/>
    <w:next w:val="Normal"/>
    <w:qFormat/>
    <w:rsid w:val="00EF7B96"/>
    <w:pPr>
      <w:keepNext/>
      <w:spacing w:before="240" w:after="60"/>
      <w:outlineLvl w:val="0"/>
    </w:pPr>
    <w:rPr>
      <w:rFonts w:ascii="Arial" w:hAnsi="Arial" w:cs="Arial"/>
      <w:b/>
      <w:bCs/>
      <w:kern w:val="32"/>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NormalBold12b">
    <w:name w:val="NormalBold12b"/>
    <w:basedOn w:val="Normal"/>
    <w:pPr>
      <w:widowControl/>
      <w:spacing w:before="240"/>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rossRef">
    <w:name w:val="AmCrossRef"/>
    <w:basedOn w:val="Normal"/>
    <w:pPr>
      <w:widowControl/>
      <w:spacing w:before="240" w:after="240"/>
      <w:jc w:val="center"/>
    </w:pPr>
    <w:rPr>
      <w:i/>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customStyle="1" w:styleId="NormalBold">
    <w:name w:val="NormalBold"/>
    <w:basedOn w:val="Normal"/>
    <w:pPr>
      <w:widowControl/>
    </w:pPr>
    <w:rPr>
      <w:b/>
    </w:r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Footer">
    <w:name w:val="EPFooter"/>
    <w:basedOn w:val="Normal"/>
    <w:pPr>
      <w:widowControl/>
      <w:tabs>
        <w:tab w:val="center" w:pos="4534"/>
        <w:tab w:val="right" w:pos="9070"/>
      </w:tabs>
      <w:spacing w:before="240" w:after="240"/>
    </w:pPr>
    <w:rPr>
      <w:sz w:val="22"/>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paragraph" w:customStyle="1" w:styleId="Normal12a">
    <w:name w:val="Normal12a"/>
    <w:basedOn w:val="Normal"/>
    <w:pPr>
      <w:widowControl/>
      <w:spacing w:after="240"/>
    </w:pPr>
  </w:style>
  <w:style w:type="paragraph" w:styleId="TOCHeading">
    <w:name w:val="TOC Heading"/>
    <w:basedOn w:val="Normal"/>
    <w:next w:val="Normal"/>
    <w:uiPriority w:val="39"/>
    <w:unhideWhenUsed/>
    <w:qFormat/>
    <w:rsid w:val="000200DD"/>
    <w:pPr>
      <w:keepNext/>
      <w:widowControl/>
      <w:spacing w:before="240" w:after="240"/>
      <w:jc w:val="center"/>
      <w:outlineLvl w:val="9"/>
    </w:pPr>
    <w:rPr>
      <w:rFonts w:ascii="Arial" w:hAnsi="Arial"/>
      <w:b/>
    </w:rPr>
  </w:style>
  <w:style w:type="character" w:customStyle="1" w:styleId="HideTWBInt">
    <w:name w:val="HideTWBInt"/>
    <w:rPr>
      <w:rFonts w:ascii="Arial" w:hAnsi="Arial"/>
      <w:vanish/>
      <w:color w:val="808080"/>
      <w:sz w:val="20"/>
    </w:r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hAnsi="Arial"/>
      <w:b/>
    </w:r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Date">
    <w:name w:val="CoverDate"/>
    <w:basedOn w:val="Normal"/>
    <w:pPr>
      <w:widowControl/>
      <w:spacing w:before="240" w:after="1200"/>
    </w:pPr>
  </w:style>
  <w:style w:type="paragraph" w:customStyle="1" w:styleId="NormalHanging12a">
    <w:name w:val="NormalHanging12a"/>
    <w:basedOn w:val="Normal"/>
    <w:pPr>
      <w:widowControl/>
      <w:overflowPunct/>
      <w:spacing w:after="240"/>
      <w:ind w:left="566" w:hanging="566"/>
    </w:p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hAnsi="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hAnsi="Arial"/>
      <w:sz w:val="16"/>
    </w:rPr>
  </w:style>
  <w:style w:type="paragraph" w:customStyle="1" w:styleId="PageHeadingNotTOC">
    <w:name w:val="PageHeadingNotTOC"/>
    <w:basedOn w:val="Normal"/>
    <w:pPr>
      <w:keepNext/>
      <w:widowControl/>
      <w:spacing w:after="480"/>
      <w:jc w:val="center"/>
    </w:pPr>
    <w:rPr>
      <w:rFonts w:ascii="Arial" w:eastAsia="Arial" w:hAnsi="Arial" w:cs="Arial"/>
      <w:b/>
    </w:rPr>
  </w:style>
  <w:style w:type="paragraph" w:customStyle="1" w:styleId="AmDocTypeTab">
    <w:name w:val="AmDocTypeTab"/>
    <w:basedOn w:val="Normal"/>
    <w:pPr>
      <w:widowControl/>
      <w:tabs>
        <w:tab w:val="right" w:pos="9070"/>
      </w:tabs>
    </w:pPr>
    <w:rPr>
      <w:b/>
    </w:rPr>
  </w:style>
  <w:style w:type="paragraph" w:customStyle="1" w:styleId="AmDateTab">
    <w:name w:val="AmDateTab"/>
    <w:basedOn w:val="Normal"/>
    <w:pPr>
      <w:widowControl/>
      <w:tabs>
        <w:tab w:val="right" w:pos="9070"/>
      </w:tabs>
    </w:pPr>
  </w:style>
  <w:style w:type="character" w:customStyle="1" w:styleId="EPFooter2Motto">
    <w:name w:val="EPFooter2Motto"/>
    <w:rPr>
      <w:rFonts w:ascii="Arial" w:hAnsi="Arial"/>
      <w:b/>
      <w:i/>
      <w:color w:val="C0C0C0"/>
      <w:sz w:val="22"/>
    </w:rPr>
  </w:style>
  <w:style w:type="paragraph" w:customStyle="1" w:styleId="PMissingStyle">
    <w:name w:val="P_MissingStyle"/>
    <w:basedOn w:val="Normal"/>
    <w:pPr>
      <w:widowControl/>
      <w:spacing w:after="0" w:line="240" w:lineRule="auto"/>
    </w:pPr>
    <w:rPr>
      <w:rFonts w:ascii="Times New Roman" w:eastAsia="Times New Roman" w:hAnsi="Times New Roman" w:cs="Times New Roman"/>
      <w:color w:val="FFFFFF"/>
      <w:sz w:val="24"/>
    </w:rPr>
  </w:style>
  <w:style w:type="character" w:customStyle="1" w:styleId="CMissingStyle">
    <w:name w:val="C_MissingStyle"/>
    <w:rPr>
      <w:color w:val="FFFFFF"/>
      <w:sz w:val="22"/>
    </w:rPr>
  </w:style>
  <w:style w:type="paragraph" w:customStyle="1" w:styleId="Normal24a">
    <w:name w:val="Normal24a"/>
    <w:basedOn w:val="Normal"/>
    <w:pPr>
      <w:widowControl/>
      <w:spacing w:after="480"/>
    </w:pPr>
  </w:style>
  <w:style w:type="character" w:customStyle="1" w:styleId="FooterChar">
    <w:name w:val="Footer Char"/>
    <w:rPr>
      <w:rFonts w:ascii="Times New Roman" w:eastAsia="Times New Roman" w:hAnsi="Times New Roman" w:cs="Times New Roman"/>
      <w:sz w:val="24"/>
    </w:rPr>
  </w:style>
  <w:style w:type="paragraph" w:customStyle="1" w:styleId="NormalHanging">
    <w:name w:val="NormalHanging"/>
    <w:basedOn w:val="Normal"/>
    <w:pPr>
      <w:widowControl/>
      <w:overflowPunct/>
      <w:spacing w:after="240" w:line="240" w:lineRule="auto"/>
      <w:ind w:left="566" w:hanging="566"/>
    </w:pPr>
    <w:rPr>
      <w:rFonts w:ascii="Times New Roman" w:eastAsia="Times New Roman" w:hAnsi="Times New Roman" w:cs="Times New Roman"/>
      <w:sz w:val="24"/>
    </w:rPr>
  </w:style>
  <w:style w:type="paragraph" w:customStyle="1" w:styleId="Arial14CentreBold">
    <w:name w:val="Arial14CentreBold"/>
    <w:basedOn w:val="Normal"/>
    <w:pPr>
      <w:widowControl/>
      <w:spacing w:after="0" w:line="240" w:lineRule="auto"/>
      <w:jc w:val="center"/>
    </w:pPr>
    <w:rPr>
      <w:rFonts w:ascii="Arial" w:eastAsia="Arial" w:hAnsi="Arial" w:cs="Arial"/>
      <w:b/>
      <w:sz w:val="28"/>
    </w:rPr>
  </w:style>
  <w:style w:type="paragraph" w:customStyle="1" w:styleId="ProcedureTable">
    <w:name w:val="ProcedureTable"/>
    <w:basedOn w:val="Normal"/>
    <w:pPr>
      <w:widowControl/>
      <w:spacing w:after="0" w:line="240" w:lineRule="auto"/>
    </w:pPr>
    <w:rPr>
      <w:rFonts w:ascii="Times New Roman" w:eastAsia="Times New Roman" w:hAnsi="Times New Roman" w:cs="Times New Roman"/>
      <w:sz w:val="20"/>
    </w:rPr>
  </w:style>
  <w:style w:type="paragraph" w:customStyle="1" w:styleId="ProcedureTableBold">
    <w:name w:val="ProcedureTableBold"/>
    <w:basedOn w:val="Normal"/>
    <w:pPr>
      <w:widowControl/>
      <w:spacing w:after="0" w:line="240" w:lineRule="auto"/>
    </w:pPr>
    <w:rPr>
      <w:rFonts w:ascii="Times New Roman" w:eastAsia="Times New Roman" w:hAnsi="Times New Roman" w:cs="Times New Roman"/>
      <w:b/>
      <w:sz w:val="20"/>
    </w:rPr>
  </w:style>
  <w:style w:type="paragraph" w:customStyle="1" w:styleId="NormalTab">
    <w:name w:val="NormalTab"/>
    <w:basedOn w:val="Normal"/>
    <w:pPr>
      <w:widowControl/>
      <w:tabs>
        <w:tab w:val="center" w:pos="284"/>
        <w:tab w:val="left" w:pos="424"/>
      </w:tabs>
      <w:spacing w:after="0" w:line="240" w:lineRule="auto"/>
    </w:pPr>
    <w:rPr>
      <w:rFonts w:ascii="Times New Roman" w:eastAsia="Times New Roman" w:hAnsi="Times New Roman" w:cs="Times New Roman"/>
      <w:sz w:val="24"/>
    </w:rPr>
  </w:style>
  <w:style w:type="paragraph" w:customStyle="1" w:styleId="PageHeading">
    <w:name w:val="PageHeading"/>
    <w:basedOn w:val="Normal"/>
    <w:pPr>
      <w:keepNext/>
      <w:widowControl/>
      <w:spacing w:after="480"/>
      <w:jc w:val="center"/>
    </w:pPr>
    <w:rPr>
      <w:rFonts w:ascii="Arial" w:eastAsia="Arial" w:hAnsi="Arial" w:cs="Arial"/>
      <w:b/>
    </w:rPr>
  </w:style>
  <w:style w:type="paragraph" w:customStyle="1" w:styleId="NormalCenter12a">
    <w:name w:val="NormalCenter12a"/>
    <w:basedOn w:val="Normal"/>
    <w:pPr>
      <w:widowControl/>
      <w:spacing w:after="240"/>
      <w:jc w:val="center"/>
    </w:pPr>
  </w:style>
  <w:style w:type="paragraph" w:customStyle="1" w:styleId="EPFooterLandscape">
    <w:name w:val="EPFooterLandscape"/>
    <w:pPr>
      <w:widowControl/>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widowControl/>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NormalCenter">
    <w:name w:val="NormalCenter"/>
    <w:basedOn w:val="Normal"/>
    <w:pPr>
      <w:widowControl/>
      <w:spacing w:after="0" w:line="240" w:lineRule="auto"/>
      <w:jc w:val="center"/>
    </w:pPr>
    <w:rPr>
      <w:rFonts w:ascii="Times New Roman" w:eastAsia="Times New Roman" w:hAnsi="Times New Roman" w:cs="Times New Roman"/>
      <w:sz w:val="24"/>
    </w:rPr>
  </w:style>
  <w:style w:type="character" w:styleId="FootnoteReference">
    <w:name w:val="footnote reference"/>
    <w:basedOn w:val="DefaultParagraphFont"/>
    <w:rsid w:val="00805BCE"/>
    <w:rPr>
      <w:vertAlign w:val="superscript"/>
    </w:rPr>
  </w:style>
  <w:style w:type="paragraph" w:styleId="FootnoteText">
    <w:name w:val="footnote text"/>
    <w:basedOn w:val="Normal"/>
    <w:rsid w:val="00805BCE"/>
    <w:rPr>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image" Target="media/image1.png"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footer" Target="footer3.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44</Pages>
  <Words>10577</Words>
  <Characters>68894</Characters>
  <Application>Microsoft Office Word</Application>
  <DocSecurity>0</DocSecurity>
  <Lines>1</Lines>
  <Paragraphs>535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1330371</vt:lpwstr>
  </property>
  <property fmtid="{D5CDD505-2E9C-101B-9397-08002B2CF9AE}" pid="4" name="&lt;Model&gt;">
    <vt:lpwstr>PA_NonLeg</vt:lpwstr>
  </property>
  <property fmtid="{D5CDD505-2E9C-101B-9397-08002B2CF9AE}" pid="5" name="&lt;Type&gt;">
    <vt:lpwstr>AD</vt:lpwstr>
  </property>
  <property fmtid="{D5CDD505-2E9C-101B-9397-08002B2CF9AE}" pid="6" name="dmxml.render.id">
    <vt:lpwstr>369338</vt:lpwstr>
  </property>
  <property fmtid="{D5CDD505-2E9C-101B-9397-08002B2CF9AE}" pid="7" name="dmxml.render.traceId">
    <vt:lpwstr>698af39174f1026d61b6b6e27d1c0f60</vt:lpwstr>
  </property>
  <property fmtid="{D5CDD505-2E9C-101B-9397-08002B2CF9AE}" pid="8" name="FooterPath">
    <vt:lpwstr>AD\1330371DA.doc</vt:lpwstr>
  </property>
  <property fmtid="{D5CDD505-2E9C-101B-9397-08002B2CF9AE}" pid="9" name="PE Number">
    <vt:lpwstr>776.885</vt:lpwstr>
  </property>
  <property fmtid="{D5CDD505-2E9C-101B-9397-08002B2CF9AE}" pid="10" name="UID">
    <vt:lpwstr>eu.europa.europarl-DIN1-2025-0000199133_01.07-da-02.00_text-xml</vt:lpwstr>
  </property>
</Properties>
</file>