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Ευρωπαϊκό Κοινοβούλιο</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{LIBE}</w:t>
      </w:r>
      <w:r>
        <w:t>Επιτροπή Πολιτικών Ελευθεριών, Δικαιοσύνης και Εσωτερικών Υποθέσεων</w:t>
      </w:r>
      <w:r>
        <w:rPr>
          <w:rStyle w:val="HideTWBExt"/>
        </w:rPr>
        <w:t>&lt;/Commission&gt;</w:t>
      </w:r>
    </w:p>
    <w:p>
      <w:pPr>
        <w:pStyle w:val="LineBottom"/>
      </w:pPr>
      <w:r>
        <w:t xml:space="preserve"> </w:t>
      </w:r>
    </w:p>
    <w:p>
      <w:pPr>
        <w:pStyle w:val="CoverReference"/>
      </w:pPr>
      <w:r>
        <w:rPr>
          <w:rStyle w:val="HideTWBExt"/>
        </w:rPr>
        <w:t>&lt;RefProc&gt;</w:t>
      </w:r>
      <w:r>
        <w:t>2025/2061</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{06/11/2025}</w:t>
      </w:r>
      <w:r>
        <w:t>06.11.2025</w:t>
      </w:r>
      <w:r>
        <w:rPr>
          <w:rStyle w:val="HideTWBExt"/>
        </w:rPr>
        <w:t>&lt;/Date&gt;</w:t>
      </w:r>
    </w:p>
    <w:p>
      <w:pPr>
        <w:pStyle w:val="CoverDocType24a"/>
      </w:pPr>
      <w:r>
        <w:rPr>
          <w:rStyle w:val="HideTWBExt"/>
        </w:rPr>
        <w:t>&lt;TitreType&gt;</w:t>
      </w:r>
      <w:r>
        <w:t>ΓΝΩΜΟΔΟΤΗΣΗ</w:t>
      </w:r>
      <w:r>
        <w:rPr>
          <w:rStyle w:val="HideTWBExt"/>
        </w:rPr>
        <w:t>&lt;/TitreType&gt;</w:t>
      </w:r>
    </w:p>
    <w:p>
      <w:pPr>
        <w:pStyle w:val="CoverNormal24a"/>
      </w:pPr>
      <w:r>
        <w:rPr>
          <w:rStyle w:val="HideTWBExt"/>
        </w:rPr>
        <w:t>&lt;CommissionResp&gt;</w:t>
      </w:r>
      <w:r>
        <w:t>της Επιτροπής Πολιτικών Ελευθεριών, Δικαιοσύνης και Εσωτερικών Υποθέσεων</w:t>
      </w:r>
      <w:r>
        <w:rPr>
          <w:rStyle w:val="HideTWBExt"/>
        </w:rPr>
        <w:t>&lt;/CommissionResp&gt;</w:t>
      </w:r>
    </w:p>
    <w:p>
      <w:pPr>
        <w:pStyle w:val="CoverNormal24a"/>
      </w:pPr>
      <w:r>
        <w:rPr>
          <w:rStyle w:val="HideTWBExt"/>
        </w:rPr>
        <w:t>&lt;CommissionInt&gt;</w:t>
      </w:r>
      <w:r>
        <w:t>προς την Επιτροπή Προϋπολογισμών και την Επιτροπή Ελέγχου του Προϋπολογισμού</w:t>
      </w:r>
      <w:r>
        <w:rPr>
          <w:rStyle w:val="HideTWBExt"/>
        </w:rPr>
        <w:t>&lt;/CommissionInt&gt;</w:t>
      </w:r>
    </w:p>
    <w:p>
      <w:pPr>
        <w:pStyle w:val="CoverNormal"/>
      </w:pPr>
      <w:r>
        <w:rPr>
          <w:rStyle w:val="HideTWBExt"/>
        </w:rPr>
        <w:t>&lt;Titre&gt;</w:t>
      </w:r>
      <w:r>
        <w:t>σχετικά με την εφαρμογή του καθεστώτος αιρεσιμότητας όσον αφορά το κράτος δικαίου</w:t>
      </w:r>
      <w:r>
        <w:rPr>
          <w:rStyle w:val="HideTWBExt"/>
        </w:rPr>
        <w:t>&lt;/Titre&gt;</w:t>
      </w:r>
    </w:p>
    <w:p>
      <w:pPr>
        <w:pStyle w:val="CoverNormal24a"/>
      </w:pPr>
      <w:r>
        <w:rPr>
          <w:rStyle w:val="HideTWBExt"/>
        </w:rPr>
        <w:t>&lt;DocRef&gt;</w:t>
      </w:r>
      <w:r>
        <w:t>(2025/2061(INI))</w:t>
      </w:r>
      <w:r>
        <w:rPr>
          <w:rStyle w:val="HideTWBExt"/>
        </w:rPr>
        <w:t>&lt;/DocRef&gt;</w:t>
      </w:r>
    </w:p>
    <w:p>
      <w:pPr>
        <w:pStyle w:val="CoverNormal24a"/>
      </w:pPr>
      <w:r>
        <w:t>Συντάκτης γνωμοδότησης</w:t>
      </w:r>
      <w:r>
        <w:t xml:space="preserve">: </w:t>
      </w:r>
      <w:r>
        <w:rPr>
          <w:rStyle w:val="HideTWBExt"/>
        </w:rPr>
        <w:t>&lt;Depute&gt;</w:t>
      </w:r>
      <w:r>
        <w:t>Michał Wawrykiewicz</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ΤΡΟΠΟΛΟΓΙΕΣ</w:t>
      </w:r>
    </w:p>
    <w:p>
      <w:pPr>
        <w:pStyle w:val="Normal12a"/>
      </w:pPr>
      <w:r>
        <w:t>Η Επιτροπή Πολιτικών Ελευθεριών, Δικαιοσύνης και Εσωτερικών Υποθέσεων</w:t>
      </w:r>
      <w:r>
        <w:t xml:space="preserve"> υποβάλλει στην </w:t>
      </w:r>
      <w:r>
        <w:t>Επιτροπή Προϋπολογισμών και στην Επιτροπή Ελέγχου του Προϋπολογισμού</w:t>
      </w:r>
      <w:r>
        <w:t>, που είναι αρμόδιες επί της ουσίας, τα ακόλουθα</w:t>
      </w:r>
      <w:r>
        <w:t>:</w:t>
      </w:r>
    </w:p>
    <w:p>
      <w:pPr>
        <w:pStyle w:val="AmNumberTabs"/>
      </w:pPr>
      <w:r>
        <w:rPr>
          <w:rStyle w:val="HideTWBExt"/>
        </w:rPr>
        <w:t>&lt;RepeatBlock-Amend&gt;</w:t>
      </w:r>
      <w:r>
        <w:rPr>
          <w:rStyle w:val="HideTWBExt"/>
        </w:rPr>
        <w:t>&lt;Amend&gt;</w:t>
      </w:r>
      <w:r>
        <w:t>Τροπολογία</w:t>
      </w:r>
      <w:r>
        <w:tab/>
      </w:r>
      <w:r>
        <w:tab/>
      </w:r>
      <w:r>
        <w:rPr>
          <w:rStyle w:val="HideTWBExt"/>
        </w:rPr>
        <w:t>&lt;NumAm&gt;</w:t>
      </w:r>
      <w:r>
        <w:t>1</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πρόταση της Επιτροπής, της 16ης Ιουλίου 2025, για κανονισμό του Ευρωπαϊκού Κοινοβουλίου και του Συμβουλίου για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για την περίοδο 2028-2034 και για την τροποποίηση του κανονισμού (ΕΕ) 2023/955 και του κανονισμού (ΕΕ, Ευρατόμ) 2024/2509 [COM(2025)0565)](σχέδιο κανονισμού για το Ταμείο ΕΠΕΣ),</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2</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έχοντας υπόψη το ψήφισμά του της 24ης Απριλίου 2024 σχετικά με τις εν εξελίξει ακροάσεις σύμφωνα με το άρθρο 7 παράγραφος 1 ΣΕΕ σχετικά με την Ουγγαρία για την ενίσχυση του κράτους δικαίου και τις σχετικές δημοσιονομικές επιπτώσεις</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EE C, C/2025/3705, 17.9.2025, ELI: </w:t>
            </w:r>
            <w:r>
              <w:rPr>
                <w:b/>
                <w:i/>
              </w:rPr>
              <w:t>http://data.europa.eu/eli/C/2025/3705/oj</w:t>
            </w:r>
            <w:r>
              <w:rPr>
                <w:b/>
                <w:i/>
              </w:rPr>
              <w:t>.</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3</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12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έχοντας υπόψη το ψήφισμά του της 18ης Ιανουαρίου 2024 σχετικά με την κατάσταση στην Ουγγαρία και τα δεσμευμένα κεφάλαια της ΕΕ</w:t>
            </w:r>
            <w:r>
              <w:rPr>
                <w:vertAlign w:val="superscript"/>
              </w:rPr>
              <w:t>1α</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1α</w:t>
            </w:r>
            <w:r>
              <w:t xml:space="preserve"> </w:t>
            </w:r>
            <w:r>
              <w:rPr>
                <w:b/>
                <w:i/>
              </w:rPr>
              <w:t xml:space="preserve">ΕΕ C, C/2024/5742, 17.10.2024, ELI: </w:t>
            </w:r>
            <w:r>
              <w:rPr>
                <w:b/>
                <w:i/>
              </w:rPr>
              <w:t>http://data.europa.eu/eli/C/2024/5742/oj</w:t>
            </w:r>
            <w:r>
              <w:rPr>
                <w:b/>
                <w:i/>
              </w:rPr>
              <w:t>.</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4</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έχοντας υπόψη το ψήφισμά του της 15ης Σεπτεμβρίου 2022 σχετικά με την πρόταση για απόφαση του Συμβουλίου με την οποία διαπιστώνεται, σύμφωνα με το άρθρο 7 παράγραφος 1 της Συνθήκης για την Ευρωπαϊκή Ένωση, η ύπαρξη σαφούς κινδύνου σοβαρής παραβίασης από την Ουγγαρία των αξιών στις οποίες θεμελιώνεται η Ένωση</w:t>
            </w:r>
            <w:r>
              <w:rPr>
                <w:vertAlign w:val="superscript"/>
              </w:rPr>
              <w:t>1α</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1α</w:t>
            </w:r>
            <w:r>
              <w:t xml:space="preserve"> </w:t>
            </w:r>
            <w:r>
              <w:rPr>
                <w:b/>
                <w:i/>
              </w:rPr>
              <w:t>ΕΕ C 125 της 5.4.2023, σ. 463.</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5</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14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έχοντας υπόψη το ψήφισμά του της 10ης Μαρτίου 2022 σχετικά με το κράτος δικαίου και τις συνέπειες των αποφάσεων του Δικαστηρίου της Ευρωπαϊκής Ένωσης</w:t>
            </w:r>
            <w:r>
              <w:rPr>
                <w:vertAlign w:val="superscript"/>
              </w:rPr>
              <w:t>1α</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1α</w:t>
            </w:r>
            <w:r>
              <w:t xml:space="preserve"> </w:t>
            </w:r>
            <w:r>
              <w:rPr>
                <w:b/>
                <w:i/>
              </w:rPr>
              <w:t>ΕΕ C 347 της 9.9.2022, σ. 168.</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6</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έχοντας υπόψη το ψήφισμά του της 7ης Οκτωβρίου 2020 σχετικά με τη θέσπιση μηχανισμού της ΕΕ για τη δημοκρατία, το κράτος δικαίου και τα θεμελιώδη δικαιώματα</w:t>
            </w:r>
            <w:r>
              <w:rPr>
                <w:vertAlign w:val="superscript"/>
              </w:rPr>
              <w:t>1α</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1α</w:t>
            </w:r>
            <w:r>
              <w:t xml:space="preserve"> </w:t>
            </w:r>
            <w:r>
              <w:rPr>
                <w:b/>
                <w:i/>
              </w:rPr>
              <w:t>ΕΕ C 395 της 29.9.2021, σ. 2.</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7</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15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έχοντας υπόψη το ψήφισμά του της 12ης Σεπτεμβρίου 2018 σχετικά με πρόταση να κληθεί το Συμβούλιο να διαπιστώσει, σύμφωνα με το άρθρο 7 παράγραφος 1 της Συνθήκης για την Ευρωπαϊκή Ένωση, την ύπαρξη σαφούς κινδύνου σοβαρής παραβίασης από την Ουγγαρία των αξιών στις οποίες θεμελιώνεται η Ένωση,</w:t>
            </w:r>
            <w:r>
              <w:rPr>
                <w:vertAlign w:val="superscript"/>
              </w:rPr>
              <w:t>1α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1α</w:t>
            </w:r>
            <w:r>
              <w:t xml:space="preserve"> </w:t>
            </w:r>
            <w:r>
              <w:rPr>
                <w:b/>
                <w:i/>
              </w:rPr>
              <w:t>ΕΕ C 433 της 23.12.2019, σ. 66.</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8</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έχοντας υπόψη το ψήφισμά του της 5ης Μαΐου 2022 σχετικά με τις εν εξελίξει ακροάσεις σύμφωνα με το άρθρο 7 παράγραφος 1 ΣΕΕ σχετικά με την Πολωνία και την Ουγγαρία</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ΕΕ C 465 της 6.12.2022, σ. 147.</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9</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17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έχοντας υπόψη το ψήφισμά του της 1ης Ιουνίου 2023 σχετικά με τις παραβιάσεις του κράτους δικαίου και των θεμελιωδών δικαιωμάτων στην Ουγγαρία και τη δέσμευση ενωσιακών κονδυλίων</w:t>
            </w:r>
            <w:r>
              <w:rPr>
                <w:vertAlign w:val="superscript"/>
              </w:rPr>
              <w:t>1α</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1α</w:t>
            </w:r>
            <w:r>
              <w:t xml:space="preserve"> </w:t>
            </w:r>
            <w:r>
              <w:rPr>
                <w:b/>
                <w:i/>
              </w:rPr>
              <w:t xml:space="preserve">ΕΕ C, C/2023/1223, 21.12.2023, ELI: </w:t>
            </w:r>
            <w:r>
              <w:rPr>
                <w:b/>
                <w:i/>
              </w:rPr>
              <w:t>http://data.europa.eu/eli/C/2023/1223/oj</w:t>
            </w:r>
            <w:r>
              <w:rPr>
                <w:b/>
                <w:i/>
              </w:rPr>
              <w:t>.</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10</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έχοντας υπόψη την προσφυγή που άσκησε το Κοινοβούλιο κατά της Επιτροπής στις 25 Μαρτίου 2024 στην υπόθεση C-225/24 με την οποία ζητείται από το Δικαστήριο της Ευρωπαϊκής Ένωσης (ΔΕΕ) να ακυρώσει την εκτελεστική απόφαση C(2023)9014 της Επιτροπής, της 13ης Δεκεμβρίου 2023</w:t>
            </w:r>
            <w:r>
              <w:rPr>
                <w:vertAlign w:val="superscript"/>
              </w:rPr>
              <w:t>1α</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1α</w:t>
            </w:r>
            <w:r>
              <w:t xml:space="preserve"> </w:t>
            </w:r>
            <w:r>
              <w:rPr>
                <w:b/>
                <w:i/>
              </w:rPr>
              <w:t xml:space="preserve">ΕΕ C, C/2024/3063, 13.5.2024, ELI: </w:t>
            </w:r>
            <w:r>
              <w:rPr>
                <w:b/>
                <w:i/>
              </w:rPr>
              <w:t>http://data.europa.eu/eli/C/2024/3063/oj</w:t>
            </w:r>
            <w:r>
              <w:rPr>
                <w:b/>
                <w:i/>
              </w:rPr>
              <w:t>.</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11</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έχοντας υπόψη τις παρατηρήσεις των διερευνητικών αποστολών της Επιτροπής Ελέγχου του Προϋπολογισμού στην Ουγγαρία από τις 15 έως τις 17 Μαΐου 2023 και στη Σλοβακία από τις 26 έως τις 28 </w:t>
            </w:r>
            <w:r>
              <w:rPr>
                <w:b/>
                <w:i/>
              </w:rPr>
              <w:t>Μαΐου</w:t>
            </w:r>
            <w:r>
              <w:t xml:space="preserve"> 2025,</w:t>
            </w:r>
          </w:p>
        </w:tc>
        <w:tc>
          <w:tcPr>
            <w:tcW w:w="4876" w:type="dxa"/>
            <w:tcBorders>
              <w:top w:val="nil"/>
              <w:left w:val="nil"/>
              <w:bottom w:val="nil"/>
              <w:right w:val="nil"/>
            </w:tcBorders>
          </w:tcPr>
          <w:p>
            <w:pPr>
              <w:pStyle w:val="Normal6a"/>
            </w:pPr>
            <w:r>
              <w:t>–</w:t>
            </w:r>
            <w:r>
              <w:tab/>
            </w:r>
            <w:r>
              <w:t>έχοντας υπόψη τις παρατηρήσεις των διερευνητικών αποστολών της Επιτροπής Ελέγχου του Προϋπολογισμού στην Ουγγαρία από τις 15 έως τις 17 Μαΐου 2023 και στη Σλοβακία από τις 26 έως τις 28 Μαΐου 2025</w:t>
            </w:r>
            <w:r>
              <w:t xml:space="preserve">, </w:t>
            </w:r>
            <w:r>
              <w:rPr>
                <w:b/>
                <w:i/>
              </w:rPr>
              <w:t>καθώς και της διερευνητικής αποστολής της Επιτροπής Πολιτικών Ελευθεριών, Δικαιοσύνης και Εσωτερικών Υποθέσεων στην Ουγγαρία από τις 14 έως τις 16 Απριλίου 2025 και της διερευνητικής αποστολής της ομάδας παρακολούθησης της δημοκρατίας, του κράτους δικαίου και των θεμελιωδών δικαιωμάτων (DRFMG) στη Σλοβακία από τις 2 έως τις 3 Ιουνίου 2025,</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12</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29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έχοντας υπόψη τη μελέτη που ζήτησε η Επιτροπή Πολιτικών Ελευθεριών, Δικαιοσύνης και Εσωτερικών Υποθέσεων με τίτλο «Enforcement of EU law in the Area of Freedom, Security and Justice» (Επιβολή της ενωσιακής νομοθεσίας στον χώρο ελευθερίας, ασφάλειας και δικαιοσύνης)</w:t>
            </w:r>
            <w:r>
              <w:rPr>
                <w:vertAlign w:val="superscript"/>
              </w:rPr>
              <w:t>1α</w:t>
            </w:r>
            <w:r>
              <w:rPr>
                <w:b/>
                <w:i/>
              </w:rPr>
              <w:t>,</w:t>
            </w:r>
            <w:r>
              <w:t xml:space="preserve"> η οποία δημοσιεύτηκε από την Γενική Διεύθυνση Εσωτερικών Πολιτικών του Ευρωπαϊκού Κοινοβουλίου τον Ιανουάριο του 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1α</w:t>
            </w:r>
            <w:r>
              <w:t xml:space="preserve"> </w:t>
            </w:r>
            <w:r>
              <w:rPr>
                <w:b/>
                <w:i/>
              </w:rPr>
              <w:t>Μελέτη με τίτλο «Enforcement of EU law in the Area of Freedom, Security and Justice» (Επιβολή της ενωσιακής νομοθεσίας στον χώρο ελευθερίας, ασφάλειας και δικαιοσύνης), Ευρωπαϊκό Κοινοβούλιο, Γενική Διεύθυνση Εσωτερικών Πολιτικών, Θεματικό Τμήμα Δικαιωμάτων των Πολιτών και Συνταγματικών Υποθέσεων, Ιανουάριος 2024.</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13</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 xml:space="preserve">λαμβάνοντας υπόψη ότι η ΕΕ βασίζεται στις αξίες του σεβασμού της ανθρώπινης αξιοπρέπειας, της ελευθερίας, της δημοκρατίας, της ισότητας, του κράτους δικαίου και του σεβασμού των ανθρωπίνων δικαιωμάτων, συμπεριλαμβανομένων των δικαιωμάτων των προσώπων που ανήκουν σε μειονότητες, όπως ορίζεται στο άρθρο 2 ΣΕΕ· λαμβάνοντας υπόψη ότι οι αξίες αυτές </w:t>
            </w:r>
            <w:r>
              <w:rPr>
                <w:b/>
                <w:i/>
              </w:rPr>
              <w:t>αποτυπώνονται στα θεμελιώδη δικαιώματα που διατυπώνονται στον Χάρτη</w:t>
            </w:r>
            <w:r>
              <w:t xml:space="preserve">, </w:t>
            </w:r>
            <w:r>
              <w:rPr>
                <w:b/>
                <w:i/>
              </w:rPr>
              <w:t>όπως η ισότητα μεταξύ γυναικών</w:t>
            </w:r>
            <w:r>
              <w:t xml:space="preserve"> και </w:t>
            </w:r>
            <w:r>
              <w:rPr>
                <w:b/>
                <w:i/>
              </w:rPr>
              <w:t>ανδρών, η απαγόρευση των διακρίσεων και το δικαίωμα συλλογικής διαπραγμάτευσης και δράσης, σύμφωνα με</w:t>
            </w:r>
            <w:r>
              <w:t xml:space="preserve"> το </w:t>
            </w:r>
            <w:r>
              <w:rPr>
                <w:b/>
                <w:i/>
              </w:rPr>
              <w:t>δίκαιο της ΕΕ</w:t>
            </w:r>
            <w:r>
              <w:t xml:space="preserve"> και </w:t>
            </w:r>
            <w:r>
              <w:rPr>
                <w:b/>
                <w:i/>
              </w:rPr>
              <w:t>τις εθνικές νομοθεσίες και πρακτικές</w:t>
            </w:r>
            <w:r>
              <w:t xml:space="preserve">, </w:t>
            </w:r>
            <w:r>
              <w:rPr>
                <w:b/>
                <w:i/>
              </w:rPr>
              <w:t>και είναι ενσωματωμένες στις διεθνείς συνθήκες</w:t>
            </w:r>
            <w:r>
              <w:t xml:space="preserve"> για τα </w:t>
            </w:r>
            <w:r>
              <w:rPr>
                <w:b/>
                <w:i/>
              </w:rPr>
              <w:t>ανθρώπινα</w:t>
            </w:r>
            <w:r>
              <w:t xml:space="preserve"> δικαιώματα</w:t>
            </w:r>
            <w:r>
              <w:rPr>
                <w:b/>
                <w:i/>
              </w:rPr>
              <w:t>·</w:t>
            </w:r>
            <w:r>
              <w:t xml:space="preserve"> </w:t>
            </w:r>
            <w:r>
              <w:rPr>
                <w:b/>
                <w:i/>
              </w:rPr>
              <w:t>λαμβάνοντας υπόψη ότι η τήρηση αυτών των κοινών αξιών αποτελεί το θεμέλιο των δικαιωμάτων που απολαμβάνουν</w:t>
            </w:r>
            <w:r>
              <w:t xml:space="preserve"> όσοι ζουν στην ΕΕ·</w:t>
            </w:r>
          </w:p>
        </w:tc>
        <w:tc>
          <w:tcPr>
            <w:tcW w:w="4876" w:type="dxa"/>
            <w:tcBorders>
              <w:top w:val="nil"/>
              <w:left w:val="nil"/>
              <w:bottom w:val="nil"/>
              <w:right w:val="nil"/>
            </w:tcBorders>
          </w:tcPr>
          <w:p>
            <w:pPr>
              <w:pStyle w:val="Normal6a"/>
            </w:pPr>
            <w:r>
              <w:t>Α.</w:t>
            </w:r>
            <w:r>
              <w:tab/>
            </w:r>
            <w:r>
              <w:t xml:space="preserve">λαμβάνοντας υπόψη ότι η ΕΕ βασίζεται στις αξίες του σεβασμού της ανθρώπινης αξιοπρέπειας, της ελευθερίας, της δημοκρατίας, της ισότητας, του κράτους δικαίου και του σεβασμού των ανθρωπίνων δικαιωμάτων, συμπεριλαμβανομένων των δικαιωμάτων των προσώπων που ανήκουν σε μειονότητες, όπως ορίζεται στο άρθρο 2 ΣΕΕ· λαμβάνοντας υπόψη ότι οι αξίες αυτές </w:t>
            </w:r>
            <w:r>
              <w:rPr>
                <w:b/>
                <w:i/>
              </w:rPr>
              <w:t>είναι κοινές στα κράτη μέλη</w:t>
            </w:r>
            <w:r>
              <w:t xml:space="preserve">, </w:t>
            </w:r>
            <w:r>
              <w:rPr>
                <w:b/>
                <w:i/>
              </w:rPr>
              <w:t>καθώς και ότι</w:t>
            </w:r>
            <w:r>
              <w:rPr>
                <w:b/>
                <w:i/>
              </w:rPr>
              <w:t>αποτυπώνονται</w:t>
            </w:r>
            <w:r>
              <w:t xml:space="preserve"> και </w:t>
            </w:r>
            <w:r>
              <w:rPr>
                <w:b/>
                <w:i/>
              </w:rPr>
              <w:t>είναι ενσωματωμένες στις διεθνείς συνθήκες για τα ανθρώπινα δικαιώματα·</w:t>
            </w:r>
            <w:r>
              <w:t xml:space="preserve"> </w:t>
            </w:r>
            <w:r>
              <w:rPr>
                <w:b/>
                <w:i/>
              </w:rPr>
              <w:t xml:space="preserve">λαμβάνοντας υπόψη ότι η </w:t>
            </w:r>
            <w:r>
              <w:rPr>
                <w:b/>
                <w:i/>
              </w:rPr>
              <w:t>δημοκρατία,</w:t>
            </w:r>
            <w:r>
              <w:t xml:space="preserve"> το </w:t>
            </w:r>
            <w:r>
              <w:rPr>
                <w:b/>
                <w:i/>
              </w:rPr>
              <w:t>κράτος δικαίου</w:t>
            </w:r>
            <w:r>
              <w:t xml:space="preserve"> και </w:t>
            </w:r>
            <w:r>
              <w:rPr>
                <w:b/>
                <w:i/>
              </w:rPr>
              <w:t>τα θεμελιώδη δικαιώματα αποτελούν αλληλοενισχυόμενες αξίες</w:t>
            </w:r>
            <w:r>
              <w:t xml:space="preserve">, </w:t>
            </w:r>
            <w:r>
              <w:rPr>
                <w:b/>
                <w:i/>
              </w:rPr>
              <w:t>η υπονόμευση των οποίων αποτελεί συστημική απειλή</w:t>
            </w:r>
            <w:r>
              <w:t xml:space="preserve"> για τα δικαιώματα </w:t>
            </w:r>
            <w:r>
              <w:rPr>
                <w:b/>
                <w:i/>
              </w:rPr>
              <w:t>και τις ελευθερίες όλων</w:t>
            </w:r>
            <w:r>
              <w:t xml:space="preserve"> όσοι ζουν στην ΕΕ·</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14</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Δ.</w:t>
            </w:r>
            <w:r>
              <w:tab/>
            </w:r>
            <w:r>
              <w:t xml:space="preserve">λαμβάνοντας υπόψη ότι ο κανονισμός για την αιρεσιμότητα εξουσιοδοτεί </w:t>
            </w:r>
            <w:r>
              <w:rPr>
                <w:b/>
                <w:i/>
              </w:rPr>
              <w:t>την ΕΕ</w:t>
            </w:r>
            <w:r>
              <w:t xml:space="preserve"> να θεσπίζει αναλογικά οικονομικά μέτρα για </w:t>
            </w:r>
            <w:r>
              <w:rPr>
                <w:b/>
                <w:i/>
              </w:rPr>
              <w:t>τη διασφάλιση των οικονομικών συμφερόντων</w:t>
            </w:r>
            <w:r>
              <w:t xml:space="preserve"> της </w:t>
            </w:r>
            <w:r>
              <w:rPr>
                <w:b/>
                <w:i/>
              </w:rPr>
              <w:t>όταν</w:t>
            </w:r>
            <w:r>
              <w:t xml:space="preserve"> παραβιάσεις του κράτους δικαίου σε ένα κράτος μέλος επηρεάζουν ή απειλούν σοβαρά να επηρεάσουν τη χρηστή δημοσιονομική διαχείριση του προϋπολογισμού της ΕΕ· λαμβάνοντας υπόψη ότι ο εν λόγω κανονισμός εγκρίθηκε στο πλαίσιο της δέσμης μέτρων για το πολυετές δημοσιονομικό πλαίσιο (ΠΔΠ) 2021-2027, μετά από μακρές και δύσκολες διαπραγματεύσεις μεταξύ των συννομοθετών, ιδίως λόγω των προσπαθειών ορισμένων κρατών μελών να συνδέσουν τις διαπραγματεύσεις για το ΠΔΠ με τις διαπραγματεύσεις για τον μηχανισμό αιρεσιμότητας για το κράτος δικαίου· λαμβάνοντας υπόψη ότι ο κανονισμός έχει δεσμευτικό χαρακτήρα για όλα τα κράτη μέλη από την έναρξη ισχύος του την 1η Ιανουαρίου 2021·</w:t>
            </w:r>
          </w:p>
        </w:tc>
        <w:tc>
          <w:tcPr>
            <w:tcW w:w="4876" w:type="dxa"/>
            <w:tcBorders>
              <w:top w:val="nil"/>
              <w:left w:val="nil"/>
              <w:bottom w:val="nil"/>
              <w:right w:val="nil"/>
            </w:tcBorders>
          </w:tcPr>
          <w:p>
            <w:pPr>
              <w:pStyle w:val="Normal6a"/>
            </w:pPr>
            <w:r>
              <w:t>Δ.</w:t>
            </w:r>
            <w:r>
              <w:tab/>
            </w:r>
            <w:r>
              <w:t xml:space="preserve">λαμβάνοντας υπόψη ότι ο κανονισμός για την αιρεσιμότητα εξουσιοδοτεί </w:t>
            </w:r>
            <w:r>
              <w:rPr>
                <w:b/>
                <w:i/>
              </w:rPr>
              <w:t>το</w:t>
            </w:r>
            <w:r>
              <w:rPr>
                <w:b/>
                <w:i/>
              </w:rPr>
              <w:t xml:space="preserve"> </w:t>
            </w:r>
            <w:r>
              <w:rPr>
                <w:b/>
                <w:i/>
              </w:rPr>
              <w:t>Συμβούλιο</w:t>
            </w:r>
            <w:r>
              <w:t xml:space="preserve"> να θεσπίζει</w:t>
            </w:r>
            <w:r>
              <w:rPr>
                <w:b/>
                <w:i/>
              </w:rPr>
              <w:t>, βάσει πρότασης της Επιτροπής και με ενημέρωση του Κοινοβουλίου,</w:t>
            </w:r>
            <w:r>
              <w:t xml:space="preserve"> αναλογικά οικονομικά μέτρα για </w:t>
            </w:r>
            <w:r>
              <w:rPr>
                <w:b/>
                <w:i/>
              </w:rPr>
              <w:t>την προστασία του προϋπολογισμού</w:t>
            </w:r>
            <w:r>
              <w:t xml:space="preserve"> της </w:t>
            </w:r>
            <w:r>
              <w:rPr>
                <w:b/>
                <w:i/>
              </w:rPr>
              <w:t>ΕΕ από</w:t>
            </w:r>
            <w:r>
              <w:t xml:space="preserve"> παραβιάσεις </w:t>
            </w:r>
            <w:r>
              <w:rPr>
                <w:b/>
                <w:i/>
              </w:rPr>
              <w:t>των αρχών</w:t>
            </w:r>
            <w:r>
              <w:t xml:space="preserve"> του κράτους δικαίου σε ένα κράτος μέλος </w:t>
            </w:r>
            <w:r>
              <w:rPr>
                <w:b/>
                <w:i/>
              </w:rPr>
              <w:t>που</w:t>
            </w:r>
            <w:r>
              <w:t xml:space="preserve"> επηρεάζουν ή απειλούν σοβαρά να επηρεάσουν τη χρηστή δημοσιονομική διαχείριση του προϋπολογισμού της ΕΕ </w:t>
            </w:r>
            <w:r>
              <w:rPr>
                <w:b/>
                <w:i/>
              </w:rPr>
              <w:t>ή τα οικονομικά συμφέροντά της</w:t>
            </w:r>
            <w:r>
              <w:t>· λαμβάνοντας υπόψη ότι ο εν λόγω κανονισμός εγκρίθηκε στο πλαίσιο της δέσμης μέτρων για το πολυετές δημοσιονομικό πλαίσιο (ΠΔΠ) 2021-2027, μετά από μακρές και δύσκολες διαπραγματεύσεις μεταξύ των συννομοθετών, ιδίως λόγω των προσπαθειών ορισμένων κρατών μελών να συνδέσουν τις διαπραγματεύσεις για το ΠΔΠ με τις διαπραγματεύσεις για τον μηχανισμό αιρεσιμότητας για το κράτος δικαίου· λαμβάνοντας υπόψη ότι ο κανονισμός έχει δεσμευτικό χαρακτήρα για όλα τα κράτη μέλη από την έναρξη ισχύος του την 1η Ιανουαρίου 2021·</w:t>
            </w:r>
            <w:r>
              <w:rPr>
                <w:b/>
                <w:i/>
              </w:rPr>
              <w:t xml:space="preserve"> λαμβάνοντας υπόψη ότι το ΠΔΠ 2028-2034 θα πρέπει να διασφαλίζει ότι κάθε νέος μηχανισμός σχεδιάζεται κατά συνεκτικό τρόπο με την αιρεσιμότητα όσον αφορά το κράτος δικαίου·</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15</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ΣΤ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ΣΤ α.</w:t>
            </w:r>
            <w:r>
              <w:tab/>
            </w:r>
            <w:r>
              <w:rPr>
                <w:b/>
                <w:i/>
              </w:rPr>
              <w:t>λαμβάνοντας υπόψη ότι οι συνταγματικές αλλαγές που αποδυναμώνουν την ανεξαρτησία των μέσων ενημέρωσης ή την ελευθερία της έκφρασης και διαβρώνουν τους ελέγχους και τις ισορροπίες συνιστούν άμεση απειλή για τις αξίες που ορίζονται στο άρθρο 2 ΣΕΕ και έχουν απτό αντίκτυπο στην προστασία του προϋπολογισμού της ΕΕ, καθώς υποβαθμίζουν τις συνθήκες για διαφανή εποπτεία των κονδυλίων της ΕΕ·</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16</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ΣΤ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ΣΤ β.</w:t>
            </w:r>
            <w:r>
              <w:tab/>
            </w:r>
            <w:r>
              <w:rPr>
                <w:b/>
                <w:i/>
              </w:rPr>
              <w:t>λαμβάνοντας υπόψη ότι, τον Δεκέμβριο του 2022, ο κανονισμός για την αιρεσιμότητα ενεργοποιήθηκε για πρώτη φορά σε σχέση με την Ουγγαρία, με αποτέλεσμα την αναστολή ποσού 6.3 δισεκατομμυρίων EUR στα ταμεία συνοχής και την απαγόρευση ανάληψης νέων νομικών δεσμεύσεων με ουγγρικά καταπιστεύματα δημόσιου συμφέροντος και οντότητες τις οποίες διατηρούν, λόγω συστημικών παραβιάσεων του κράτους δικαίου που έθεσαν σε κίνδυνο τον προϋπολογισμό της ΕΕ και τα οικονομικά συμφέροντα της ΕΕ, συμπεριλαμβανομένων περιορισμών στην ανεξαρτησία της δικαιοσύνης και των εισαγγελικών αρχών, καθώς και κινδύνων που σχετίζονται με τη διαφθορά και τις ελλείψεις στην εκτέλεση των κονδυλίων της ΕΕ, ιδίως όσον αφορά τις δημόσιες συμβάσεις και τον ρόλο των προαναφερθέντων καταπιστευμάτων δημόσιου συμφέροντος·</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17</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Ζ.</w:t>
            </w:r>
            <w:r>
              <w:tab/>
            </w:r>
            <w:r>
              <w:t>λαμβάνοντας υπόψη ότι η Επιτροπή εξέδωσε μια έκθεση τον Ιανουάριο του 2024, σύμφωνα με το άρθρο 9 του κανονισμού για την αιρεσιμότητα, κάνοντας έναν απολογισμό της εφαρμογής της νομοθεσίας· λαμβάνοντας υπόψη ότι η ανάλυση της μοναδικής διαθέσιμης περίπτωσης από την Επιτροπή επιβεβαίωσε την αποτελεσματικότητα των μέτρων προστασίας που εγκρίθηκαν και τις μελλοντικές τους δυνατότητές, αλλά η Επιτροπή διαπίστωσε ότι ήταν πολύ νωρίς για να εξαχθούν οριστικά συμπεράσματα και ότι η εκτενέστερη περιπτωσιολογική πρακτική θα επέτρεπε τον καλύτερο εντοπισμό πιθανών βελτιώσεων·</w:t>
            </w:r>
          </w:p>
        </w:tc>
        <w:tc>
          <w:tcPr>
            <w:tcW w:w="4876" w:type="dxa"/>
            <w:tcBorders>
              <w:top w:val="nil"/>
              <w:left w:val="nil"/>
              <w:bottom w:val="nil"/>
              <w:right w:val="nil"/>
            </w:tcBorders>
          </w:tcPr>
          <w:p>
            <w:pPr>
              <w:pStyle w:val="Normal6a"/>
            </w:pPr>
            <w:r>
              <w:t>Ζ.</w:t>
            </w:r>
            <w:r>
              <w:tab/>
            </w:r>
            <w:r>
              <w:t>λαμβάνοντας υπόψη ότι η Επιτροπή εξέδωσε μια έκθεση τον Ιανουάριο του 2024, σύμφωνα με το άρθρο 9 του κανονισμού για την αιρεσιμότητα, κάνοντας έναν απολογισμό της εφαρμογής της νομοθεσίας· λαμβάνοντας υπόψη ότι η ανάλυση της μοναδικής διαθέσιμης περίπτωσης από την Επιτροπή επιβεβαίωσε την αποτελεσματικότητα των μέτρων προστασίας που εγκρίθηκαν και τις μελλοντικές τους δυνατότητές, αλλά η Επιτροπή διαπίστωσε ότι ήταν πολύ νωρίς για να εξαχθούν οριστικά συμπεράσματα και ότι η εκτενέστερη περιπτωσιολογική πρακτική θα επέτρεπε τον καλύτερο εντοπισμό πιθανών βελτιώσεων·</w:t>
            </w:r>
            <w:r>
              <w:rPr>
                <w:b/>
                <w:i/>
              </w:rPr>
              <w:t xml:space="preserve"> λαμβάνοντας υπόψη ότι η αξιολόγηση που διενήργησε η Επιτροπή βεβαιώνει ότι στο πλαίσιο του κανονισμού για την αιρεσιμότητα οι προθεσμίες που ορίζονται για την Επιτροπή δεν επιτρέπουν μεγάλη ευελιξία και σε ορισμένα στάδια είναι ιδιαίτερα απαιτητικές· λαμβάνοντας υπόψη ότι, στην περίπτωση της Ουγγαρίας, παρότι στην έκθεση επικροτείται εκτενώς η πρόοδος που έχει επιτευχθεί στο πλαίσιο του κανονισμού για την αιρεσιμότητα, δεν υπογραμμίζεται επαρκώς ο βαθμός στον οποίο παραμένουν ανεπίλυτες οι προκλήσεις·</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18</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Θ</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Θ.</w:t>
            </w:r>
            <w:r>
              <w:tab/>
            </w:r>
            <w:r>
              <w:t>λαμβάνοντας υπόψη ότι σκοπός της παρούσας έκθεσης είναι ο έλεγχος της εφαρμογής του κανονισμού για την αιρεσιμότητα, σύμφωνα με τον ρόλο του Κοινοβουλίου όπως ορίζεται στον κανονισμό, επισημαίνοντας τα οφέλη και τις ελλείψεις της εφαρμογής του και εκδίδοντας συστάσεις για τη μελλοντική εφαρμογή του·</w:t>
            </w:r>
          </w:p>
        </w:tc>
        <w:tc>
          <w:tcPr>
            <w:tcW w:w="4876" w:type="dxa"/>
            <w:tcBorders>
              <w:top w:val="nil"/>
              <w:left w:val="nil"/>
              <w:bottom w:val="nil"/>
              <w:right w:val="nil"/>
            </w:tcBorders>
          </w:tcPr>
          <w:p>
            <w:pPr>
              <w:pStyle w:val="Normal6a"/>
            </w:pPr>
            <w:r>
              <w:t>Θ.</w:t>
            </w:r>
            <w:r>
              <w:tab/>
            </w:r>
            <w:r>
              <w:t>λαμβάνοντας υπόψη ότι σκοπός της παρούσας έκθεσης είναι ο έλεγχος της εφαρμογής του κανονισμού για την αιρεσιμότητα, σύμφωνα με τον ρόλο του Κοινοβουλίου όπως ορίζεται στον κανονισμό, επισημαίνοντας τα οφέλη και τις ελλείψεις της εφαρμογής του και εκδίδοντας συστάσεις για τη μελλοντική εφαρμογή του</w:t>
            </w:r>
            <w:r>
              <w:rPr>
                <w:b/>
                <w:i/>
              </w:rPr>
              <w:t>, καθώς και αξιολογώντας τη συνοχή και την αποτελεσματικότητα του καθεστώτος αιρεσιμότητας σε συνδυασμό με άλλα μέσα της εργαλειοθήκης για το κράτος δικαίου, όπως ο κανονισμός περί κοινών διατάξεων και τα «κορυφαία ορόσημα» που σχετίζονται με το κράτος δικαίου στο πλαίσιο του ΜΑΑ</w:t>
            </w:r>
            <w:r>
              <w:t>·</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19</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εκφράζει την ικανοποίησή του για </w:t>
            </w:r>
            <w:r>
              <w:rPr>
                <w:b/>
                <w:i/>
              </w:rPr>
              <w:t>τη διαβεβαίωση</w:t>
            </w:r>
            <w:r>
              <w:t xml:space="preserve"> του ΔΕΕ ότι ο σεβασμός των αξιών που κατοχυρώνονται στο άρθρο 2 ΣΕΕ αποτελεί διαρκή υποχρέωση των κρατών μελών </w:t>
            </w:r>
            <w:r>
              <w:rPr>
                <w:b/>
                <w:i/>
              </w:rPr>
              <w:t>μετά την προσχώρηση τους στην ΕΕ</w:t>
            </w:r>
            <w:r>
              <w:t xml:space="preserve"> και προϋπόθεση για την άσκηση όλων των δικαιωμάτων και των οφελών που απορρέουν από τη Συνθήκη, συμπεριλαμβανομένης της πρόσβασης σε κονδύλια της ΕΕ· αναθέτει στην Επιτροπή να επισημάνει το εν λόγω σημείο στις δραστηριότητες επικοινωνίας και επιβολής της νομοθεσίας·</w:t>
            </w:r>
          </w:p>
        </w:tc>
        <w:tc>
          <w:tcPr>
            <w:tcW w:w="4876" w:type="dxa"/>
            <w:tcBorders>
              <w:top w:val="nil"/>
              <w:left w:val="nil"/>
              <w:bottom w:val="nil"/>
              <w:right w:val="nil"/>
            </w:tcBorders>
          </w:tcPr>
          <w:p>
            <w:pPr>
              <w:pStyle w:val="Normal6a"/>
            </w:pPr>
            <w:r>
              <w:t>3.</w:t>
            </w:r>
            <w:r>
              <w:tab/>
            </w:r>
            <w:r>
              <w:t>εκφράζει την ικανοποίησή του για</w:t>
            </w:r>
            <w:r>
              <w:t xml:space="preserve"> </w:t>
            </w:r>
            <w:r>
              <w:rPr>
                <w:b/>
                <w:i/>
              </w:rPr>
              <w:t>την επιβεβαίωση</w:t>
            </w:r>
            <w:r>
              <w:t xml:space="preserve"> του ΔΕΕ ότι ο σεβασμός των αξιών που κατοχυρώνονται στο άρθρο 2 ΣΕΕ αποτελεί διαρκή υποχρέωση </w:t>
            </w:r>
            <w:r>
              <w:rPr>
                <w:b/>
                <w:i/>
              </w:rPr>
              <w:t>όλων</w:t>
            </w:r>
            <w:r>
              <w:t xml:space="preserve"> των κρατών μελών και προϋπόθεση για την άσκηση όλων των δικαιωμάτων και των οφελών που απορρέουν από τη Συνθήκη, συμπεριλαμβανομένης της πρόσβασης σε κονδύλια της ΕΕ· αναθέτει στην Επιτροπή να επισημάνει το εν λόγω σημείο στις δραστηριότητες επικοινωνίας και επιβολής της νομοθεσίας</w:t>
            </w:r>
            <w:r>
              <w:rPr>
                <w:b/>
                <w:i/>
                <w:vertAlign w:val="superscript"/>
              </w:rPr>
              <w:t>1α</w:t>
            </w:r>
            <w:r>
              <w:t>·</w:t>
            </w:r>
            <w:r>
              <w:rPr>
                <w:b/>
                <w:i/>
              </w:rPr>
              <w:t xml:space="preserve"> </w:t>
            </w:r>
            <w:r>
              <w:rPr>
                <w:b/>
                <w:i/>
              </w:rPr>
              <w:t>υπογραμμίζει ότι αυτό θα πρέπει να υπενθυμίζεται συχνότερα, καθώς ενισχύει την αξιοπιστία της Ένωσης, και τονίζει ότι οι επιπτώσεις της μη συμμόρφωσης πρέπει επίσης να υπογραμμίζονται επανειλημμένα</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1α</w:t>
            </w:r>
            <w:r>
              <w:t xml:space="preserve"> </w:t>
            </w:r>
            <w:r>
              <w:rPr>
                <w:b/>
                <w:i/>
              </w:rPr>
              <w:t>Αρχή της μη υποβάθμισης· προτάσεις του γενικού εισαγγελέα Campos Sánchez-Bordona της 2ας Δεκεμβρίου 2021, στην υπόθεση C-156/21, Ουγγαρία κατά Ευρωπαϊκού Κοινοβουλίου και Συμβουλίου της Ευρωπαϊκής Ένωσης, ECLI:EU:C:2021:974, σκέψη 214.</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20</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3α.</w:t>
            </w:r>
            <w:r>
              <w:tab/>
            </w:r>
            <w:r>
              <w:t>επικροτεί το γεγονός ότι το ΔΕΕ έχει τονίσει ότι ο προϋπολογισμός της ΕΕ συνιστά βασικό εργαλείο για την υλοποίηση της αρχής της αλληλεγγύης που κατοχυρώνεται στο άρθρο 2 ΣΕΕ — μία από τις θεμελιώδεις αρχές της ΕΕ·</w:t>
            </w:r>
            <w:r>
              <w:rPr>
                <w:b/>
                <w:i/>
              </w:rPr>
              <w:t xml:space="preserve"> επαναλαμβάνει ότι η αλληλεγγύη επιτυγχάνεται με τον επιμερισμό των χρηματοδοτικών πόρων και εξαρτάται από την αμοιβαία εμπιστοσύνη μεταξύ των κρατών μελών, η οποία προϋποθέτει ότι κάθε κράτος μέλος χρησιμοποιεί τα κοινά κονδύλια με υπευθυνότητα και παραμένει προσηλωμένο στην εκπλήρωση των υποχρεώσεών του βάσει του δικαίου της ΕΕ, συμπεριλαμβανομένης της τήρησης των αξιών που κατοχυρώνονται στο άρθρο 2 ΣΕΕ, ιδίως του κράτους δικαίου·</w:t>
            </w:r>
            <w:r>
              <w:rPr>
                <w:vertAlign w:val="superscript"/>
              </w:rPr>
              <w:t>1α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1α</w:t>
            </w:r>
            <w:r>
              <w:t xml:space="preserve"> </w:t>
            </w:r>
            <w:r>
              <w:rPr>
                <w:b/>
                <w:i/>
              </w:rPr>
              <w:t>προαναφερθείσα απόφαση του ΔΕΕ, C-156/21, σκέψη 129.</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21</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τονίζει ότι </w:t>
            </w:r>
            <w:r>
              <w:rPr>
                <w:b/>
                <w:i/>
              </w:rPr>
              <w:t>αυτά τα χρηματοδοτικά</w:t>
            </w:r>
            <w:r>
              <w:t xml:space="preserve"> μέσα δεν πρέπει να θεωρούνται υποκατάστατα των βασιζόμενων στη Συνθήκη μηχανισμών για τη διαφύλαξη των αξιών που κατοχυρώνονται στο άρθρο 2 ΣΕΕ, και υπενθυμίζει ότι η αναστολή των δικαιωμάτων ψήφου δυνάμει του άρθρου 7 παράγραφος 2 ΣΕΕ εξακολουθεί να αποτελεί ενδεχόμενη κύρωση σε περιπτώσεις συνεχιζόμενων και σοβαρών παραβιάσεων του κράτους δικαίου·</w:t>
            </w:r>
          </w:p>
        </w:tc>
        <w:tc>
          <w:tcPr>
            <w:tcW w:w="4876" w:type="dxa"/>
            <w:tcBorders>
              <w:top w:val="nil"/>
              <w:left w:val="nil"/>
              <w:bottom w:val="nil"/>
              <w:right w:val="nil"/>
            </w:tcBorders>
          </w:tcPr>
          <w:p>
            <w:pPr>
              <w:pStyle w:val="Normal6a"/>
            </w:pPr>
            <w:r>
              <w:t>4.</w:t>
            </w:r>
            <w:r>
              <w:tab/>
            </w:r>
            <w:r>
              <w:t xml:space="preserve">τονίζει ότι </w:t>
            </w:r>
            <w:r>
              <w:rPr>
                <w:b/>
                <w:i/>
              </w:rPr>
              <w:t>ο κανονισμός για την αιρεσιμότητα και άλλα δημοσιονομικά</w:t>
            </w:r>
            <w:r>
              <w:t xml:space="preserve"> μέσα δεν πρέπει να θεωρούνται υποκατάστατα των βασιζόμενων στη Συνθήκη μηχανισμών για τη διαφύλαξη των αξιών που κατοχυρώνονται στο άρθρο 2 ΣΕΕ, και υπενθυμίζει ότι η αναστολή των δικαιωμάτων </w:t>
            </w:r>
            <w:r>
              <w:rPr>
                <w:b/>
                <w:i/>
              </w:rPr>
              <w:t>που απορρέουν από την εφαρμογή των Συνθηκών, συμπεριλαμβανομένων, μεταξύ άλλων,</w:t>
            </w:r>
            <w:r>
              <w:rPr>
                <w:b/>
                <w:i/>
              </w:rPr>
              <w:t xml:space="preserve"> των δικαιωμάτων</w:t>
            </w:r>
            <w:r>
              <w:t xml:space="preserve"> ψήφου δυνάμει του άρθρου 7 παράγραφος 2 ΣΕΕ εξακολουθεί να αποτελεί ενδεχόμενη κύρωση σε περιπτώσεις συνεχιζόμενων και σοβαρών παραβιάσεων του κράτους δικαίου</w:t>
            </w:r>
            <w:r>
              <w:t xml:space="preserve"> </w:t>
            </w:r>
            <w:r>
              <w:rPr>
                <w:b/>
                <w:i/>
              </w:rPr>
              <w:t>και ότι, ως εκ τούτου, ο μηχανισμός αυτός δεν «καταστρατηγεί» τη διαδικασία του άρθρου 7 ΣΕΕ, αλλά θα πρέπει να θεωρείται ότι τη συμπληρώνει</w:t>
            </w:r>
            <w:r>
              <w:t>·</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22</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υπενθυμίζει ότι η «εργαλειοθήκη της Επιτροπής για το κράτος δικαίου» έχει εξελιχθεί σημαντικά την τελευταία δεκαετία, με τη συμπερίληψη πολλαπλών μέσων για την προστασία του κράτους δικαίου, συμπεριλαμβανομένης της σχετικής ετήσιας έκθεσης και για τα 27 κράτη μέλη, του οριζόντιου αναγκαίου πρόσφορου όρου για τον Χάρτη βάσει του κανονισμού περί κοινών διατάξεων και των λεγόμενων «κορυφαίων οροσήμων» που σχετίζονται με το κράτος δικαίου στο πλαίσιο του μηχανισμού ανάκαμψης και ανθεκτικότητας (ΜΑΑ)·</w:t>
            </w:r>
          </w:p>
        </w:tc>
        <w:tc>
          <w:tcPr>
            <w:tcW w:w="4876" w:type="dxa"/>
            <w:tcBorders>
              <w:top w:val="nil"/>
              <w:left w:val="nil"/>
              <w:bottom w:val="nil"/>
              <w:right w:val="nil"/>
            </w:tcBorders>
          </w:tcPr>
          <w:p>
            <w:pPr>
              <w:pStyle w:val="Normal6a"/>
            </w:pPr>
            <w:r>
              <w:t>5.</w:t>
            </w:r>
            <w:r>
              <w:tab/>
            </w:r>
            <w:r>
              <w:t>υπενθυμίζει ότι η «εργαλειοθήκη της Επιτροπής για το κράτος δικαίου» έχει εξελιχθεί σημαντικά την τελευταία δεκαετία, με τη συμπερίληψη πολλαπλών μέσων για την προστασία του κράτους δικαίου, συμπεριλαμβανομένης της σχετικής ετήσιας έκθεσης και για τα 27 κράτη μέλη, του οριζόντιου αναγκαίου πρόσφορου όρου για τον Χάρτη βάσει του κανονισμού περί κοινών διατάξεων και των λεγόμενων «κορυφαίων οροσήμων» που σχετίζονται με το κράτος δικαίου στο πλαίσιο του μηχανισμού ανάκαμψης και ανθεκτικότητας (ΜΑΑ)·</w:t>
            </w:r>
            <w:r>
              <w:rPr>
                <w:b/>
                <w:i/>
              </w:rPr>
              <w:t xml:space="preserve"> υπογραμμίζει ότι, ενώ η εξέλιξη της εργαλειοθήκης έχει επιφέρει κάποια πρόοδο, δεν έχει ακόμη αποφέρει επαρκώς απτά αποτελέσματα, κυρίως λόγω της περιορισμένης πολιτικής βούλησης να αξιοποιηθεί στον μέγιστο δυνατό βαθμό·</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23</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τονίζει ότι το καθεστώς αιρεσιμότητας έχει δημοσιονομικό χαρακτήρα, καθώς αποσκοπεί στη διασφάλιση της χρηστής δημοσιονομικής διαχείρισης των κονδυλίων της ΕΕ και των οικονομικών συμφερόντων της, και εφαρμόζεται μόνο όταν μια παραβίαση του κράτους δικαίου επηρεάζει ή απειλεί σοβαρά να επηρεάσει τον προϋπολογισμό της ΕΕ· τονίζει ότι διαφέρει από </w:t>
            </w:r>
            <w:r>
              <w:rPr>
                <w:b/>
                <w:i/>
              </w:rPr>
              <w:t>τη διαδικασία του άρθρου 7</w:t>
            </w:r>
            <w:r>
              <w:t xml:space="preserve"> ΣΕΕ, </w:t>
            </w:r>
            <w:r>
              <w:rPr>
                <w:b/>
                <w:i/>
              </w:rPr>
              <w:t>η</w:t>
            </w:r>
            <w:r>
              <w:t xml:space="preserve"> οποία </w:t>
            </w:r>
            <w:r>
              <w:rPr>
                <w:b/>
                <w:i/>
              </w:rPr>
              <w:t>τιμωρεί τις σοβαρές</w:t>
            </w:r>
            <w:r>
              <w:t xml:space="preserve"> και </w:t>
            </w:r>
            <w:r>
              <w:rPr>
                <w:b/>
                <w:i/>
              </w:rPr>
              <w:t>συνεχείς παραβιάσεις</w:t>
            </w:r>
            <w:r>
              <w:t xml:space="preserve"> των αξιών που ορίζονται στο άρθρο 2 ΣΕΕ·</w:t>
            </w:r>
          </w:p>
        </w:tc>
        <w:tc>
          <w:tcPr>
            <w:tcW w:w="4876" w:type="dxa"/>
            <w:tcBorders>
              <w:top w:val="nil"/>
              <w:left w:val="nil"/>
              <w:bottom w:val="nil"/>
              <w:right w:val="nil"/>
            </w:tcBorders>
          </w:tcPr>
          <w:p>
            <w:pPr>
              <w:pStyle w:val="Normal6a"/>
            </w:pPr>
            <w:r>
              <w:t>6.</w:t>
            </w:r>
            <w:r>
              <w:tab/>
            </w:r>
            <w:r>
              <w:t xml:space="preserve">τονίζει ότι το καθεστώς αιρεσιμότητας έχει δημοσιονομικό χαρακτήρα, καθώς αποσκοπεί στη διασφάλιση της χρηστής δημοσιονομικής διαχείρισης των κονδυλίων της ΕΕ και των οικονομικών συμφερόντων της, και εφαρμόζεται μόνο όταν μια παραβίαση του κράτους δικαίου επηρεάζει ή απειλεί σοβαρά να επηρεάσει τον προϋπολογισμό της ΕΕ· τονίζει ότι διαφέρει από </w:t>
            </w:r>
            <w:r>
              <w:rPr>
                <w:b/>
                <w:i/>
              </w:rPr>
              <w:t xml:space="preserve">τα άρθρα </w:t>
            </w:r>
            <w:r>
              <w:rPr>
                <w:b/>
                <w:i/>
              </w:rPr>
              <w:t>7</w:t>
            </w:r>
            <w:r>
              <w:rPr>
                <w:b/>
                <w:i/>
              </w:rPr>
              <w:t xml:space="preserve"> παράγραφοι 1 και 2</w:t>
            </w:r>
            <w:r>
              <w:t xml:space="preserve"> ΣΕΕ, </w:t>
            </w:r>
            <w:r>
              <w:rPr>
                <w:b/>
                <w:i/>
              </w:rPr>
              <w:t>τα</w:t>
            </w:r>
            <w:r>
              <w:t xml:space="preserve"> οποία </w:t>
            </w:r>
            <w:r>
              <w:rPr>
                <w:b/>
                <w:i/>
              </w:rPr>
              <w:t>αντιμετωπίζουν καταστάσεις στις οποίες υπάρχει σαφής κίνδυνος σοβαρής παραβίασης ή</w:t>
            </w:r>
            <w:r>
              <w:rPr>
                <w:b/>
                <w:i/>
              </w:rPr>
              <w:t xml:space="preserve"> </w:t>
            </w:r>
            <w:r>
              <w:rPr>
                <w:b/>
                <w:i/>
              </w:rPr>
              <w:t>σοβαρής</w:t>
            </w:r>
            <w:r>
              <w:t xml:space="preserve"> και </w:t>
            </w:r>
            <w:r>
              <w:rPr>
                <w:b/>
                <w:i/>
              </w:rPr>
              <w:t>διαρκούς παραβίασης</w:t>
            </w:r>
            <w:r>
              <w:t xml:space="preserve"> των αξιών που ορίζονται στο άρθρο 2 </w:t>
            </w:r>
            <w:r>
              <w:rPr>
                <w:b/>
                <w:i/>
              </w:rPr>
              <w:t>ΣΕΕ</w:t>
            </w:r>
            <w:r>
              <w:rPr>
                <w:b/>
                <w:i/>
              </w:rPr>
              <w:t xml:space="preserve"> και επιτρέπουν στην ΕΕ να εντοπίζει και να αντιδρά σε τέτοιους κινδύνους, μεταξύ άλλων απευθύνοντας συστάσεις στο οικείο κράτος μέλος δυνάμει του άρθρου 7 παράγραφος 1 ΣΕΕ και, κατά περίπτωση, θεσπίζοντας κυρώσεις δυνάμει του άρθρου 7 παράγραφοι 2 και 3</w:t>
            </w:r>
            <w:r>
              <w:t xml:space="preserve"> ΣΕΕ</w:t>
            </w:r>
            <w:r>
              <w:t>·</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24</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υπογραμμίζει ότι οι διαδικασίες επί παραβάσει δυνάμει </w:t>
            </w:r>
            <w:r>
              <w:rPr>
                <w:b/>
                <w:i/>
              </w:rPr>
              <w:t>του άρθρου</w:t>
            </w:r>
            <w:r>
              <w:t> 258 ΣΛΕΕ και του άρθρου 6 του δημοσιονομικού κανονισμού παραμένουν συμπληρωματικά εργαλεία για συστημικές παραβιάσεις των αξιών του άρθρου 2 ΣΕΕ·</w:t>
            </w:r>
          </w:p>
        </w:tc>
        <w:tc>
          <w:tcPr>
            <w:tcW w:w="4876" w:type="dxa"/>
            <w:tcBorders>
              <w:top w:val="nil"/>
              <w:left w:val="nil"/>
              <w:bottom w:val="nil"/>
              <w:right w:val="nil"/>
            </w:tcBorders>
          </w:tcPr>
          <w:p>
            <w:pPr>
              <w:pStyle w:val="Normal6a"/>
            </w:pPr>
            <w:r>
              <w:t>7.</w:t>
            </w:r>
            <w:r>
              <w:tab/>
            </w:r>
            <w:r>
              <w:t xml:space="preserve">υπογραμμίζει ότι οι διαδικασίες επί παραβάσει δυνάμει </w:t>
            </w:r>
            <w:r>
              <w:rPr>
                <w:b/>
                <w:i/>
              </w:rPr>
              <w:t>των άρθρων</w:t>
            </w:r>
            <w:r>
              <w:t xml:space="preserve"> 258 </w:t>
            </w:r>
            <w:r>
              <w:rPr>
                <w:b/>
                <w:i/>
              </w:rPr>
              <w:t>και 260</w:t>
            </w:r>
            <w:r>
              <w:t xml:space="preserve"> ΣΛΕΕ και του άρθρου 6 του δημοσιονομικού κανονισμού παραμένουν συμπληρωματικά εργαλεία για συστημικές παραβιάσεις των αξιών του άρθρου 2 ΣΕΕ·</w:t>
            </w:r>
            <w:r>
              <w:rPr>
                <w:b/>
                <w:i/>
              </w:rPr>
              <w:t xml:space="preserve"> σημειώνει, επιπλέον, ότι η απόφαση του ΔΕΕ στην εκκρεμούσα υπόθεση C-769/22, Επιτροπή κατά Ουγγαρίας (αξίες της Ένωσης), θα μπορούσε να καθιερώσει το άρθρο 2 ΣΕΕ ως αυτοτελή νομική βάση, ενισχύοντας έτσι τις διαδικασίες επί παραβάσει·</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25</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επαινεί τις</w:t>
            </w:r>
            <w:r>
              <w:t xml:space="preserve"> αποφάσεις του ΔΕΕ της 16ης Φεβρουαρίου 2022 για τις υποθέσεις C-156/21 και C-157/21</w:t>
            </w:r>
            <w:r>
              <w:rPr>
                <w:b/>
                <w:i/>
              </w:rPr>
              <w:t>, με τις οποίες</w:t>
            </w:r>
            <w:r>
              <w:t xml:space="preserve"> απέρριψαν στο σύνολό τους τις προσφυγές της Ουγγαρίας και της Πολωνίας για την ακύρωση του κανονισμού για την αιρεσιμότητα και επιβεβαίωσαν κατηγορηματικά την εγκυρότητα, τη νομική βάση και τη συμβατότητα του με τη Συνθήκη, καθώς και τις αρμοδιότητες της ΕΕ όσον αφορά το κράτος δικαίου στα κράτη μέλη·</w:t>
            </w:r>
          </w:p>
        </w:tc>
        <w:tc>
          <w:tcPr>
            <w:tcW w:w="4876" w:type="dxa"/>
            <w:tcBorders>
              <w:top w:val="nil"/>
              <w:left w:val="nil"/>
              <w:bottom w:val="nil"/>
              <w:right w:val="nil"/>
            </w:tcBorders>
          </w:tcPr>
          <w:p>
            <w:pPr>
              <w:pStyle w:val="Normal6a"/>
            </w:pPr>
            <w:r>
              <w:t>8.</w:t>
            </w:r>
            <w:r>
              <w:tab/>
            </w:r>
            <w:r>
              <w:rPr>
                <w:b/>
                <w:i/>
              </w:rPr>
              <w:t>σημειώνει ότι οι</w:t>
            </w:r>
            <w:r>
              <w:t xml:space="preserve"> αποφάσεις του ΔΕΕ της 16ης Φεβρουαρίου 2022 για τις υποθέσεις C-156/21 και C-157/21 απέρριψαν στο σύνολό τους τις προσφυγές της Ουγγαρίας και της Πολωνίας για την ακύρωση του κανονισμού για την αιρεσιμότητα και επιβεβαίωσαν κατηγορηματικά την εγκυρότητα, τη νομική βάση και τη συμβατότητα του με τη Συνθήκη, καθώς και τις αρμοδιότητες της ΕΕ όσον αφορά το κράτος δικαίου στα κράτη μέλη·</w:t>
            </w:r>
            <w:r>
              <w:rPr>
                <w:b/>
                <w:i/>
              </w:rPr>
              <w:t xml:space="preserve"> σημειώνει περαιτέρω ότι, στις ίδιες αυτές αποφάσεις, το ΔΕΕ επιβεβαίωσε ότι οι αξίες που εκφράζονται στο άρθρο 2 ΣΕΕ περιέχουν νομικά δεσμευτικές υποχρεώσεις για τα κράτη μέλη·</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26</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λαμβάνει υπόψη τις πρόσθετες διευκρινίσεις σχετικά με τη διαδικασία που παρείχε η Επιτροπή στις κατευθυντήριες γραμμές του 2022 σχετικά με τον κανονισμό για την αιρεσιμότητα, και την επανεξέταση της πρακτικής εφαρμογής του στην έκθεση εφαρμογής της Επιτροπής το 2024· αποδοκιμάζει, ωστόσο, το γεγονός ότι </w:t>
            </w:r>
            <w:r>
              <w:rPr>
                <w:b/>
                <w:i/>
              </w:rPr>
              <w:t>οι κατευθυντήριες γραμμές εγκρίθηκαν πάνω</w:t>
            </w:r>
            <w:r>
              <w:t xml:space="preserve"> από ένα έτος μετά την έναρξη ισχύος του </w:t>
            </w:r>
            <w:r>
              <w:rPr>
                <w:b/>
                <w:i/>
              </w:rPr>
              <w:t>κανονισμού</w:t>
            </w:r>
            <w:r>
              <w:t xml:space="preserve">, γεγονός </w:t>
            </w:r>
            <w:r>
              <w:rPr>
                <w:b/>
                <w:i/>
              </w:rPr>
              <w:t>που συνέβαλε σε de facto καθυστέρηση στην</w:t>
            </w:r>
            <w:r>
              <w:t xml:space="preserve"> εφαρμογή του·</w:t>
            </w:r>
          </w:p>
        </w:tc>
        <w:tc>
          <w:tcPr>
            <w:tcW w:w="4876" w:type="dxa"/>
            <w:tcBorders>
              <w:top w:val="nil"/>
              <w:left w:val="nil"/>
              <w:bottom w:val="nil"/>
              <w:right w:val="nil"/>
            </w:tcBorders>
          </w:tcPr>
          <w:p>
            <w:pPr>
              <w:pStyle w:val="Normal6a"/>
            </w:pPr>
            <w:r>
              <w:t>9.</w:t>
            </w:r>
            <w:r>
              <w:tab/>
            </w:r>
            <w:r>
              <w:t xml:space="preserve">λαμβάνει υπόψη τις πρόσθετες διευκρινίσεις σχετικά με τη διαδικασία που παρείχε η Επιτροπή στις κατευθυντήριες γραμμές του 2022 σχετικά με τον κανονισμό για την αιρεσιμότητα, και την επανεξέταση της πρακτικής εφαρμογής του στην έκθεση εφαρμογής της Επιτροπής το 2024· αποδοκιμάζει, ωστόσο, το γεγονός ότι </w:t>
            </w:r>
            <w:r>
              <w:rPr>
                <w:b/>
                <w:i/>
              </w:rPr>
              <w:t>η Επιτροπή διέκοψε παράνομα την εφαρμογή του κανονισμού για την αιρεσιμότητα για περισσότερο</w:t>
            </w:r>
            <w:r>
              <w:t xml:space="preserve"> από ένα έτος μετά την έναρξη ισχύος του</w:t>
            </w:r>
            <w:r>
              <w:rPr>
                <w:b/>
                <w:i/>
              </w:rPr>
              <w:t>, ακολουθώντας έτσι τα συμπεράσματα του Ευρωπαϊκού Συμβουλίου</w:t>
            </w:r>
            <w:r>
              <w:t xml:space="preserve">, </w:t>
            </w:r>
            <w:r>
              <w:rPr>
                <w:b/>
                <w:i/>
              </w:rPr>
              <w:t>τα οποία δεν ήταν συμβατά με τον κανονισμό για την αιρεσιμότητα ούτε και δεσμευτικά για την Επιτροπή</w:t>
            </w:r>
            <w:r>
              <w:rPr>
                <w:b/>
                <w:i/>
              </w:rPr>
              <w:t>·</w:t>
            </w:r>
            <w:r>
              <w:rPr>
                <w:b/>
                <w:i/>
              </w:rPr>
              <w:t xml:space="preserve"> </w:t>
            </w:r>
            <w:r>
              <w:rPr>
                <w:b/>
                <w:i/>
              </w:rPr>
              <w:t>εκφράζει εκ νέου τη δυσαρέσκειά του για το</w:t>
            </w:r>
            <w:r>
              <w:t xml:space="preserve"> γεγονός </w:t>
            </w:r>
            <w:r>
              <w:rPr>
                <w:b/>
                <w:i/>
              </w:rPr>
              <w:t>ότι η Επιτροπή ενέκρινε κατευθυντήριες γραμμές για την</w:t>
            </w:r>
            <w:r>
              <w:t xml:space="preserve"> εφαρμογή του </w:t>
            </w:r>
            <w:r>
              <w:rPr>
                <w:b/>
                <w:i/>
              </w:rPr>
              <w:t>κανονισμού για την αιρεσιμότητα, παρότι δεν είχε αποδειχθεί ότι αυτές ήταν αναγκαίες</w:t>
            </w:r>
            <w:r>
              <w:t>·</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27</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10α.</w:t>
            </w:r>
            <w:r>
              <w:tab/>
            </w:r>
            <w:r>
              <w:rPr>
                <w:b/>
                <w:i/>
              </w:rPr>
              <w:t>σημειώνει ότι ο κανονισμός για την αιρεσιμότητα είναι το μόνο μέσο που απαιτεί αξιολόγηση του κατά πόσο άλλα εργαλεία θα μπορούσαν να προστατεύσουν αποτελεσματικότερα τα οικονομικά συμφέροντα της ΕΕ σε περιπτώσεις παραβιάσεων των αρχών του κράτους δικαίου· θεωρεί ότι θα ήταν χρήσιμο να εξεταστεί η πρακτική συνάφεια και η αναλογικότητα αυτής της απαίτησης κατά την εφαρμογή της·</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28</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10β.</w:t>
            </w:r>
            <w:r>
              <w:tab/>
            </w:r>
            <w:r>
              <w:t>σημειώνει ότι, ενώ τα κράτη μέλη έχουν διαφορετικές εθνικές ταυτότητες και παραδόσεις, το κράτος δικαίου αποτελεί κοινή αξία της ΕΕ και των κρατών μελών και αποτελεί μέρος των ίδιων των θεμελίων της ΕΕ και της έννομης τάξης της</w:t>
            </w:r>
            <w:r>
              <w:rPr>
                <w:vertAlign w:val="superscript"/>
              </w:rPr>
              <w:t>1α</w:t>
            </w:r>
            <w:r>
              <w:t>·</w:t>
            </w:r>
            <w:r>
              <w:rPr>
                <w:b/>
                <w:i/>
              </w:rPr>
              <w:t xml:space="preserve"> σημειώνει ότι το κράτος δικαίου μπορεί να οριστεί μέσω έξι αρχών, όπως αναγνωρίζονται από το ΔΕΕ και το Ευρωπαϊκό Δικαστήριο των Δικαιωμάτων του Ανθρώπου και αναπτύχθηκαν από το Συμβούλιο της Ευρώπης, και συγκεκριμένα: i) νομιμότητα, που συνεπάγεται διαφανή, υπεύθυνη, δημοκρατική και πλουραλιστική διαδικασία για τη θέσπιση νόμων, ii) ασφάλεια δικαίου, iii) απαγόρευση της αυθαίρετης άσκησης της εκτελεστικής εξουσίας, iv) αποτελεσματική δικαστική προστασία από ανεξάρτητα και αμερόληπτα δικαστήρια, με αποτελεσματικό δικαστικό έλεγχο, συμπεριλαμβανομένου του σεβασμού των θεμελιωδών δικαιωμάτων, v) διάκριση των εξουσιών και vi) ισότητα ενώπιον του νόμου·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1α</w:t>
            </w:r>
            <w:r>
              <w:t xml:space="preserve"> </w:t>
            </w:r>
            <w:r>
              <w:rPr>
                <w:b/>
                <w:i/>
              </w:rPr>
              <w:t>προαναφερθείσα απόφαση του ΔΕΕ, C-156/21, σκέψη 128</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29</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σημειώνει ότι οι πιθανές παραβιάσεις του κράτους δικαίου τίθενται υπόψη της Επιτροπής μέσω μιας ευρείας βάσης αποδεικτικών στοιχείων, συμπεριλαμβανομένων εκθέσεων της Ευρωπαϊκής Υπηρεσίας Καταπολέμησης της Απάτης (OLAF), της Ευρωπαϊκής Εισαγγελίας (EPPO) και του ΕΕΣ, καθώς και μέσω παρατηρήσεων από οργανώσεις της κοινωνίας των πολιτών, επιχειρήσεις και μάρτυρες δημοσίου συμφέροντος· αποδοκιμάζει έντονα την έλλειψη διαφάνειας όσον αφορά τις αξιολογήσεις της Επιτροπής που δεν οδηγούν στην πρόταση μέτρων ή οδηγούν στην επιλογή άλλου μέσου·</w:t>
            </w:r>
          </w:p>
        </w:tc>
        <w:tc>
          <w:tcPr>
            <w:tcW w:w="4876" w:type="dxa"/>
            <w:tcBorders>
              <w:top w:val="nil"/>
              <w:left w:val="nil"/>
              <w:bottom w:val="nil"/>
              <w:right w:val="nil"/>
            </w:tcBorders>
          </w:tcPr>
          <w:p>
            <w:pPr>
              <w:pStyle w:val="Normal6a"/>
            </w:pPr>
            <w:r>
              <w:t>11.</w:t>
            </w:r>
            <w:r>
              <w:tab/>
            </w:r>
            <w:r>
              <w:t xml:space="preserve">σημειώνει ότι οι πιθανές παραβιάσεις του κράτους δικαίου τίθενται υπόψη της Επιτροπής μέσω μιας ευρείας βάσης αποδεικτικών στοιχείων, συμπεριλαμβανομένων </w:t>
            </w:r>
            <w:r>
              <w:rPr>
                <w:b/>
                <w:i/>
              </w:rPr>
              <w:t>ψηφισμάτων του Ευρωπαϊκού Κοινοβουλίου,</w:t>
            </w:r>
            <w:r>
              <w:t xml:space="preserve"> εκθέσεων της Ευρωπαϊκής Υπηρεσίας Καταπολέμησης της Απάτης (OLAF), της Ευρωπαϊκής Εισαγγελίας (EPPO) και του ΕΕΣ, καθώς και μέσω παρατηρήσεων από οργανώσεις της κοινωνίας των πολιτών, επιχειρήσεις και μάρτυρες δημοσίου συμφέροντος· αποδοκιμάζει έντονα την έλλειψη διαφάνειας όσον αφορά τις αξιολογήσεις της Επιτροπής που δεν οδηγούν στην πρόταση μέτρων ή οδηγούν στην επιλογή άλλου μέσου·</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30</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σημειώνει ότι, μέχρι σήμερα, μόνο ένας πολύ περιορισμένος αριθμός ενδιαφερόμενων μερών έχει χρησιμοποιήσει το τυποποιημένο έντυπο καταγγελίας της Επιτροπής που επισυνάπτεται στις κατευθυντήριες γραμμές του 2022· συνιστά στην Επιτροπή να κάνει δεκτές τις καταγγελίες σε οποιαδήποτε γραπτή μορφή· ζητεί, επιπλέον, τη δημιουργία μιας εμπιστευτικής πύλης υποβολής αναφορών μέσω της οποίας τα ενδιαφερόμενα μέρη θα μπορούν να επισημαίνουν περιπτώσεις μη συμμόρφωσης, επιτρέποντας έτσι την ταχεία λήψη διορθωτικών μέτρων·</w:t>
            </w:r>
          </w:p>
        </w:tc>
        <w:tc>
          <w:tcPr>
            <w:tcW w:w="4876" w:type="dxa"/>
            <w:tcBorders>
              <w:top w:val="nil"/>
              <w:left w:val="nil"/>
              <w:bottom w:val="nil"/>
              <w:right w:val="nil"/>
            </w:tcBorders>
          </w:tcPr>
          <w:p>
            <w:pPr>
              <w:pStyle w:val="Normal6a"/>
            </w:pPr>
            <w:r>
              <w:t>12.</w:t>
            </w:r>
            <w:r>
              <w:tab/>
            </w:r>
            <w:r>
              <w:t>σημειώνει ότι, μέχρι σήμερα, μόνο ένας πολύ περιορισμένος αριθμός ενδιαφερόμενων μερών έχει χρησιμοποιήσει το τυποποιημένο έντυπο καταγγελίας της Επιτροπής που επισυνάπτεται στις κατευθυντήριες γραμμές του 2022· συνιστά στην Επιτροπή να κάνει δεκτές τις καταγγελίες σε οποιαδήποτε γραπτή μορφή</w:t>
            </w:r>
            <w:r>
              <w:rPr>
                <w:b/>
                <w:i/>
              </w:rPr>
              <w:t>, να επιβεβαιώνει αμέσως την παραλαβή κάθε τέτοιας καταγγελίας και να της αποδίδει σαφή αριθμό αναφοράς, καθώς και να ενημερώνει τον καταγγέλλοντα σχετικά με τη συνέχεια που δόθηκε το αργότερο ένα έτος μετά την υποβολή της καταγγελίας</w:t>
            </w:r>
            <w:r>
              <w:t xml:space="preserve">· ζητεί, επιπλέον, τη δημιουργία μιας εμπιστευτικής πύλης υποβολής αναφορών μέσω της οποίας τα ενδιαφερόμενα μέρη θα μπορούν να επισημαίνουν περιπτώσεις μη συμμόρφωσης, επιτρέποντας έτσι την ταχεία λήψη διορθωτικών μέτρων· </w:t>
            </w:r>
            <w:r>
              <w:rPr>
                <w:b/>
                <w:i/>
              </w:rPr>
              <w:t>υπογραμμίζει ότι είναι σημαντικό να αυξηθεί η ευαισθητοποίηση και η προβολή του μηχανισμού· θεωρεί, επιπλέον, ότι κατά την παραλαβή μιας καταγγελίας, η Επιτροπή θα μπορούσε να υιοθετήσει μια πιο υποστηρικτική και διευκολυντική προσέγγιση προκειμένου να διασφαλίσει ότι η καταγγελία περιέχει τα στοιχεία που απαιτούνται για την ορθή αξιολόγησή της·</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31</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αποδοκιμάζει το γεγονός ότι, παρά τα διαδοχικά ανησυχητικά πορίσματα στις ετήσιες εκθέσεις της Επιτροπής για το κράτος δικαίου, καθώς και από την OLAF και την Ευρωπαϊκή Εισαγγελία, τα οποία υποδεικνύουν δημοσιονομικούς κινδύνους σε αρκετά κράτη μέλη, έχουν αποσταλεί μόνο δύο επίσημες κοινοποιήσεις ενώ έχουν ληφθεί μέτρα μόνο για μία υπόθεση στο πλαίσιο του κανονισμού για την αιρεσιμότητα·</w:t>
            </w:r>
          </w:p>
        </w:tc>
        <w:tc>
          <w:tcPr>
            <w:tcW w:w="4876" w:type="dxa"/>
            <w:tcBorders>
              <w:top w:val="nil"/>
              <w:left w:val="nil"/>
              <w:bottom w:val="nil"/>
              <w:right w:val="nil"/>
            </w:tcBorders>
          </w:tcPr>
          <w:p>
            <w:pPr>
              <w:pStyle w:val="Normal6a"/>
            </w:pPr>
            <w:r>
              <w:t>13.</w:t>
            </w:r>
            <w:r>
              <w:tab/>
            </w:r>
            <w:r>
              <w:t>αποδοκιμάζει το γεγονός ότι, παρά τα διαδοχικά ανησυχητικά πορίσματα στις ετήσιες εκθέσεις της Επιτροπής για το κράτος δικαίου</w:t>
            </w:r>
            <w:r>
              <w:t xml:space="preserve"> </w:t>
            </w:r>
            <w:r>
              <w:rPr>
                <w:b/>
                <w:i/>
              </w:rPr>
              <w:t>και τις παρατηρήσεις από οργανώσεις της κοινωνίας των πολιτών</w:t>
            </w:r>
            <w:r>
              <w:t xml:space="preserve">, </w:t>
            </w:r>
            <w:r>
              <w:t>καθώς</w:t>
            </w:r>
            <w:r>
              <w:t xml:space="preserve"> </w:t>
            </w:r>
            <w:r>
              <w:t xml:space="preserve">και από την OLAF και την Ευρωπαϊκή Εισαγγελία, τα οποία υποδεικνύουν δημοσιονομικούς κινδύνους σε αρκετά κράτη μέλη, έχουν αποσταλεί μόνο δύο επίσημες κοινοποιήσεις ενώ έχουν ληφθεί μέτρα μόνο για μία υπόθεση στο πλαίσιο του κανονισμού για την αιρεσιμότητα· </w:t>
            </w:r>
            <w:r>
              <w:rPr>
                <w:b/>
                <w:i/>
              </w:rPr>
              <w:t>τονίζει την ανάγκη για μια πιο θεσμοθετημένη και διαρθρωμένη συνεργασία μεταξύ των σχετικών φορέων στο πλαίσιο αυτό, προκειμένου να διασφαλιστεί η αποτελεσματική χρήση του κανονισμού για την αιρεσιμότητα· σημειώνει ειδικότερα, στο πλαίσιο αυτό, το γεγονός ότι σοβαρά πορίσματα —για τα οποία η Ευρωπαϊκή Εισαγγελία ενημέρωσε την Επιτροπή όσον αφορά την Πολωνία το 2022 και όσον αφορά τη Σλοβακία το 2023— δεν οδήγησαν σε καμία ενέργεια στο πλαίσιο του κανονισμού για την αιρεσιμότητα·</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32</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τονίζει ότι ο κανονισμός για την αιρεσιμότητα πρέπει να εφαρμόζεται με συνέπεια σε όλα τα κράτη μέλη· παροτρύνει την Επιτροπή και, κατά περίπτωση, το Συμβούλιο να ενεργούν ταχέως και με πλήρη διαφάνεια, εάν διαπιστωθεί σύνδεση μεταξύ των παραβιάσεων του κράτους δικαίου και των κινδύνων για τον προϋπολογισμό της ΕΕ, αλλά και εάν το οικείο κράτος μέλος δεν ενεργεί για την αποτελεσματική και βιώσιμη αντιμετώπιση της κατάστασης· επιμένει ότι οι μακροχρόνιοι άτυποι διάλογοι δεν πρέπει να υποκαταστήσουν την αποφασιστική δράση και ότι πρέπει να </w:t>
            </w:r>
            <w:r>
              <w:rPr>
                <w:b/>
                <w:i/>
              </w:rPr>
              <w:t>αποφευχθεί</w:t>
            </w:r>
            <w:r>
              <w:t xml:space="preserve"> το πολιτικό αδιέξοδο ή </w:t>
            </w:r>
            <w:r>
              <w:rPr>
                <w:b/>
                <w:i/>
              </w:rPr>
              <w:t>ο εκβιασμός</w:t>
            </w:r>
            <w:r>
              <w:t>·</w:t>
            </w:r>
          </w:p>
        </w:tc>
        <w:tc>
          <w:tcPr>
            <w:tcW w:w="4876" w:type="dxa"/>
            <w:tcBorders>
              <w:top w:val="nil"/>
              <w:left w:val="nil"/>
              <w:bottom w:val="nil"/>
              <w:right w:val="nil"/>
            </w:tcBorders>
          </w:tcPr>
          <w:p>
            <w:pPr>
              <w:pStyle w:val="Normal6a"/>
            </w:pPr>
            <w:r>
              <w:t>14.</w:t>
            </w:r>
            <w:r>
              <w:tab/>
            </w:r>
            <w:r>
              <w:t xml:space="preserve">τονίζει ότι ο κανονισμός για την αιρεσιμότητα πρέπει να εφαρμόζεται με συνέπεια σε όλα τα κράτη μέλη· παροτρύνει την Επιτροπή και, κατά περίπτωση, το Συμβούλιο να ενεργούν ταχέως και με πλήρη διαφάνεια, εάν διαπιστωθεί σύνδεση μεταξύ των παραβιάσεων του κράτους δικαίου και των κινδύνων για τον προϋπολογισμό της ΕΕ, αλλά και εάν το οικείο κράτος μέλος δεν ενεργεί για την αποτελεσματική και βιώσιμη αντιμετώπιση της κατάστασης· επιμένει ότι οι μακροχρόνιοι άτυποι διάλογοι δεν πρέπει να υποκαταστήσουν την αποφασιστική δράση και ότι πρέπει να </w:t>
            </w:r>
            <w:r>
              <w:rPr>
                <w:b/>
                <w:i/>
              </w:rPr>
              <w:t>αποφευχθούν</w:t>
            </w:r>
            <w:r>
              <w:t xml:space="preserve"> το πολιτικό αδιέξοδο ή </w:t>
            </w:r>
            <w:r>
              <w:rPr>
                <w:b/>
                <w:i/>
              </w:rPr>
              <w:t>οι πολιτικές ακροβασίες</w:t>
            </w:r>
            <w:r>
              <w:rPr>
                <w:b/>
                <w:i/>
              </w:rPr>
              <w:t>·</w:t>
            </w:r>
            <w:r>
              <w:rPr>
                <w:b/>
                <w:i/>
              </w:rPr>
              <w:t xml:space="preserve"> επαναλαμβάνει ότι σε καμία περίπτωση το κράτος δικαίου δεν μπορεί να αποτελέσει αντικείμενο πολιτικών συμβιβασμών·</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33</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τονίζει ότι οι αξιολογήσεις της Επιτροπής πρέπει να είναι αμερόληπτες και δίκαιες, να λαμβάνουν υπόψη όλα τα διαθέσιμα στοιχεία και να σέβονται τις αρχές της αντικειμενικότητας, της απαγόρευσης των διακρίσεων και της ισότητας των κρατών μελών ενώπιον των Συνθηκών· υπογραμμίζει ότι η επιλογή και η κλίμακα των μέτρων δημοσιονομικής προστασίας πρέπει να τηρούν την αρχή της αναλογικότητας που ορίζεται στο άρθρο 5 του κανονισμού για την αιρεσιμότητα, λαμβάνοντας υπόψη τη σοβαρότητα, τη διάρκεια και την επανάληψη της παραβίασης, τη συνεργασία του οικείου κράτους μέλους και τον συγκεκριμένο οικονομικό κίνδυνο, καθώς και τον αντίκτυπο στους νόμιμους τελικούς αποδέκτες και δικαιούχους, ιδίως στους μικρότερους· καλεί την Επιτροπή να δημοσιοποιήσει την ποσοτική μεθοδολογία βαθμολόγησης κινδύνου που εφαρμόζει ήδη εσωτερικά, όπως συνιστά το Ελεγκτικό Συνέδριο·</w:t>
            </w:r>
          </w:p>
        </w:tc>
        <w:tc>
          <w:tcPr>
            <w:tcW w:w="4876" w:type="dxa"/>
            <w:tcBorders>
              <w:top w:val="nil"/>
              <w:left w:val="nil"/>
              <w:bottom w:val="nil"/>
              <w:right w:val="nil"/>
            </w:tcBorders>
          </w:tcPr>
          <w:p>
            <w:pPr>
              <w:pStyle w:val="Normal6a"/>
            </w:pPr>
            <w:r>
              <w:t>15.</w:t>
            </w:r>
            <w:r>
              <w:tab/>
            </w:r>
            <w:r>
              <w:t xml:space="preserve">τονίζει ότι οι αξιολογήσεις της Επιτροπής πρέπει να είναι αμερόληπτες και δίκαιες, να λαμβάνουν υπόψη όλα τα διαθέσιμα στοιχεία και να σέβονται τις αρχές της αντικειμενικότητας, της απαγόρευσης των διακρίσεων και της ισότητας των κρατών μελών ενώπιον των Συνθηκών· υπογραμμίζει ότι η επιλογή και η κλίμακα των μέτρων δημοσιονομικής προστασίας πρέπει να τηρούν την αρχή της αναλογικότητας που ορίζεται στο άρθρο 5 του κανονισμού για την αιρεσιμότητα, λαμβάνοντας υπόψη τη σοβαρότητα, τη διάρκεια και την επανάληψη της παραβίασης, τη συνεργασία του οικείου κράτους μέλους και τον συγκεκριμένο οικονομικό κίνδυνο, καθώς και τον αντίκτυπο στους νόμιμους τελικούς αποδέκτες και δικαιούχους, ιδίως στους μικρότερους· καλεί την Επιτροπή να δημοσιοποιήσει την ποσοτική μεθοδολογία βαθμολόγησης κινδύνου που εφαρμόζει ήδη εσωτερικά, όπως συνιστά το Ελεγκτικό Συνέδριο· </w:t>
            </w:r>
            <w:r>
              <w:rPr>
                <w:b/>
                <w:i/>
              </w:rPr>
              <w:t>υπενθυμίζει τα ανησυχητικά πορίσματα του Ελεγκτικού Συνεδρίου στην ειδική έκθεσή του αριθ. 03/2024, ιδίως ότι τα πολιτικά ζητήματα διαδραματίζουν σημαντικό ρόλο στις αποφάσεις που αφορούν τη μη δέσμευση ή αποδέσμευση κεφαλαίων, γεγονός που καταδεικνύεται συγκεκριμένα από το γεγονός ότι η Επιτροπή δεν έκανε, στο παρελθόν, χρήση του κανονισμού για την αιρεσιμότητα όσον αφορά την Πολωνία και δεν τον αξιοποίησε όσον αφορά τη Σλοβακία, ακόμη και όταν διαπίστωσε παραβιάσεις της αρχής του κράτους δικαίου σχετιζόμενες με τον προϋπολογισμό σε σχέση με τα εν λόγω κράτη μέλη στο πλαίσιο άλλων μέσων·</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34</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κατανοεί ότι ορισμένες πτυχές του κανονισμού για την αιρεσιμότητα δυσχεραίνουν την ενεργοποίηση του μηχανισμού, ιδίως η απαίτηση να αποδεικνύεται επαρκώς άμεση σύνδεση μεταξύ των παραβιάσεων του κράτους δικαίου και του σοβαρού κινδύνου δυσμενών επιπτώσεων στον προϋπολογισμό της ΕΕ· τονίζει, ωστόσο, ότι οι εν λόγω απαιτήσεις δεν θα πρέπει να χρησιμοποιούνται ως αιτιολογία για τη μη ενεργοποίηση του μηχανισμού·</w:t>
            </w:r>
          </w:p>
        </w:tc>
        <w:tc>
          <w:tcPr>
            <w:tcW w:w="4876" w:type="dxa"/>
            <w:tcBorders>
              <w:top w:val="nil"/>
              <w:left w:val="nil"/>
              <w:bottom w:val="nil"/>
              <w:right w:val="nil"/>
            </w:tcBorders>
          </w:tcPr>
          <w:p>
            <w:pPr>
              <w:pStyle w:val="Normal6a"/>
            </w:pPr>
            <w:r>
              <w:t>16.</w:t>
            </w:r>
            <w:r>
              <w:tab/>
            </w:r>
            <w:r>
              <w:t>κατανοεί ότι ορισμένες πτυχές του κανονισμού για την αιρεσιμότητα δυσχεραίνουν την ενεργοποίηση του μηχανισμού, ιδίως η απαίτηση να αποδεικνύεται επαρκώς άμεση σύνδεση μεταξύ των παραβιάσεων του κράτους δικαίου και του σοβαρού κινδύνου δυσμενών επιπτώσεων στον προϋπολογισμό της ΕΕ· τονίζει, ωστόσο, ότι οι εν λόγω απαιτήσεις δεν θα πρέπει να χρησιμοποιούνται ως αιτιολογία για τη μη ενεργοποίηση του μηχανισμού·</w:t>
            </w:r>
            <w:r>
              <w:rPr>
                <w:b/>
                <w:i/>
              </w:rPr>
              <w:t xml:space="preserve"> αποδοκιμάζει, στο πλαίσιο αυτό, το γεγονός ότι η Επιτροπή εφαρμόζει τη στενότερη ερμηνεία του κανονισμού, αποκλείοντας ακόμη και σοβαρές παραβιάσεις που επηρεάζουν κονδύλια της ΕΕ από την εφαρμογή του· </w:t>
            </w:r>
            <w:r>
              <w:rPr>
                <w:b/>
                <w:i/>
              </w:rPr>
              <w:t>επαναλαμβάνει ότι ο κανονισμός ορίζει σαφώς ότι η υπονόμευση της ανεξαρτησίας της δικαιοσύνης και ο περιορισμός της διαθεσιμότητας και της αποτελεσματικότητας των μέσων παροχής έννομης προστασίας, μεταξύ άλλων μέσω περιοριστικών διαδικαστικών κανόνων και της μη εφαρμογής των δικαστικών αποφάσεων, συνιστούν παραβίαση των αρχών του κράτους δικαίου</w:t>
            </w:r>
            <w:r>
              <w:rPr>
                <w:b/>
                <w:i/>
                <w:vertAlign w:val="superscript"/>
              </w:rPr>
              <w:t>1α</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1α</w:t>
            </w:r>
            <w:r>
              <w:t xml:space="preserve"> </w:t>
            </w:r>
            <w:r>
              <w:rPr>
                <w:b/>
                <w:i/>
              </w:rPr>
              <w:t>ΕΕ C 465 της 6.12.2022, σ. 147.</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35</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16α.</w:t>
            </w:r>
            <w:r>
              <w:tab/>
            </w:r>
            <w:r>
              <w:rPr>
                <w:b/>
                <w:i/>
              </w:rPr>
              <w:t>υπογραμμίζει ότι, ακόμη και όταν οι ελλείψεις του κράτους δικαίου είναι γενικού χαρακτήρα και επηρεάζουν το νομικό σύστημα κράτους μέλους στο σύνολό του, όπως παραβιάσεις της ανεξαρτησίας της δικαιοσύνης, της αποτελεσματικότητας των εισαγγελικών αρχών, των ανώτατων ελεγκτικών οργάνων ή της πολυφωνίας των μέσων ενημέρωσης, οι ελλείψεις αυτές μπορούν να επηρεάσουν τον προϋπολογισμό της ΕΕ με άμεσο και σοβαρό τρόπο, καταργώντας συστημικές διασφαλίσεις κατά δόλιων και άλλων παράνομων δραστηριοτήτων· τονίζει ότι η έννοια του άμεσου αντικτύπου στον προϋπολογισμό της ΕΕ δεν πρέπει να ερμηνεύεται υπό την έννοια ότι περιορίζει το πεδίο εφαρμογής του κανονισμού για την αιρεσιμότητα μόνο σε ζητήματα που σχετίζονται ειδικά με την εκτέλεση του προϋπολογισμού, όπως η νομοθεσία για τις δημόσιες συμβάσεις, δεδομένου ότι η προσέγγιση αυτή απλώς θα ενθάρρυνε τους κακόπιστους φορείς να υπονομεύσουν ευρύτερα τις εγγυήσεις του κράτος δικαίου·</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36</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16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16β.</w:t>
            </w:r>
            <w:r>
              <w:tab/>
            </w:r>
            <w:r>
              <w:rPr>
                <w:b/>
                <w:i/>
              </w:rPr>
              <w:t>υπενθυμίζει ότι η αναποτελεσματική ή καθυστερημένη συνεργασία ενός κράτους μέλους με την Ευρωπαϊκή Εισαγγελία ή την OLAF συνιστά λόγο δράσης βάσει του κανονισμού για την αιρεσιμότητα· τονίζει, επιπλέον, την ανάγκη να αναπτυχθούν πιο συγκεκριμένες μορφές συνεργασίας με τα αρμόδια όργανα και οργανισμούς της ΕΕ, ώστε να διασφαλιστεί η αποτελεσματική προστασία των οικονομικών συμφερόντων της ΕΕ· ζητεί, επιπλέον, να καθιερωθεί η προσχώρηση στην Ευρωπαϊκή Εισαγγελία ως προϋπόθεση για τις υποψήφιες χώρες που επιθυμούν να ενταχθούν στην ΕΕ, προκειμένου να αποφευχθούν καταστάσεις στις οποίες ορισμένα κράτη μέλη αρνούνται να συμμετάσχουν σε αυτόν τον μηχανισμό·</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37</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16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16γ.</w:t>
            </w:r>
            <w:r>
              <w:tab/>
            </w:r>
            <w:r>
              <w:rPr>
                <w:b/>
                <w:i/>
              </w:rPr>
              <w:t>τονίζει ότι, στο πλαίσιο των προσπαθειών της να διασφαλίσει την αποτελεσματικότερη δυνατή προστασία των οικονομικών συμφερόντων της, η ΕΕ έχει ξεκινήσει προπαρασκευαστικές εργασίες για την επανεξέταση της αρχιτεκτονικής της για την καταπολέμηση της απάτης, με σκοπό τη βελτίωση της αποτελεσματικότητας μεταξύ των σχετικών φορέων και την αποφυγή επικαλύψεων σε κάθε στάδιο του κύκλου καταπολέμησης της απάτης, συμπεριλαμβανομένων της πρόληψης, του εντοπισμού, της διερεύνησης, της διόρθωσης και της ανάκτησης των σχετικών ποσών· υπογραμμίζει ότι οι εργασίες αυτές θα πρέπει να συνδέονται στενά με την εφαρμογή του κανονισμού για την αιρεσιμότητα, ώστε να εξασφαλίζεται η συνοχή και η συμπληρωματικότητα όσον αφορά τη διασφάλιση του προϋπολογισμού της ΕΕ·</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38</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16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16δ.</w:t>
            </w:r>
            <w:r>
              <w:tab/>
            </w:r>
            <w:r>
              <w:rPr>
                <w:b/>
                <w:i/>
              </w:rPr>
              <w:t>σημειώνει ότι, σύμφωνα με την αξιολόγηση της Επιτροπής το 2024, η διαδικασία στο πλαίσιο του κανονισμού για την αιρεσιμότητα είναι σχετικά ταχεία, αλλά ότι οι προθεσμίες που έχει θέσει η Επιτροπή δεν επιτρέπουν μεγάλη ευελιξία και σε ορισμένες φάσεις είναι ιδιαίτερα απαιτητικές· τονίζει ότι, όπως επισημαίνεται στην έκθεση της Επιτροπής, η αποτελεσματικότητα της διαδικασίας θα μπορούσε να βελτιωθεί εάν, κατά την υποβολή των παρατηρήσεών του στην Επιτροπή, το κράτος μέλος παρουσίαζε επίσης τις απόψεις, εφόσον υπάρχουν, των κυβερνητικών φορέων τους οποίους αφορούν τα μέτρα, επιτρέποντας έτσι μια πιο λεπτομερή αξιολόγηση των ζητημάτων που διακυβεύονται και των μέτρων που θα ήταν πιο αποτελεσματικά· υπογραμμίζει ότι, εάν κριθεί σκόπιμο, θα πρέπει τουλάχιστον να υπάρχει σαφήνεια σχετικά με τον τρόπο με τον οποίο πρέπει αυτή η απαίτηση να γίνεται κατανοητή και να εφαρμόζεται·</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39</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Σημειώνει ότι το Συμβούλιο αποφάσισε να αναστείλει το 55 % των δημοσιονομικών υποχρεώσεων για τρία επιχειρησιακά προγράμματα στο πλαίσιο της πολιτικής συνοχής για την Ουγγαρία· επισημαίνει τη νομική ανάλυση</w:t>
            </w:r>
            <w:r>
              <w:rPr>
                <w:vertAlign w:val="superscript"/>
              </w:rPr>
              <w:t>17</w:t>
            </w:r>
            <w:r>
              <w:t xml:space="preserve"> που καταδεικνύει ότι ο συστημικός και διαρκής χαρακτήρας των παραβιάσεων του κράτους δικαίου στην Ουγγαρία θα έπρεπε να είχε οδηγήσει σε σαφώς αυστηρότερη αναστολή της χρηματοδότησης της ΕΕ, προκειμένου να προστατευθεί ο προϋπολογισμός της ΕΕ σύμφωνα με την αρχή της αναλογικότητας· σημειώνει ότι οι επανεκτιμήσεις της Επιτροπής του Δεκεμβρίου 2023 και του Δεκεμβρίου 2024 σχετικά με την κατάσταση στην Ουγγαρία κατέληξαν αμφότερες στο συμπέρασμα ότι η κατάσταση που οδήγησε στην έγκριση μέτρων δεν έχει διορθωθεί· καλεί την Επιτροπή να αξιολογήσει και να αντιμετωπίσει την οπισθοδρόμηση του κράτους δικαίου είτε προτείνοντας πρόσθετα μέτρα είτε επικαιροποιώντας τα υφιστάμενα·</w:t>
            </w:r>
          </w:p>
        </w:tc>
        <w:tc>
          <w:tcPr>
            <w:tcW w:w="4876" w:type="dxa"/>
            <w:tcBorders>
              <w:top w:val="nil"/>
              <w:left w:val="nil"/>
              <w:bottom w:val="nil"/>
              <w:right w:val="nil"/>
            </w:tcBorders>
          </w:tcPr>
          <w:p>
            <w:pPr>
              <w:pStyle w:val="Normal6a"/>
            </w:pPr>
            <w:r>
              <w:t>17.</w:t>
            </w:r>
            <w:r>
              <w:tab/>
            </w:r>
            <w:r>
              <w:t xml:space="preserve">Σημειώνει ότι το Συμβούλιο αποφάσισε να αναστείλει το 55 % των δημοσιονομικών υποχρεώσεων για τρία επιχειρησιακά προγράμματα στο πλαίσιο της πολιτικής συνοχής για την Ουγγαρία </w:t>
            </w:r>
            <w:r>
              <w:rPr>
                <w:b/>
                <w:i/>
              </w:rPr>
              <w:t>και να απαγορεύσει την ανάληψη νέων νομικών δεσμεύσεων με ουγγρικά καταπιστεύματα δημοσίου συμφέροντος και οντότητες τις οποίες διατηρούν</w:t>
            </w:r>
            <w:r>
              <w:t>· επισημαίνει τη νομική ανάλυση</w:t>
            </w:r>
            <w:r>
              <w:rPr>
                <w:vertAlign w:val="superscript"/>
              </w:rPr>
              <w:t>17</w:t>
            </w:r>
            <w:r>
              <w:t xml:space="preserve"> που καταδεικνύει ότι ο συστημικός και διαρκής χαρακτήρας των παραβιάσεων του κράτους δικαίου στην Ουγγαρία θα έπρεπε να είχε οδηγήσει σε σαφώς αυστηρότερη αναστολή της χρηματοδότησης της ΕΕ, προκειμένου να προστατευθεί ο προϋπολογισμός της ΕΕ σύμφωνα με την αρχή της αναλογικότητας· σημειώνει ότι οι επανεκτιμήσεις της Επιτροπής του Δεκεμβρίου 2023 και του Δεκεμβρίου 2024 σχετικά με την κατάσταση στην Ουγγαρία κατέληξαν αμφότερες στο συμπέρασμα ότι η κατάσταση που οδήγησε στην έγκριση μέτρων δεν έχει διορθωθεί· καλεί την Επιτροπή να αξιολογήσει και να αντιμετωπίσει την οπισθοδρόμηση του κράτους δικαίου είτε προτείνοντας πρόσθετα μέτρα είτε επικαιροποιώντας τα υφιστάμενα</w:t>
            </w:r>
            <w:r>
              <w:rPr>
                <w:b/>
                <w:i/>
              </w:rPr>
              <w:t>, ώστε να ευθυγραμμιστούν με την προαναφερθείσα νομική ανάλυση</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Μελέτη κατόπιν αιτήματος του Daniel Freund, βουλευτή του ΕΚ στην ομάδα Greens/EFA – Lane Scheppele, K., Kelemen, R. D., Morijn, J., «Freezing all EU funds to Hungary: A legal analysis of why a 100 % suspension is “proportionate” and “appropriate” under Regulation 2020/2092 on a general regime of conditionality for the protection of the Union budget», Μάιος 2022.</w:t>
            </w:r>
          </w:p>
        </w:tc>
        <w:tc>
          <w:tcPr>
            <w:tcW w:w="4876" w:type="dxa"/>
            <w:tcBorders>
              <w:top w:val="nil"/>
              <w:left w:val="nil"/>
              <w:bottom w:val="nil"/>
              <w:right w:val="nil"/>
            </w:tcBorders>
          </w:tcPr>
          <w:p>
            <w:pPr>
              <w:pStyle w:val="Normal6a"/>
            </w:pPr>
            <w:r>
              <w:rPr>
                <w:vertAlign w:val="superscript"/>
              </w:rPr>
              <w:t>17</w:t>
            </w:r>
            <w:r>
              <w:t xml:space="preserve"> </w:t>
            </w:r>
            <w:r>
              <w:t>Μελέτη κατόπιν αιτήματος του Daniel Freund, βουλευτή του ΕΚ στην ομάδα Greens/EFA – Lane Scheppele, K., Kelemen, R. D., Morijn, J., «Freezing all EU funds to Hungary: A legal analysis of why a 100 % suspension is “proportionate” and “appropriate” under Regulation 2020/2092 on a general regime of conditionality for the protection of the Union budget», Μάιος 2022.</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40</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υπενθυμίζει ότι ο κανονισμός για την αιρεσιμότητα ορίζει ρητά ότι συμπληρώνει τα υφιστάμενα εργαλεία προστασίας του προϋπολογισμού και πρέπει να εφαρμόζεται «σε περιπτώσεις όπου άλλες διαδικασίες που προβλέπονται στην ενωσιακή νομοθεσία δεν θα επέτρεπαν την αποτελεσματικότερη προστασία του προϋπολογισμού της Ένωσης»· αποδοκιμάζει την ερμηνεία της Επιτροπής ότι, βάσει αυτής της διατύπωσης, το μέσο θα πρέπει να χρησιμοποιείται μόνο ως μέτρο έσχατης ανάγκης· σημειώνει με ανησυχία ότι αρμόδιες για την παρακολούθηση του κράτους δικαίου είναι διάφορες υπηρεσίες της Επιτροπής, γεγονός που ενίοτε οδηγεί σε ασυνεπή και καθυστερημένη δράση·</w:t>
            </w:r>
          </w:p>
        </w:tc>
        <w:tc>
          <w:tcPr>
            <w:tcW w:w="4876" w:type="dxa"/>
            <w:tcBorders>
              <w:top w:val="nil"/>
              <w:left w:val="nil"/>
              <w:bottom w:val="nil"/>
              <w:right w:val="nil"/>
            </w:tcBorders>
          </w:tcPr>
          <w:p>
            <w:pPr>
              <w:pStyle w:val="Normal6a"/>
            </w:pPr>
            <w:r>
              <w:t>20.</w:t>
            </w:r>
            <w:r>
              <w:tab/>
            </w:r>
            <w:r>
              <w:t>υπενθυμίζει ότι ο κανονισμός για την αιρεσιμότητα ορίζει ρητά ότι συμπληρώνει τα υφιστάμενα εργαλεία προστασίας του προϋπολογισμού και πρέπει να εφαρμόζεται «σε περιπτώσεις όπου άλλες διαδικασίες που προβλέπονται στην ενωσιακή νομοθεσία δεν θα επέτρεπαν την αποτελεσματικότερη προστασία του προϋπολογισμού της Ένωσης»· αποδοκιμάζει την ερμηνεία της Επιτροπής ότι, βάσει αυτής της διατύπωσης, το μέσο θα πρέπει να χρησιμοποιείται μόνο ως μέτρο έσχατης ανάγκης· σημειώνει με ανησυχία ότι αρμόδιες για την παρακολούθηση του κράτους δικαίου είναι διάφορες υπηρεσίες</w:t>
            </w:r>
            <w:r>
              <w:t xml:space="preserve"> </w:t>
            </w:r>
            <w:r>
              <w:rPr>
                <w:b/>
                <w:i/>
              </w:rPr>
              <w:t>εντός</w:t>
            </w:r>
            <w:r>
              <w:t xml:space="preserve"> της Επιτροπής, γεγονός που ενίοτε οδηγεί σε ασυνεπή και καθυστερημένη δράση </w:t>
            </w:r>
            <w:r>
              <w:rPr>
                <w:b/>
                <w:i/>
              </w:rPr>
              <w:t>ή και σε πλήρη έλλειψη δράσης</w:t>
            </w:r>
            <w:r>
              <w:t>·</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41</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θεωρεί ασαφή τον τρόπο με τον οποίο ο κανονισμός για την αιρεσιμότητα αλληλοεπιδρά με άλλα μέσα της εργαλειοθήκης για το κράτος δικαίου στην πράξη, ιδίως με τον οριζόντιο αναγκαίο πρόσφορο όρο για τον Χάρτη στο πλαίσιο του κανονισμού περί κοινών διατάξεων και με τα «κορυφαία ορόσημα» που σχετίζονται με το κράτος δικαίου στο πλαίσιο του ΜΑΑ· αποδοκιμάζει το γεγονός ότι, τον Δεκέμβριο του 2023, η Επιτροπή έκρινε ότι η Ουγγαρία είχε εκπληρώσει τον οριζόντιο αναγκαίο πρόσφορο όρο για την ανεξαρτησία της δικαιοσύνης, διατηρώντας παράλληλα τα μέτρα που επιβλήθηκαν βάσει του κανονισμού για την αιρεσιμότητα· υπογραμμίζει ότι αυτή η έλλειψη συνοχής εμποδίζει τον δημοκρατικό έλεγχο της εφαρμογής τους·</w:t>
            </w:r>
          </w:p>
        </w:tc>
        <w:tc>
          <w:tcPr>
            <w:tcW w:w="4876" w:type="dxa"/>
            <w:tcBorders>
              <w:top w:val="nil"/>
              <w:left w:val="nil"/>
              <w:bottom w:val="nil"/>
              <w:right w:val="nil"/>
            </w:tcBorders>
          </w:tcPr>
          <w:p>
            <w:pPr>
              <w:pStyle w:val="Normal6a"/>
            </w:pPr>
            <w:r>
              <w:t>21.</w:t>
            </w:r>
            <w:r>
              <w:tab/>
            </w:r>
            <w:r>
              <w:t xml:space="preserve">θεωρεί ασαφή τον τρόπο με τον οποίο ο κανονισμός για την αιρεσιμότητα αλληλοεπιδρά με άλλα μέσα της εργαλειοθήκης για το κράτος δικαίου στην πράξη, ιδίως με τον οριζόντιο αναγκαίο πρόσφορο όρο για τον Χάρτη στο πλαίσιο του κανονισμού περί κοινών διατάξεων και με τα «κορυφαία ορόσημα» που σχετίζονται με το κράτος δικαίου στο πλαίσιο του ΜΑΑ· αποδοκιμάζει το γεγονός ότι, τον Δεκέμβριο του 2023, η Επιτροπή έκρινε ότι η Ουγγαρία είχε εκπληρώσει τον οριζόντιο αναγκαίο πρόσφορο όρο για την ανεξαρτησία της δικαιοσύνης, διατηρώντας παράλληλα τα μέτρα που επιβλήθηκαν βάσει του κανονισμού για την αιρεσιμότητα· </w:t>
            </w:r>
            <w:r>
              <w:rPr>
                <w:b/>
                <w:i/>
              </w:rPr>
              <w:t>σημειώνει, για παράδειγμα, περαιτέρω ότι στην Πολωνία ορισμένα κονδύλια δεν αποδεσμεύτηκαν επειδή δεν είχε εκπληρωθεί ένας οριζόντιος αναγκαίος πρόσφορος όρος ή επειδή δεν είχαν επιτευχθεί «κορυφαία ορόσημα», ενώ οι λόγοι για τη μη εφαρμογή του κανονισμού για την αιρεσιμότητα δεν τεκμηριώνονταν·</w:t>
            </w:r>
            <w:r>
              <w:t xml:space="preserve"> υπογραμμίζει ότι αυτή η έλλειψη συνοχής εμποδίζει τον δημοκρατικό έλεγχο της εφαρμογής τους· </w:t>
            </w:r>
            <w:r>
              <w:rPr>
                <w:b/>
                <w:i/>
              </w:rPr>
              <w:t>επαναλαμβάνει τη θέση του ότι η απόφαση της Επιτροπής είναι παράνομη, όπως εικάζεται στην εκκρεμή προσφυγή του Κοινοβουλίου κατά της Επιτροπής στην υπόθεση C-225/24, ιδίως λόγω της παραβίασης πολλαπλών ουσιαστικών διατάξεων του κανονισμού περί κοινών διατάξεων, της υποχρέωσης της Επιτροπής να αιτιολογεί την απόφασή της και της κατάχρησης εξουσίας της με τη μορφή πολιτικού συμβιβασμού για την άρση της αρνησικυρίας της Ουγγαρίας σε σχέση με επείγουσες αποφάσεις που απαιτούν ομοφωνία στο Ευρωπαϊκό Συμβούλιο·</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42</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προειδοποιεί</w:t>
            </w:r>
            <w:r>
              <w:t xml:space="preserve"> ότι </w:t>
            </w:r>
            <w:r>
              <w:rPr>
                <w:b/>
                <w:i/>
              </w:rPr>
              <w:t>η ανακατανομή</w:t>
            </w:r>
            <w:r>
              <w:t xml:space="preserve"> ή </w:t>
            </w:r>
            <w:r>
              <w:rPr>
                <w:b/>
                <w:i/>
              </w:rPr>
              <w:t>αναπροσαρμογή</w:t>
            </w:r>
            <w:r>
              <w:t xml:space="preserve"> των </w:t>
            </w:r>
            <w:r>
              <w:rPr>
                <w:b/>
                <w:i/>
              </w:rPr>
              <w:t>δεσμευμένων πιστώσεων σε άλλα προγράμματα ή στόχους για τις μη συμμορφούμενες κυβερνήσεις ότι οι απώλειες μπορούν να αντισταθμιστούν αλλού</w:t>
            </w:r>
            <w:r>
              <w:t>· παροτρύνει, συνεπώς, την Επιτροπή να απορρίπτει κάθε αίτημα μεταφοράς σε άλλα προγράμματα ή προτεραιότητες στο πλαίσιο του ίδιου προγράμματος που θα οδηγούσε σε καταστρατήγηση των αναστολών βάσει του κανονισμού για την αιρεσιμότητα· ζητεί από την Επιτροπή να διαβιβάσει στο Κοινοβούλιο το πλήρες κείμενο κάθε τέτοιου αιτήματος μεταφοράς, ώστε ο δημοκρατικός έλεγχος να προηγείται, και όχι να ακολουθεί, της απόφασης της Επιτροπής·</w:t>
            </w:r>
          </w:p>
        </w:tc>
        <w:tc>
          <w:tcPr>
            <w:tcW w:w="4876" w:type="dxa"/>
            <w:tcBorders>
              <w:top w:val="nil"/>
              <w:left w:val="nil"/>
              <w:bottom w:val="nil"/>
              <w:right w:val="nil"/>
            </w:tcBorders>
          </w:tcPr>
          <w:p>
            <w:pPr>
              <w:pStyle w:val="Normal6a"/>
            </w:pPr>
            <w:r>
              <w:t>23.</w:t>
            </w:r>
            <w:r>
              <w:tab/>
            </w:r>
            <w:r>
              <w:rPr>
                <w:b/>
                <w:i/>
              </w:rPr>
              <w:t>τονίζει</w:t>
            </w:r>
            <w:r>
              <w:t xml:space="preserve"> ότι </w:t>
            </w:r>
            <w:r>
              <w:rPr>
                <w:b/>
                <w:i/>
              </w:rPr>
              <w:t>δεν πρέπει να χρησιμοποιηθούν μεταφορές, τροποποιήσεις των προγραμμάτων</w:t>
            </w:r>
            <w:r>
              <w:t xml:space="preserve"> ή </w:t>
            </w:r>
            <w:r>
              <w:rPr>
                <w:b/>
                <w:i/>
              </w:rPr>
              <w:t>αναπροσαρμογές, συμπεριλαμβανομένων</w:t>
            </w:r>
            <w:r>
              <w:t xml:space="preserve"> των </w:t>
            </w:r>
            <w:r>
              <w:rPr>
                <w:b/>
                <w:i/>
              </w:rPr>
              <w:t>υποχρεώσεων και των πληρωμών, για την αντιστάθμιση των μέτρων στο πλαίσιο του κανονισμού για την αιρεσιμότητα ή του κανονισμού περί κοινών διατάξεων</w:t>
            </w:r>
            <w:r>
              <w:t>·</w:t>
            </w:r>
            <w:r>
              <w:t xml:space="preserve"> παροτρύνει, συνεπώς, την Επιτροπή να απορρίπτει κάθε αίτημα μεταφοράς σε άλλα προγράμματα ή προτεραιότητες στο πλαίσιο του ίδιου προγράμματος που θα οδηγούσε σε καταστρατήγηση των αναστολών βάσει του κανονισμού για την αιρεσιμότητα </w:t>
            </w:r>
            <w:r>
              <w:rPr>
                <w:b/>
                <w:i/>
              </w:rPr>
              <w:t>αλλά και του κανονισμού περί κοινών διατάξεων</w:t>
            </w:r>
            <w:r>
              <w:t>· ζητεί από την Επιτροπή να διαβιβάσει στο Κοινοβούλιο το πλήρες κείμενο κάθε τέτοιου αιτήματος μεταφοράς, ώστε ο δημοκρατικός έλεγχος να προηγείται, και όχι να ακολουθεί, της απόφασης της Επιτροπής·</w:t>
            </w:r>
            <w:r>
              <w:rPr>
                <w:b/>
                <w:i/>
              </w:rPr>
              <w:t xml:space="preserve"> υπενθυμίζει τη δέσμευση που ανέλαβε η Επιτροπή κατά την έγκριση της αναθεωρημένης δέσμης μέτρων για την πολιτική συνοχής να διασφαλίσει ότι οι νέοι μηχανισμοί ευελιξίας δεν μπορούν να χρησιμοποιηθούν για την καταστρατήγηση των μέτρων που εγκρίθηκαν στο πλαίσιο του κανονισμού για την αιρεσιμότητα ή του κανονισμού περί κοινών διατάξεων· καλεί την Επιτροπή και τα κράτη μέλη να τηρήσουν πλήρως τη δέσμευση αυτή στην πράξη, ώστε να διαφυλαχθεί το αποτρεπτικό αποτέλεσμα και η ακεραιότητα του πλαισίου αιρεσιμότητας για το κράτος δικαίου· τονίζει ότι οι εν λόγω μεταφορές θα πρέπει να θεωρούνται νομικά απαράδεκτες· καλεί την Επιτροπή να διασφαλίσει τη θέσπιση νομικών εγγυήσεων για τον σκοπό αυτό, μεταξύ άλλων στο πλαίσιο του ΠΔΠ 2028-2034·</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43</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23α.</w:t>
            </w:r>
            <w:r>
              <w:tab/>
            </w:r>
            <w:r>
              <w:rPr>
                <w:b/>
                <w:i/>
              </w:rPr>
              <w:t>επιδοκιμάζει την πρόταση της Επιτροπής να ενισχύσει τη σύνδεση μεταξύ των συστάσεων της έκθεσης για το κράτος δικαίου και της χρηματοδοτικής στήριξης στο πλαίσιο του ΠΔΠ 2028-2034 και να γενικεύσει όσον αφορά το κράτος δικαίου το σχέδιο στρατηγικής «μεταρρύθμιση έναντι κονδυλίων» που αναπτύχθηκε στο πλαίσιο του ΜΑΑ μετά την πανδημία COVID-19 στο πλαίσιο των εθνικών και περιφερειακών σχεδίων εταιρικής σχέσης· τονίζει ότι η αξιολόγηση των όρων και των κριτηρίων αναφοράς για το κράτος δικαίου στο πλαίσιο του ΠΔΠ 2028-2034 πρέπει να βασίζεται σε αμερόληπτη εξειδικευμένη εμπειρογνωμοσύνη και όχι σε πολιτικές συμφωνίες, και ότι ο στόχος αυτός πρέπει να διασφαλίζεται και να διατηρείται κατά τη διαδικασία για τη διενέργεια της εν λόγω αξιολόγησης και την εξαγωγή κατάλληλων συμπερασμάτων από τα αποτελέσματά της· σημειώνει, στο πλαίσιο αυτό, ότι οι αποφάσεις που απευθύνονται στα κράτη μέλη σχετικά με την τήρηση της αρχής του κράτους δικαίου και των ανθρωπίνων δικαιωμάτων θα πρέπει να εγκρίνονται από την Επιτροπή ως θεματοφύλακα των Συνθηκών και όχι από το Συμβούλιο, το οποίο μπορεί να είναι απρόθυμο να αναλάβει δράση που θα είχε αρνητικές επιπτώσεις στα κράτη μέλη· επισημαίνει ότι η διαδικασία κατ’ εξουσιοδότηση πράξης επιτρέπει την ανάληψη ταχείας δράσης από την Επιτροπή, διασφαλίζοντας παράλληλα τον πολιτικό έλεγχο από το Κοινοβούλιο και το Συμβούλιο·</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44</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επαναλαμβάνει ότι το Κοινοβούλιο λαμβάνει πολύ σοβαρά υπόψη τον ελεγκτικό του ρόλο όσον αφορά την εφαρμογή του κανονισμού για την αιρεσιμότητα· αναγνωρίζει ότι η Επιτροπή έχει συμμορφωθεί με τη νομική της υποχρέωση να ενημερώνει αμέσως το Κοινοβούλιο για τυχόν μέτρα που προτείνονται, εγκρίνονται ή αίρονται· αποδοκιμάζει το γεγονός ότι η Επιτροπή παρείχε μόνο ελάχιστες δυνατές πληροφορίες, χωρίς βασικές λεπτομέρειες, και, ακόμη και κατόπιν αιτήματος του Κοινοβουλίου, δεν κοινοποίησε την πλήρη τεκμηρίωση· τονίζει ότι η έγκαιρη, ολοκληρωμένη και προορατική ανταλλαγή πληροφοριών είναι απαραίτητη για την αποτελεσματική άσκηση των δημοσιονομικών και εποπτικών αρμοδιοτήτων του Κοινοβουλίου·</w:t>
            </w:r>
          </w:p>
        </w:tc>
        <w:tc>
          <w:tcPr>
            <w:tcW w:w="4876" w:type="dxa"/>
            <w:tcBorders>
              <w:top w:val="nil"/>
              <w:left w:val="nil"/>
              <w:bottom w:val="nil"/>
              <w:right w:val="nil"/>
            </w:tcBorders>
          </w:tcPr>
          <w:p>
            <w:pPr>
              <w:pStyle w:val="Normal6a"/>
            </w:pPr>
            <w:r>
              <w:t>25.</w:t>
            </w:r>
            <w:r>
              <w:tab/>
            </w:r>
            <w:r>
              <w:t xml:space="preserve">επαναλαμβάνει ότι το Κοινοβούλιο λαμβάνει πολύ σοβαρά υπόψη τον ελεγκτικό του ρόλο όσον αφορά την εφαρμογή του κανονισμού για την αιρεσιμότητα </w:t>
            </w:r>
            <w:r>
              <w:rPr>
                <w:b/>
                <w:i/>
              </w:rPr>
              <w:t>και υπενθυμίζει ότι, σύμφωνα με το άρθρο 8 του κανονισμού, η Επιτροπή ενημερώνει αμέσως το Κοινοβούλιο για τυχόν μέτρα που προτείνονται, εγκρίνονται ή αίρονται σύμφωνα με τα άρθρα 5, 6 και 7 του κανονισμού</w:t>
            </w:r>
            <w:r>
              <w:t>· αναγνωρίζει ότι η Επιτροπή έχει συμμορφωθεί με τη νομική της υποχρέωση να ενημερώνει αμέσως το Κοινοβούλιο για τυχόν μέτρα που προτείνονται, εγκρίνονται ή αίρονται· αποδοκιμάζει το γεγονός ότι η Επιτροπή παρείχε μόνο ελάχιστες δυνατές πληροφορίες, χωρίς βασικές λεπτομέρειες, και, ακόμη και κατόπιν αιτήματος του Κοινοβουλίου, δεν κοινοποίησε την πλήρη τεκμηρίωση· τονίζει ότι η έγκαιρη, ολοκληρωμένη και προορατική ανταλλαγή πληροφοριών είναι απαραίτητη για την αποτελεσματική άσκηση των δημοσιονομικών και εποπτικών αρμοδιοτήτων του Κοινοβουλίου·</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45</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27.</w:t>
            </w:r>
            <w:r>
              <w:tab/>
            </w:r>
            <w:r>
              <w:rPr>
                <w:b/>
                <w:i/>
              </w:rPr>
              <w:t>παροτρύνει την Επιτροπή να συμφωνήσει σε έναν ασφαλή δίαυλο επικοινωνίας για τη διασφάλιση της πρόσβασης των αρμόδιων οργάνων του Κοινοβουλίου στις εν λόγω πληροφορίες, διασφαλίζοντας παράλληλα την εμπιστευτικότητά τους·</w:t>
            </w:r>
          </w:p>
        </w:tc>
        <w:tc>
          <w:tcPr>
            <w:tcW w:w="4876" w:type="dxa"/>
            <w:tcBorders>
              <w:top w:val="nil"/>
              <w:left w:val="nil"/>
              <w:bottom w:val="nil"/>
              <w:right w:val="nil"/>
            </w:tcBorders>
          </w:tcPr>
          <w:p>
            <w:pPr>
              <w:pStyle w:val="Normal6a"/>
            </w:pPr>
            <w:r>
              <w:rPr>
                <w:b/>
                <w:i/>
              </w:rPr>
              <w:t>διαγράφεται</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46</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28α.</w:t>
            </w:r>
            <w:r>
              <w:tab/>
            </w:r>
            <w:r>
              <w:rPr>
                <w:b/>
                <w:i/>
              </w:rPr>
              <w:t>πιστεύει, γενικότερα, ότι θα πρέπει να ενισχυθεί ο διοργανικός διάλογος και η συνεργασία σε επίπεδο ΕΕ όσον αφορά το κράτος δικαίου· αποδοκιμάζει το γεγονός ότι η Επιτροπή και το Συμβούλιο έχουν μέχρι στιγμής απορρίψει την πρότασή του που αφορά τη σύναψη διοργανικής συμφωνίας για τη δημοκρατία, το κράτος δικαίου και τα θεμελιώδη δικαιώματα· επαναβεβαιώνει τη βούλησή του να επαναλάβει τις συνομιλίες για μια τέτοια συμφωνία·</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47</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28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28β.</w:t>
            </w:r>
            <w:r>
              <w:tab/>
            </w:r>
            <w:r>
              <w:rPr>
                <w:b/>
                <w:i/>
              </w:rPr>
              <w:t>υπενθυμίζει ότι, σύμφωνα με το άρθρο 9 του κανονισμού για την αιρεσιμότητα, η Επιτροπή υποβάλλει μέχρι τις 12 Ιανουαρίου 2024 έκθεση στο Κοινοβούλιο και στο Συμβούλιο σχετικά με την εφαρμογή του, ιδίως όσον αφορά την αποτελεσματικότητα των θεσπισθέντων μέτρων· σημειώνει ότι η Επιτροπή έχει διενεργήσει δεόντως την εν λόγω διαδικασία υποβολής εκθέσεων· παροτρύνει την Επιτροπή —δεδομένου ότι ο κανονισμός πρόκειται να εφαρμοστεί χωρίς χρονικό περιορισμό— να υποβάλλει σχετική έκθεση κάθε χρόνο·</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48</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υπενθυμίζει τις ειδικές διατάξεις του κανονισμού για την αιρεσιμότητα και των κατευθυντήριων γραμμών του 2022 που υποχρεώνουν την ΕΕ να διαφυλάσσει τα έννομα συμφέροντα των τελικών αποδεκτών και των δικαιούχων από τις οικονομικές συνέπειες των κυρώσεων που επιβάλλονται στις κυβερνήσεις τους· υπενθυμίζει, συγκεκριμένα, την υποχρέωση των κρατών μελών που υπόκεινται σε μέτρα δυνάμει του κανονισμού να συνεχίσουν να τηρούν όλες τις δεσμεύσεις έναντι των τελικών αποδεκτών και δικαιούχων·</w:t>
            </w:r>
          </w:p>
        </w:tc>
        <w:tc>
          <w:tcPr>
            <w:tcW w:w="4876" w:type="dxa"/>
            <w:tcBorders>
              <w:top w:val="nil"/>
              <w:left w:val="nil"/>
              <w:bottom w:val="nil"/>
              <w:right w:val="nil"/>
            </w:tcBorders>
          </w:tcPr>
          <w:p>
            <w:pPr>
              <w:pStyle w:val="Normal6a"/>
            </w:pPr>
            <w:r>
              <w:t>29.</w:t>
            </w:r>
            <w:r>
              <w:tab/>
            </w:r>
            <w:r>
              <w:t xml:space="preserve">υπενθυμίζει τις ειδικές διατάξεις του κανονισμού για την αιρεσιμότητα και των κατευθυντήριων γραμμών του 2022 που υποχρεώνουν την ΕΕ να διαφυλάσσει τα έννομα συμφέροντα των τελικών αποδεκτών και των δικαιούχων από τις οικονομικές συνέπειες των κυρώσεων που επιβάλλονται στις κυβερνήσεις τους· </w:t>
            </w:r>
            <w:r>
              <w:rPr>
                <w:b/>
                <w:i/>
              </w:rPr>
              <w:t>εκφράζει την ανησυχία του για το γεγονός ότι η αναστολή παροχής ενωσιακών κονδυλίων θα μπορούσε να χρησιμοποιηθεί καταχρηστικά ως μέσο πίεσης κατά της κοινωνίας των πολιτών και των τοπικών αρχών για την επίτευξη πολιτικών στόχων·</w:t>
            </w:r>
            <w:r>
              <w:t xml:space="preserve"> υπενθυμίζει, συγκεκριμένα, την υποχρέωση των κρατών μελών που υπόκεινται σε μέτρα δυνάμει του κανονισμού να συνεχίσουν να τηρούν όλες τις δεσμεύσεις έναντι των τελικών αποδεκτών και δικαιούχων·</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49</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αποδοκιμάζει το γεγονός ότι, στην πράξη, οι προβλεπόμενες διασφαλίσεις παραμένουν σε μεγάλο βαθμό θεωρητικές, δεδομένου ότι οι διαδικασίες για την άμεση πληρωμή ή την αναδρομολόγηση των κονδυλίων είναι επαχθείς και η επικοινωνία με τους τελικούς αποδέκτες και τους δικαιούχους είναι σποραδική· αναγνωρίζει ότι πρέπει να καταβληθούν περισσότερες προσπάθειες σε επίπεδο ΕΕ για τη βελτίωση της προστασίας των νόμιμων συμφερόντων των τελικών αποδεκτών και δικαιούχων και για τη διασφάλιση της πρόσβασής τους στη χρηματοδότηση της ΕΕ·</w:t>
            </w:r>
          </w:p>
        </w:tc>
        <w:tc>
          <w:tcPr>
            <w:tcW w:w="4876" w:type="dxa"/>
            <w:tcBorders>
              <w:top w:val="nil"/>
              <w:left w:val="nil"/>
              <w:bottom w:val="nil"/>
              <w:right w:val="nil"/>
            </w:tcBorders>
          </w:tcPr>
          <w:p>
            <w:pPr>
              <w:pStyle w:val="Normal6a"/>
            </w:pPr>
            <w:r>
              <w:t>30.</w:t>
            </w:r>
            <w:r>
              <w:tab/>
            </w:r>
            <w:r>
              <w:t xml:space="preserve">αποδοκιμάζει το γεγονός ότι, στην πράξη, οι προβλεπόμενες διασφαλίσεις παραμένουν σε μεγάλο βαθμό θεωρητικές, δεδομένου ότι οι διαδικασίες για την άμεση πληρωμή ή την αναδρομολόγηση των κονδυλίων είναι επαχθείς και η επικοινωνία με τους τελικούς αποδέκτες και τους δικαιούχους είναι σποραδική· </w:t>
            </w:r>
            <w:r>
              <w:rPr>
                <w:b/>
                <w:i/>
              </w:rPr>
              <w:t xml:space="preserve">επικροτεί τη δηλωθείσα πρόθεση της Επιτροπής στην πρότασή της για το ΠΔΠ 2028-2034 να ενισχυθεί η προστασία των τελικών αποδεκτών και δικαιούχων· υπογραμμίζει, ωστόσο, ότι η δέσμευση αυτή πρέπει να μετουσιωθεί σε αποτελεσματικές διασφαλίσεις στην πράξη, και τονίζει ότι, δεδομένων των ελλείψεων που παρατηρούνται στο ισχύον πλαίσιο, θα πρέπει να καθοριστούν σαφείς και συγκεκριμένοι μηχανισμοί για τη διασφάλιση της πραγματικής προστασίας των δικαιούχων· εκφράζει την ανησυχία του για το γεγονός ότι η προτεινόμενη δομή του ΠΔΠ 2028-2034 ενδέχεται να δυσχεράνει ακόμη περισσότερο την προστασία των τελικών αποδεκτών και δικαιούχων, παρέχοντας στις κυβερνήσεις των κρατών μελών μεγαλύτερο έλεγχο επί της διαχείρισης των κονδυλίων της ΕΕ· </w:t>
            </w:r>
            <w:r>
              <w:t>αναγνωρίζει ότι πρέπει να καταβληθούν περισσότερες προσπάθειες σε επίπεδο ΕΕ για τη βελτίωση της προστασίας των νόμιμων συμφερόντων των τελικών αποδεκτών και δικαιούχων και για τη διασφάλιση της πρόσβασής τους στη χρηματοδότηση της ΕΕ·</w:t>
            </w:r>
            <w:r>
              <w:rPr>
                <w:b/>
                <w:i/>
              </w:rPr>
              <w:t xml:space="preserve"> λαμβάνει υπόψη το άρθρο 15 παράγραφος 4 του σχεδίου κανονισμού για το Ταμείο ΕΠΕΣ και τονίζει ότι θα πρέπει να υπάρχει υποχρέωση διάθεσης των πιστώσεων που αντιστοιχούν σε ανακλήσεις υποχρεώσεων βάσει του καθεστώτος αιρεσιμότητας για χρήση στο πλαίσιο άλλων μέσων ή προγραμμάτων της ΕΕ που υλοποιούνται υπό άμεση ή έμμεση διαχείριση, ιδίως εκείνων που συμβάλλουν στην υποστήριξη της δημοκρατίας, της κοινωνίας των πολιτών στην Ευρώπη, των αξιών της ΕΕ ή της καταπολέμησης της διαφθοράς, τουλάχιστον εν μέρει, στο κράτος μέλος στο οποίο διαπράχθηκαν οι παραβιάσεις του κράτους δικαίου·</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50</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παρατηρεί με ανησυχία ότι σε ορισμένα κράτη μέλη, οι κλεπτοκρατικές ολιγαρχικές δομές αναλαμβάνουν συστηματικά τομείς στρατηγικής σημασίας, όπως ο τραπεζικός τομέας, το λιανικό εμπόριο, τα τρόφιμα, η φαρμακευτική, οι κατασκευές και η τεχνολογία, γεγονός ενδέχεται να εγκυμονεί κινδύνους για την προστασία του προϋπολογισμού της ΕΕ, για παράδειγμα όταν οι δομές αυτές υποβάλλουν αίτηση για κονδύλια της ΕΕ· υπογραμμίζει τη σημασία της διασφάλισης ίσων ευκαιριών για όλους τους αιτούντες όσον αφορά την πρόσβαση τόσο στη χρηματοδότηση της ΕΕ όσο και σε αμερόληπτους και αποτελεσματικούς μηχανισμούς υποβολής καταγγελιών·</w:t>
            </w:r>
          </w:p>
        </w:tc>
        <w:tc>
          <w:tcPr>
            <w:tcW w:w="4876" w:type="dxa"/>
            <w:tcBorders>
              <w:top w:val="nil"/>
              <w:left w:val="nil"/>
              <w:bottom w:val="nil"/>
              <w:right w:val="nil"/>
            </w:tcBorders>
          </w:tcPr>
          <w:p>
            <w:pPr>
              <w:pStyle w:val="Normal6a"/>
            </w:pPr>
            <w:r>
              <w:t>31.</w:t>
            </w:r>
            <w:r>
              <w:tab/>
            </w:r>
            <w:r>
              <w:t>παρατηρεί με ανησυχία ότι σε ορισμένα κράτη μέλη, οι κλεπτοκρατικές ολιγαρχικές δομές αναλαμβάνουν συστηματικά τομείς στρατηγικής σημασίας, όπως ο τραπεζικός τομέας, το λιανικό εμπόριο, τα τρόφιμα, η φαρμακευτική, οι κατασκευές και η τεχνολογία, γεγονός ενδέχεται να εγκυμονεί κινδύνους για την προστασία του προϋπολογισμού της ΕΕ, για παράδειγμα όταν οι δομές αυτές υποβάλλουν αίτηση για κονδύλια της ΕΕ· υπογραμμίζει τη σημασία της διασφάλισης ίσων ευκαιριών για όλους τους αιτούντες όσον αφορά την πρόσβαση τόσο στη χρηματοδότηση της ΕΕ όσο και σε αμερόληπτους και αποτελεσματικούς μηχανισμούς υποβολής καταγγελιών·</w:t>
            </w:r>
            <w:r>
              <w:rPr>
                <w:b/>
                <w:i/>
              </w:rPr>
              <w:t xml:space="preserve"> παροτρύνει την Επιτροπή να διενεργεί συστηματικούς ελέγχους της κατανομής των ενωσιακών κονδυλίων προκειμένου να προλαμβάνονται οι συγκρούσεις συμφερόντων, η εργαλειοποίηση για πολιτικούς σκοπούς ή η αδιαφάνεια στην κατανομή των κονδυλίων σε εθνικό επίπεδο·</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51</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θεωρεί</w:t>
            </w:r>
            <w:r>
              <w:rPr>
                <w:b/>
                <w:i/>
              </w:rPr>
              <w:t>, με βάση την περιορισμένη εμπειρία, ότι το καθεστώς αιρεσιμότητας έχει αποτελέσει αποτελεσματικό εργαλείο</w:t>
            </w:r>
            <w:r>
              <w:t xml:space="preserve"> για την προστασία των οικονομικών συμφερόντων της ΕΕ από κινδύνους που απορρέουν από παραβιάσεις του κράτους δικαίου· επιμένει, </w:t>
            </w:r>
            <w:r>
              <w:rPr>
                <w:b/>
                <w:i/>
              </w:rPr>
              <w:t>συνεπώς</w:t>
            </w:r>
            <w:r>
              <w:t>, ότι πρέπει να εξακολουθήσει να εφαρμόζεται στο σύνολο του προϋπολογισμού της ΕΕ, συμπεριλαμβανομένων των μέσων που βασίζονται στις επιδόσεις, ούτως ώστε καμία γραμμή δαπανών της ΕΕ να μην διαφεύγει του αποτελεσματικού ελέγχου του κράτους δικαίου· παροτρύνει την Επιτροπή να διασφαλίσει ότι ο κανονισμός για την αιρεσιμότητα εφαρμόζεται με συνέπεια στον προϋπολογισμό της ΕΕ, ανεξάρτητα από το μοντέλο χρηματοδότησής του·</w:t>
            </w:r>
          </w:p>
        </w:tc>
        <w:tc>
          <w:tcPr>
            <w:tcW w:w="4876" w:type="dxa"/>
            <w:tcBorders>
              <w:top w:val="nil"/>
              <w:left w:val="nil"/>
              <w:bottom w:val="nil"/>
              <w:right w:val="nil"/>
            </w:tcBorders>
          </w:tcPr>
          <w:p>
            <w:pPr>
              <w:pStyle w:val="Normal6a"/>
            </w:pPr>
            <w:r>
              <w:t>32.</w:t>
            </w:r>
            <w:r>
              <w:tab/>
            </w:r>
            <w:r>
              <w:t xml:space="preserve">θεωρεί </w:t>
            </w:r>
            <w:r>
              <w:rPr>
                <w:b/>
                <w:i/>
              </w:rPr>
              <w:t>ότι ενδέχεται να είναι πολύ νωρίς για να γίνουν οριστικές δηλώσεις για την αποτελεσματικότητα αυτού του εργαλείου</w:t>
            </w:r>
            <w:r>
              <w:t xml:space="preserve"> για την προστασία των οικονομικών συμφερόντων της ΕΕ από κινδύνους που απορρέουν από παραβιάσεις του κράτους δικαίου </w:t>
            </w:r>
            <w:r>
              <w:rPr>
                <w:b/>
                <w:i/>
              </w:rPr>
              <w:t>και τονίζει ότι, όπως κάθε μέσο, παραμένει ανοικτό προς βελτίωση</w:t>
            </w:r>
            <w:r>
              <w:t xml:space="preserve">· Επιμένει, </w:t>
            </w:r>
            <w:r>
              <w:rPr>
                <w:b/>
                <w:i/>
              </w:rPr>
              <w:t>ωστόσο</w:t>
            </w:r>
            <w:r>
              <w:t>, ότι πρέπει να εξακολουθήσει να εφαρμόζεται στο σύνολο του προϋπολογισμού της ΕΕ, συμπεριλαμβανομένων των μέσων που βασίζονται στις επιδόσεις, ούτως ώστε καμία γραμμή δαπανών της ΕΕ να μην διαφεύγει του αποτελεσματικού ελέγχου του κράτους δικαίου· παροτρύνει την Επιτροπή να διασφαλίσει ότι ο κανονισμός για την αιρεσιμότητα εφαρμόζεται με συνέπεια στον προϋπολογισμό της ΕΕ, ανεξάρτητα από το μοντέλο χρηματοδότησής του·</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52</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καλεί την Επιτροπή να αναθεωρήσει επειγόντως τις κατευθυντήριες γραμμές του 2022 προκειμένου: να αντιμετωπίσει πιο άμεσα τον κίνδυνο εκτροπής ή ανακατανομής κεφαλαίων· να δημοσιεύσει μια μεθοδολογία που να δείχνει βήμα προς βήμα τον τρόπο υπολογισμού της αναλογικότητας· να ορίσει μια «επαρκώς άμεση σχέση» μεταξύ μιας παραβίασης του κανόνα δικαίου και ενός δημοσιονομικού κινδύνου· να απαιτείται σαφέστερη σύνδεση μεταξύ των παραβιάσεων και των μέτρων που λαμβάνονται, μεταξύ άλλων μέσω ακριβέστερων προδιαγραφών για τις εν λόγω παραβάσεις· και να παρέχει σαφείς λύσεις και πρακτικά μέτρα σε περιπτώσεις αναστροφής·</w:t>
            </w:r>
          </w:p>
        </w:tc>
        <w:tc>
          <w:tcPr>
            <w:tcW w:w="4876" w:type="dxa"/>
            <w:tcBorders>
              <w:top w:val="nil"/>
              <w:left w:val="nil"/>
              <w:bottom w:val="nil"/>
              <w:right w:val="nil"/>
            </w:tcBorders>
          </w:tcPr>
          <w:p>
            <w:pPr>
              <w:pStyle w:val="Normal6a"/>
            </w:pPr>
            <w:r>
              <w:t>34.</w:t>
            </w:r>
            <w:r>
              <w:tab/>
            </w:r>
            <w:r>
              <w:t xml:space="preserve">καλεί την Επιτροπή να αναθεωρήσει επειγόντως τις κατευθυντήριες γραμμές του 2022 προκειμένου: να αντιμετωπίσει πιο άμεσα τον κίνδυνο εκτροπής ή ανακατανομής κεφαλαίων· να δημοσιεύσει μια μεθοδολογία που να δείχνει βήμα προς βήμα τον τρόπο υπολογισμού </w:t>
            </w:r>
            <w:r>
              <w:rPr>
                <w:b/>
                <w:i/>
              </w:rPr>
              <w:t>ή εκτίμησης</w:t>
            </w:r>
            <w:r>
              <w:t xml:space="preserve"> της αναλογικότητας</w:t>
            </w:r>
            <w:r>
              <w:rPr>
                <w:b/>
                <w:i/>
              </w:rPr>
              <w:t>, καθώς και της αποτελεσματικότητας των διορθωτικών μέτρων</w:t>
            </w:r>
            <w:r>
              <w:t>· να ορίσει μια «επαρκώς άμεση σχέση» μεταξύ μιας παραβίασης του κανόνα δικαίου και ενός δημοσιονομικού κινδύνου</w:t>
            </w:r>
            <w:r>
              <w:rPr>
                <w:b/>
                <w:i/>
              </w:rPr>
              <w:t>, συμπεριλαμβανομένων πρακτικών παραδειγμάτων</w:t>
            </w:r>
            <w:r>
              <w:t>· να απαιτείται σαφέστερη σύνδεση μεταξύ των παραβιάσεων και των μέτρων που λαμβάνονται, μεταξύ άλλων μέσω ακριβέστερων προδιαγραφών για τις εν λόγω παραβάσεις</w:t>
            </w:r>
            <w:r>
              <w:t xml:space="preserve"> </w:t>
            </w:r>
            <w:r>
              <w:rPr>
                <w:b/>
                <w:i/>
              </w:rPr>
              <w:t>και διευκρινίσεων σχετικά με τις απαιτήσεις για προορατική παρακολούθηση</w:t>
            </w:r>
            <w:r>
              <w:t>· και να παρέχει σαφείς λύσεις και πρακτικά μέτρα σε περιπτώσεις αναστροφής·</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53</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καλεί την Επιτροπή, στο πλαίσιο αυτό, να επανεξετάσει την ερμηνεία του κανονισμού για την αιρεσιμότητα ως μέσου έσχατης ανάγκης και να είναι πιο προορατική στη χρήση του, συμπεριλαμβανομένης της εφαρμογής του άρθρου 6 παράγραφος 4, σεβόμενη παράλληλα την αρχή της αναλογικότητας·</w:t>
            </w:r>
          </w:p>
        </w:tc>
        <w:tc>
          <w:tcPr>
            <w:tcW w:w="4876" w:type="dxa"/>
            <w:tcBorders>
              <w:top w:val="nil"/>
              <w:left w:val="nil"/>
              <w:bottom w:val="nil"/>
              <w:right w:val="nil"/>
            </w:tcBorders>
          </w:tcPr>
          <w:p>
            <w:pPr>
              <w:pStyle w:val="Normal6a"/>
            </w:pPr>
            <w:r>
              <w:t>35.</w:t>
            </w:r>
            <w:r>
              <w:tab/>
            </w:r>
            <w:r>
              <w:t xml:space="preserve">καλεί την Επιτροπή, στο πλαίσιο αυτό, </w:t>
            </w:r>
            <w:r>
              <w:t xml:space="preserve">να </w:t>
            </w:r>
            <w:r>
              <w:rPr>
                <w:b/>
                <w:i/>
              </w:rPr>
              <w:t>αναλύσει την αξιολόγησή της σχετικά με την αντίστοιχη προστιθέμενη αξία και τους περιορισμούς των διάφορων εργαλείων δημοσιονομικής αιρεσιμότητας,</w:t>
            </w:r>
            <w:r>
              <w:rPr>
                <w:b/>
                <w:i/>
              </w:rPr>
              <w:t xml:space="preserve"> να</w:t>
            </w:r>
            <w:r>
              <w:t xml:space="preserve"> επανεξετάσει την ερμηνεία του κανονισμού για την αιρεσιμότητα ως μέσου έσχατης ανάγκης και να είναι πιο προορατική στη χρήση του, συμπεριλαμβανομένης της εφαρμογής του άρθρου 6 παράγραφος 4, σεβόμενη παράλληλα την αρχή της αναλογικότητας·</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54</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ζητεί από την Επιτροπή, στο πλαίσιο της αξιολόγησης της αναλογικότητας, να εξετάζει συστηματικά τις συνέπειες για τους τελικούς δικαιούχους, ιδίως τους μικρότερους, όπως, μεταξύ άλλων, τα πανεπιστήμια, τις μικρές και μεσαίες επιχειρήσεις και τις οργανώσεις της κοινωνίας των πολιτών, και να αποτυπώνει την εν λόγω ανάλυση στον φάκελο που διαβιβάζεται στο Κοινοβούλιο σύμφωνα με το άρθρο 8 του κανονισμού για την αιρεσιμότητα·</w:t>
            </w:r>
          </w:p>
        </w:tc>
        <w:tc>
          <w:tcPr>
            <w:tcW w:w="4876" w:type="dxa"/>
            <w:tcBorders>
              <w:top w:val="nil"/>
              <w:left w:val="nil"/>
              <w:bottom w:val="nil"/>
              <w:right w:val="nil"/>
            </w:tcBorders>
          </w:tcPr>
          <w:p>
            <w:pPr>
              <w:pStyle w:val="Normal6a"/>
            </w:pPr>
            <w:r>
              <w:t>36.</w:t>
            </w:r>
            <w:r>
              <w:tab/>
            </w:r>
            <w:r>
              <w:t>ζητεί από την Επιτροπή, στο πλαίσιο της αξιολόγησης της αναλογικότητας, να εξετάζει συστηματικά τις συνέπειες για τους τελικούς δικαιούχους, ιδίως τους μικρότερους, όπως, μεταξύ άλλων, τα πανεπιστήμια, τις μικρές και μεσαίες επιχειρήσεις και τις οργανώσεις της κοινωνίας των πολιτών, και να αποτυπώνει την εν λόγω ανάλυση στον φάκελο που διαβιβάζεται στο Κοινοβούλιο σύμφωνα με το άρθρο 8 του κανονισμού για την αιρεσιμότητα</w:t>
            </w:r>
            <w:r>
              <w:rPr>
                <w:b/>
                <w:i/>
              </w:rPr>
              <w:t>, διασφαλίζοντας παράλληλα ότι οι απαιτούμενες αλλαγές εφαρμόζονται αποτελεσματικά στην πραγματικότητα για όλους αυτούς τους παράγοντες και όχι μόνο με θεωρητικό τρόπο</w:t>
            </w:r>
            <w:r>
              <w:t>·</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55</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καλεί την Επιτροπή να επανεξετάσει τον τρόπο με τον οποίο μπορεί να εκπληρώσει αποτελεσματικά την υποχρέωσή της για διασφάλιση των νόμιμων οικονομικών συμφερόντων των τελικών αποδεκτών και των δικαιούχων, ιδίως εκείνων που υφίστανται τις συνέπειες των ελλείψεων του κράτους δικαίου, μεταξύ άλλων με την επιβολή των σχετικών διατάξεων του κανονισμού για την αιρεσιμότητα όσον αφορά τις υποχρεώσεις των κρατών μελών να πραγματοποιούν πληρωμές· τονίζει ότι τυχόν μέτρα που λαμβάνονται για να διασφαλιστεί ότι οι νόμιμοι τελικοί αποδέκτες και δικαιούχοι μπορούν να συνεχίσουν να έχουν πρόσβαση σε χρηματοδότηση της ΕΕ δεν θα πρέπει να αποδυναμώνουν την εφαρμογή του κανονισμού για την αιρεσιμότητα· αναμένει ότι θα συμμετέχει πλήρως στη διαδικασία αυτή·</w:t>
            </w:r>
          </w:p>
        </w:tc>
        <w:tc>
          <w:tcPr>
            <w:tcW w:w="4876" w:type="dxa"/>
            <w:tcBorders>
              <w:top w:val="nil"/>
              <w:left w:val="nil"/>
              <w:bottom w:val="nil"/>
              <w:right w:val="nil"/>
            </w:tcBorders>
          </w:tcPr>
          <w:p>
            <w:pPr>
              <w:pStyle w:val="Normal6a"/>
            </w:pPr>
            <w:r>
              <w:t>37.</w:t>
            </w:r>
            <w:r>
              <w:tab/>
            </w:r>
            <w:r>
              <w:t xml:space="preserve">καλεί την Επιτροπή να επανεξετάσει τον τρόπο με τον οποίο μπορεί να εκπληρώσει αποτελεσματικά την υποχρέωσή της για διασφάλιση των νόμιμων οικονομικών συμφερόντων των τελικών αποδεκτών και των δικαιούχων, ιδίως εκείνων που υφίστανται τις συνέπειες των ελλείψεων του κράτους δικαίου, μεταξύ άλλων με την επιβολή των σχετικών διατάξεων του κανονισμού για την αιρεσιμότητα όσον αφορά τις υποχρεώσεις των κρατών μελών να πραγματοποιούν πληρωμές· </w:t>
            </w:r>
            <w:r>
              <w:rPr>
                <w:b/>
                <w:i/>
              </w:rPr>
              <w:t xml:space="preserve">καλεί την Επιτροπή να βρει τρόπους να θέσει τα σχετικά κονδύλια υπό άμεση διαχείριση ή να τα διαθέσει στο πλαίσιο άλλων μέσων ή προγραμμάτων της ΕΕ που υλοποιούνται υπό άμεση ή έμμεση διαχείριση, διασφαλίζοντας σε κάθε περίπτωση ότι οι τοπικές κυβερνήσεις, οι οργανώσεις της κοινωνίας των πολιτών και οι μικρές και μεσαίες επιχειρήσεις δεν υφίστανται τις συνέπειες της αναστολής της χρηματοδότησης λόγω των ενεργειών της εθνικής τους κυβέρνησης και, εάν καταλήξει στο συμπέρασμα ότι η επιλογή αυτή δεν είναι εφικτή, να εξηγήσει με σαφήνεια τους λόγους για το συμπέρασμα αυτό· </w:t>
            </w:r>
            <w:r>
              <w:t>τονίζει ότι τυχόν μέτρα που λαμβάνονται για να διασφαλιστεί ότι οι νόμιμοι τελικοί αποδέκτες και δικαιούχοι μπορούν να συνεχίσουν να έχουν πρόσβαση σε χρηματοδότηση της ΕΕ δεν θα πρέπει να αποδυναμώνουν την εφαρμογή του κανονισμού για την αιρεσιμότητα· αναμένει ότι θα συμμετέχει πλήρως στη διαδικασία αυτή·</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56</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καλεί την Επιτροπή να προβαίνει σε συστηματικές παραπομπές μεταξύ των διαδικασιών επί παραβάσει και των μέτρων που εγκρίνονται σύμφωνα με το άρθρο 6 του δημοσιονομικού κανονισμού και </w:t>
            </w:r>
            <w:r>
              <w:rPr>
                <w:b/>
                <w:i/>
              </w:rPr>
              <w:t>των εκκρεμών ελέγχων</w:t>
            </w:r>
            <w:r>
              <w:t xml:space="preserve"> αιρεσιμότητας, ούτως ώστε τα κράτη μέλη να μην μπορούν να εκμεταλλεύονται τα διαδικαστικά στεγανά και να προστατεύονται τα οικονομικά συμφέροντα της ΕΕ, ανεξάρτητα από το νομικό μέσο που χρησιμοποιείται·</w:t>
            </w:r>
          </w:p>
        </w:tc>
        <w:tc>
          <w:tcPr>
            <w:tcW w:w="4876" w:type="dxa"/>
            <w:tcBorders>
              <w:top w:val="nil"/>
              <w:left w:val="nil"/>
              <w:bottom w:val="nil"/>
              <w:right w:val="nil"/>
            </w:tcBorders>
          </w:tcPr>
          <w:p>
            <w:pPr>
              <w:pStyle w:val="Normal6a"/>
            </w:pPr>
            <w:r>
              <w:t>38.</w:t>
            </w:r>
            <w:r>
              <w:tab/>
            </w:r>
            <w:r>
              <w:t xml:space="preserve">καλεί την Επιτροπή να προβαίνει σε συστηματικές παραπομπές μεταξύ των διαδικασιών επί παραβάσει και των μέτρων που εγκρίνονται σύμφωνα με το άρθρο 6 του δημοσιονομικού κανονισμού και </w:t>
            </w:r>
            <w:r>
              <w:rPr>
                <w:b/>
                <w:i/>
              </w:rPr>
              <w:t>τον κανονισμό για την αιρεσιμότητα, τον κανονισμό περί κοινών διατάξεων, τον κανονισμό ΜΑΑ και το μελλοντικό καθεστώς</w:t>
            </w:r>
            <w:r>
              <w:t xml:space="preserve"> αιρεσιμότητας </w:t>
            </w:r>
            <w:r>
              <w:rPr>
                <w:b/>
                <w:i/>
              </w:rPr>
              <w:t>του ΠΔΠ 2028-2034, καθώς και οποιοδήποτε άλλο σχετικό εργαλείο</w:t>
            </w:r>
            <w:r>
              <w:t>, ούτως ώστε τα κράτη μέλη να μην μπορούν να εκμεταλλεύονται τα διαδικαστικά στεγανά και να προστατεύονται τα οικονομικά συμφέροντα της ΕΕ, ανεξάρτητα από το νομικό μέσο που χρησιμοποιείται·</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57</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πιστεύει ότι τα διορθωτικά μέτρα θα πρέπει να συνοδεύονται από διασφαλίσεις για την πρόληψη, κατά περίπτωση, παρόμοιων καταστάσεων στο μέλλον·</w:t>
            </w:r>
          </w:p>
        </w:tc>
        <w:tc>
          <w:tcPr>
            <w:tcW w:w="4876" w:type="dxa"/>
            <w:tcBorders>
              <w:top w:val="nil"/>
              <w:left w:val="nil"/>
              <w:bottom w:val="nil"/>
              <w:right w:val="nil"/>
            </w:tcBorders>
          </w:tcPr>
          <w:p>
            <w:pPr>
              <w:pStyle w:val="Normal6a"/>
            </w:pPr>
            <w:r>
              <w:t>39.</w:t>
            </w:r>
            <w:r>
              <w:tab/>
            </w:r>
            <w:r>
              <w:t>πιστεύει ότι τα διορθωτικά μέτρα θα πρέπει να συνοδεύονται από διασφαλίσεις για την πρόληψη, κατά περίπτωση, παρόμοιων καταστάσεων</w:t>
            </w:r>
            <w:r>
              <w:t xml:space="preserve"> </w:t>
            </w:r>
            <w:r>
              <w:rPr>
                <w:b/>
                <w:i/>
              </w:rPr>
              <w:t>ή περαιτέρω οπισθοδρόμησης όσον αφορά το κράτος δικαίου</w:t>
            </w:r>
            <w:r>
              <w:t xml:space="preserve"> </w:t>
            </w:r>
            <w:r>
              <w:t>στο μέλλον·</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58</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αναμένει από την Επιτροπή να αναλάβει συγκεκριμένη δράση για την ενίσχυση της σύνδεσης μεταξύ των συστάσεων των ετήσιων εκθέσεών της για το κράτος δικαίου και της χρηματοδοτικής στήριξης από τον προϋπολογισμό της ΕΕ, όπως περιγράφεται στις επιστολές ανάθεσης καθηκόντων του 2024 προς τους Επιτρόπους που είναι αρμόδιοι για τον προϋπολογισμό και το κράτος δικαίου· καλεί την Επιτροπή να μετουσιώσει τις ειδικές ανά χώρα συστάσεις από τις ετήσιες εκθέσεις της για το κράτος δικαίου σε συγκεκριμένα ορόσημα στα οποία θα πρέπει να προβαίνουν συστηματικά τα κράτη μέλη και, κατά περίπτωση, να μεριμνήσει ώστε να χρησιμεύουν ως αποδεικτικά στοιχεία για την αιτιολόγηση της ενεργοποίησης του κανονισμού για την αιρεσιμότητα·</w:t>
            </w:r>
          </w:p>
        </w:tc>
        <w:tc>
          <w:tcPr>
            <w:tcW w:w="4876" w:type="dxa"/>
            <w:tcBorders>
              <w:top w:val="nil"/>
              <w:left w:val="nil"/>
              <w:bottom w:val="nil"/>
              <w:right w:val="nil"/>
            </w:tcBorders>
          </w:tcPr>
          <w:p>
            <w:pPr>
              <w:pStyle w:val="Normal6a"/>
            </w:pPr>
            <w:r>
              <w:t>40.</w:t>
            </w:r>
            <w:r>
              <w:tab/>
            </w:r>
            <w:r>
              <w:t xml:space="preserve">αναμένει από την Επιτροπή να αναλάβει συγκεκριμένη δράση για την ενίσχυση της σύνδεσης μεταξύ των συστάσεων των ετήσιων εκθέσεών της για το κράτος δικαίου και της χρηματοδοτικής στήριξης από τον προϋπολογισμό της ΕΕ, όπως περιγράφεται στις επιστολές ανάθεσης καθηκόντων του 2024 προς τους Επιτρόπους που είναι αρμόδιοι για τον προϋπολογισμό και το κράτος δικαίου· καλεί την Επιτροπή να μετουσιώσει τις ειδικές ανά χώρα συστάσεις από τις ετήσιες εκθέσεις της για το κράτος δικαίου σε συγκεκριμένα ορόσημα στα οποία θα πρέπει να προβαίνουν συστηματικά τα κράτη μέλη και, κατά περίπτωση, να μεριμνήσει ώστε να χρησιμεύουν ως αποδεικτικά στοιχεία για την αιτιολόγηση της ενεργοποίησης του κανονισμού για την αιρεσιμότητα </w:t>
            </w:r>
            <w:r>
              <w:rPr>
                <w:b/>
                <w:i/>
              </w:rPr>
              <w:t>και άλλων εργαλείων</w:t>
            </w:r>
            <w:r>
              <w:rPr>
                <w:b/>
                <w:i/>
              </w:rPr>
              <w:t>·</w:t>
            </w:r>
            <w:r>
              <w:rPr>
                <w:b/>
                <w:i/>
              </w:rPr>
              <w:t xml:space="preserve"> </w:t>
            </w:r>
            <w:r>
              <w:rPr>
                <w:b/>
                <w:i/>
              </w:rPr>
              <w:t>υπογραμμίζει ότι τα εν λόγω ορόσημα θα πρέπει να συνοδεύονται από σαφείς προθεσμίες και ζητεί την ανάπτυξη αντίστοιχων δεικτών</w:t>
            </w:r>
            <w:r>
              <w:t>·</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59</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t xml:space="preserve">τονίζει ότι η ετήσια έκθεση για το κράτος δικαίου επί του παρόντος βασίζεται σε τέσσερις πυλώνες, και συγκεκριμένα: στο σύστημα δικαιοσύνης, το πλαίσιο για την καταπολέμηση της διαφθοράς, την πολυφωνία στα μέσα μαζικής επικοινωνίας και άλλους θεσμικούς ελέγχους και ισορροπίες· </w:t>
            </w:r>
            <w:r>
              <w:rPr>
                <w:b/>
                <w:i/>
              </w:rPr>
              <w:t>αναγνωρίζει</w:t>
            </w:r>
            <w:r>
              <w:t xml:space="preserve"> ότι η διάσταση της ενιαίας αγοράς έχει συμπεριληφθεί στην έκθεση του 2025 για το κράτος δικαίου για την αντιμετώπιση ζητημάτων που αφορούν το κράτος δικαίου και επηρεάζουν τις εταιρείες και τους εργαζομένους· τονίζει ότι ένα λειτουργικό σύστημα δικαιοσύνης, ένα ισχυρό πλαίσιο για την καταπολέμηση της διαφθοράς, η πολυφωνία των μέσων ενημέρωσης, οι επαρκείς έλεγχοι και ισορροπίες </w:t>
            </w:r>
            <w:r>
              <w:rPr>
                <w:b/>
                <w:i/>
              </w:rPr>
              <w:t>και</w:t>
            </w:r>
            <w:r>
              <w:t xml:space="preserve"> μια λειτουργική ενιαία αγορά </w:t>
            </w:r>
            <w:r>
              <w:rPr>
                <w:b/>
                <w:i/>
              </w:rPr>
              <w:t>συνδέονται άρρηκτα με το κράτος δικαίου</w:t>
            </w:r>
            <w:r>
              <w:t>·</w:t>
            </w:r>
          </w:p>
        </w:tc>
        <w:tc>
          <w:tcPr>
            <w:tcW w:w="4876" w:type="dxa"/>
            <w:tcBorders>
              <w:top w:val="nil"/>
              <w:left w:val="nil"/>
              <w:bottom w:val="nil"/>
              <w:right w:val="nil"/>
            </w:tcBorders>
          </w:tcPr>
          <w:p>
            <w:pPr>
              <w:pStyle w:val="Normal6a"/>
            </w:pPr>
            <w:r>
              <w:t>41.</w:t>
            </w:r>
            <w:r>
              <w:tab/>
            </w:r>
            <w:r>
              <w:t xml:space="preserve">τονίζει ότι η ετήσια έκθεση για το κράτος δικαίου επί του παρόντος βασίζεται σε τέσσερις πυλώνες, και συγκεκριμένα: στο σύστημα δικαιοσύνης, το πλαίσιο για την καταπολέμηση της διαφθοράς, την πολυφωνία στα μέσα μαζικής επικοινωνίας και άλλους θεσμικούς ελέγχους και ισορροπίες· </w:t>
            </w:r>
            <w:r>
              <w:rPr>
                <w:b/>
                <w:i/>
              </w:rPr>
              <w:t>επικροτεί το γεγονός</w:t>
            </w:r>
            <w:r>
              <w:t xml:space="preserve"> </w:t>
            </w:r>
            <w:r>
              <w:t>ότι η διάσταση της ενιαίας αγοράς έχει συμπεριληφθεί στην έκθεση του 2025 για το κράτος δικαίου για την αντιμετώπιση ζητημάτων που αφορούν το κράτος δικαίου και επηρεάζουν τις εταιρείες και τους εργαζομένους· τονίζει ότι ένα λειτουργικό σύστημα δικαιοσύνης, ένα ισχυρό πλαίσιο για την καταπολέμηση της διαφθοράς, η πολυφωνία των μέσων ενημέρωσης, οι επαρκείς έλεγχοι και ισορροπίες</w:t>
            </w:r>
            <w:r>
              <w:rPr>
                <w:b/>
                <w:i/>
              </w:rPr>
              <w:t>,</w:t>
            </w:r>
            <w:r>
              <w:rPr>
                <w:b/>
                <w:i/>
              </w:rPr>
              <w:t xml:space="preserve"> αποτελούν όλα προϋποθέσεις για</w:t>
            </w:r>
            <w:r>
              <w:t xml:space="preserve"> μια λειτουργική ενιαία αγορά</w:t>
            </w:r>
            <w:r>
              <w:rPr>
                <w:b/>
                <w:i/>
              </w:rPr>
              <w:t>·</w:t>
            </w:r>
            <w:r>
              <w:rPr>
                <w:b/>
                <w:i/>
              </w:rPr>
              <w:t xml:space="preserve"> </w:t>
            </w:r>
            <w:r>
              <w:rPr>
                <w:b/>
                <w:i/>
              </w:rPr>
              <w:t xml:space="preserve"> </w:t>
            </w:r>
            <w:r>
              <w:rPr>
                <w:b/>
                <w:i/>
              </w:rPr>
              <w:t>υπογραμμίζει ότι οι πυλώνες αυτοί συμπληρώνονται από υποπυλώνες οι οποίοι θα πρέπει να αναπτυχθούν περαιτέρω όπου απαιτείται</w:t>
            </w:r>
            <w:r>
              <w:t>·</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60</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41α.</w:t>
            </w:r>
            <w:r>
              <w:tab/>
            </w:r>
            <w:r>
              <w:rPr>
                <w:b/>
                <w:i/>
              </w:rPr>
              <w:t>τονίζει ότι η ετήσια έκθεση για το κράτος δικαίου, και ιδίως οι συστάσεις της, θα πρέπει να σχεδιαστεί κατά τρόπο ώστε να είναι πλήρως λειτουργική και άμεσα αξιοποιήσιμη για να καθοριστεί αν είναι δικαιολογημένη η ενεργοποίηση του κανονισμού για την αιρεσιμότητα· καλεί επίσης την Επιτροπή να αποσαφηνίσει το όριο στο οποίο οι ελλείψεις που εντοπίζονται στην έκθεση και στις αντίστοιχες συστάσεις θεωρούνται επαρκώς σοβαρές ώστε να δικαιολογούν την προσφυγή σε χρηματοδοτικό μέσο, όπως ο κανονισμός για την αιρεσιμότητα·</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61</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σημειώνει ότι οι συστηματικές παραβιάσεις του κράτους δικαίου, οι οποίες εντοπίζονται στο πλαίσιο της ετήσιας έκθεσης για το κράτος δικαίου και έχουν επαρκώς άμεση σχέση με την προστασία του προϋπολογισμού της ΕΕ, θα πρέπει να οδηγούν στην ενεργοποίηση του μηχανισμού αιρεσιμότητας, ιδίως σε περιπτώσεις όπως η παραβίαση, η χειραγώγηση ή η ευνοιοκρατία σε προσκλήσεις υποβολής προσφορών και αιτήσεις που αφορούν χρηματοδότηση από την ΕΕ, καθώς και η διοικητική παρενόχληση που παραβιάζει την ίση μεταχείριση των τοπικών και περιφερειακών αρχών, των εταιρειών ή άλλων τελικών αποδεκτών και δικαιούχων, και την πρόσβασή τους σε κονδύλια της ΕΕ·</w:t>
            </w:r>
          </w:p>
        </w:tc>
        <w:tc>
          <w:tcPr>
            <w:tcW w:w="4876" w:type="dxa"/>
            <w:tcBorders>
              <w:top w:val="nil"/>
              <w:left w:val="nil"/>
              <w:bottom w:val="nil"/>
              <w:right w:val="nil"/>
            </w:tcBorders>
          </w:tcPr>
          <w:p>
            <w:pPr>
              <w:pStyle w:val="Normal6a"/>
            </w:pPr>
            <w:r>
              <w:t>42.</w:t>
            </w:r>
            <w:r>
              <w:tab/>
            </w:r>
            <w:r>
              <w:t>σημειώνει ότι οι συστηματικές παραβιάσεις του κράτους δικαίου, οι οποίες εντοπίζονται στο πλαίσιο της ετήσιας έκθεσης για το κράτος δικαίου και έχουν επαρκώς άμεση σχέση με την προστασία του προϋπολογισμού της ΕΕ, θα πρέπει να οδηγούν στην ενεργοποίηση του μηχανισμού αιρεσιμότητας, ιδίως σε περιπτώσεις όπως</w:t>
            </w:r>
            <w:r>
              <w:t xml:space="preserve"> </w:t>
            </w:r>
            <w:r>
              <w:rPr>
                <w:b/>
                <w:i/>
              </w:rPr>
              <w:t>οι συστημικές παραβιάσεις της ανεξαρτησίας της δικαιοσύνης, το αναποτελεσματικό πλαίσιο για την καταπολέμηση της διαφθοράς, συμπεριλαμβανομένης της άσκησης πολιτικής επιρροής στις εισαγγελικές υπηρεσίες ή στα ανώτατα ελεγκτικά όργανα, η μη εφαρμογή των αποφάσεων ή</w:t>
            </w:r>
            <w:r>
              <w:t xml:space="preserve"> η παραβίαση, η χειραγώγηση ή η ευνοιοκρατία σε προσκλήσεις υποβολής προσφορών και αιτήσεις που αφορούν χρηματοδότηση από την ΕΕ, καθώς και η διοικητική παρενόχληση που παραβιάζει την ίση μεταχείριση των τοπικών και περιφερειακών αρχών, των εταιρειών ή άλλων τελικών αποδεκτών και δικαιούχων, και την πρόσβασή τους σε κονδύλια της ΕΕ·</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62</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επιμένει ότι τα ελεγκτικά προνόμια του Κοινοβουλίου πρέπει να διασφαλίζονται εξουσιοδοτώντας το να παρακολουθεί τη συνέπεια στην (μη) εφαρμογή του καθεστώτος αιρεσιμότητας, ώστε να αποτρέπεται η πολιτική εργαλειοποίηση ή αδιαφάνεια· καλεί την Επιτροπή να διαβιβάσει στο Κοινοβούλιο μια ενιαία ετήσια απογραφή όλων των αποφάσεων που σχετίζονται με τους όρους σε όλα τα κονδύλια του προϋπολογισμού στο πλαίσιο της ετήσιας διαδικασίας του προϋπολογισμού·</w:t>
            </w:r>
          </w:p>
        </w:tc>
        <w:tc>
          <w:tcPr>
            <w:tcW w:w="4876" w:type="dxa"/>
            <w:tcBorders>
              <w:top w:val="nil"/>
              <w:left w:val="nil"/>
              <w:bottom w:val="nil"/>
              <w:right w:val="nil"/>
            </w:tcBorders>
          </w:tcPr>
          <w:p>
            <w:pPr>
              <w:pStyle w:val="Normal6a"/>
            </w:pPr>
            <w:r>
              <w:t>44.</w:t>
            </w:r>
            <w:r>
              <w:tab/>
            </w:r>
            <w:r>
              <w:t xml:space="preserve">επιμένει ότι τα ελεγκτικά προνόμια του Κοινοβουλίου πρέπει να διασφαλίζονται εξουσιοδοτώντας το να παρακολουθεί τη συνέπεια στην (μη) εφαρμογή του καθεστώτος αιρεσιμότητας </w:t>
            </w:r>
            <w:r>
              <w:rPr>
                <w:b/>
                <w:i/>
              </w:rPr>
              <w:t>στο πλαίσιο των υφιστάμενων και των μελλοντικών εργαλείων</w:t>
            </w:r>
            <w:r>
              <w:t>, ώστε να αποτρέπεται η πολιτική εργαλειοποίηση ή αδιαφάνεια· καλεί την Επιτροπή να διαβιβάσει στο Κοινοβούλιο μια ενιαία ετήσια απογραφή όλων των αποφάσεων που σχετίζονται με τους όρους σε όλα τα κονδύλια του προϋπολογισμού στο πλαίσιο της ετήσιας διαδικασίας του προϋπολογισμού·</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63</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45α.</w:t>
            </w:r>
            <w:r>
              <w:tab/>
            </w:r>
            <w:r>
              <w:rPr>
                <w:b/>
                <w:i/>
              </w:rPr>
              <w:t>παροτρύνει την Επιτροπή να συμφωνήσει σε έναν ασφαλή δίαυλο επικοινωνίας με τα αρμόδια όργανα του Κοινοβουλίου, προκειμένου να διασφαλιστεί η πλήρης πρόσβαση στην τεκμηρίωση, συμπεριλαμβανομένου του πλήρους κειμένου των γραπτών κοινοποιήσεων και των ανταλλαγών μεταξύ των υπηρεσιών της Επιτροπής και του ενδιαφερόμενου κράτους μέλους, με έγκαιρο, ολοκληρωμένο και προορατικό τρόπο, διασφαλίζοντας παράλληλα την εμπιστευτικότητά του·</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64</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 xml:space="preserve">καλεί το Συμβούλιο να διατηρήσει την τεκμηριωμένη και αντικειμενική διαδικασία και να παραμείνει όσο το δυνατόν πιο κοντά στις προτάσεις της Επιτροπής· παροτρύνει, επιπλέον, το Συμβούλιο να μην μετατρέψει τη διαδικασία που οδηγεί στην έγκριση μέτρων σε </w:t>
            </w:r>
            <w:r>
              <w:rPr>
                <w:b/>
                <w:i/>
              </w:rPr>
              <w:t>διαπραγματευτικό χαρτί</w:t>
            </w:r>
            <w:r>
              <w:t>·</w:t>
            </w:r>
          </w:p>
        </w:tc>
        <w:tc>
          <w:tcPr>
            <w:tcW w:w="4876" w:type="dxa"/>
            <w:tcBorders>
              <w:top w:val="nil"/>
              <w:left w:val="nil"/>
              <w:bottom w:val="nil"/>
              <w:right w:val="nil"/>
            </w:tcBorders>
          </w:tcPr>
          <w:p>
            <w:pPr>
              <w:pStyle w:val="Normal6a"/>
            </w:pPr>
            <w:r>
              <w:t>46.</w:t>
            </w:r>
            <w:r>
              <w:tab/>
            </w:r>
            <w:r>
              <w:t xml:space="preserve">καλεί το Συμβούλιο να διατηρήσει την τεκμηριωμένη και αντικειμενική διαδικασία και να παραμείνει όσο το δυνατόν πιο κοντά στις προτάσεις της Επιτροπής </w:t>
            </w:r>
            <w:r>
              <w:rPr>
                <w:b/>
                <w:i/>
              </w:rPr>
              <w:t>και σε περίπτωση παρέκκλισης από αυτές, να παράσχει επαρκή αιτιολόγηση για αυτή του την επιλογή</w:t>
            </w:r>
            <w:r>
              <w:t xml:space="preserve">· παροτρύνει, επιπλέον, το Συμβούλιο να μην μετατρέψει τη διαδικασία που οδηγεί στην έγκριση μέτρων σε </w:t>
            </w:r>
            <w:r>
              <w:rPr>
                <w:b/>
                <w:i/>
              </w:rPr>
              <w:t xml:space="preserve">άσκηση πολιτικής διαπραγμάτευσης, η οποία θα επέτρεπε σε </w:t>
            </w:r>
            <w:r>
              <w:rPr>
                <w:b/>
                <w:i/>
              </w:rPr>
              <w:t>ένα κράτος μέλος που υπόκειται στη διαδικασία αυτή να ασκήσει το δικαίωμα αρνησικυρίας του σε επείγουσες αποφάσεις που απαιτούν ομοφωνία στο Ευρωπαϊκό Συμβούλιο</w:t>
            </w:r>
            <w:r>
              <w:rPr>
                <w:b/>
                <w:i/>
              </w:rPr>
              <w:t>·</w:t>
            </w:r>
            <w:r>
              <w:rPr>
                <w:b/>
                <w:i/>
              </w:rPr>
              <w:t xml:space="preserve"> </w:t>
            </w:r>
            <w:r>
              <w:rPr>
                <w:b/>
                <w:i/>
              </w:rPr>
              <w:t>θεωρεί ότι, σύμφωνα με τον ισχύοντα κανονισμό, θα πρέπει να είναι δυνατή η έγκριση νέων μέτρων για την προστασία του προϋπολογισμού της ΕΕ με απλουστευμένο τρόπο στο πλαίσιο της ίδιας διαδικασίας, εάν η κατάσταση που οδήγησε στην έγκριση μέτρων δεν έχει αποκατασταθεί ή έχει επιδεινωθεί, διασφαλίζοντας παράλληλα ότι εξακολουθούν να ισχύουν τα ίδια ουσιαστικά κριτήρια και διασφαλίσεις</w:t>
            </w:r>
            <w:r>
              <w:t>·</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65</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ζητεί από την Επιτροπή να δημιουργήσει μια διαδραστική πύλη που θα επιτρέπει στους πολίτες, τους τελικούς αποδέκτες και τους δικαιούχους, καθώς και στους οικονομικούς φορείς, να παρακολουθούν όλα τα στάδια των υποθέσεων αιρεσιμότητας από την κοινοποίηση έως την ενδεχόμενη άρση των μέτρων, προκειμένου να ενισχυθεί η διαφάνεια και να αποτραπεί η παραπληροφόρηση· καλεί, στο πλαίσιο αυτό, την Επιτροπή να δημοσιεύσει ενημερωτικά δελτία με κάθε μελλοντική δράση στο πλαίσιο του κανονισμού για την αιρεσιμότητα, στα οποία θα καθορίζονται το είδος και η αξιολόγηση των παραβιάσεων, ο αντίκτυπος στον προϋπολογισμό της ΕΕ και, κατά περίπτωση, η αναλογικότητα των προτεινόμενων μέτρων της· καλεί την Επιτροπή να διασφαλίσει τη διάδοση των σχετικών πληροφοριών στους ενδιαφερόμενους τελικούς αποδέκτες και δικαιούχους και στο ευρύτερο κοινό·</w:t>
            </w:r>
          </w:p>
        </w:tc>
        <w:tc>
          <w:tcPr>
            <w:tcW w:w="4876" w:type="dxa"/>
            <w:tcBorders>
              <w:top w:val="nil"/>
              <w:left w:val="nil"/>
              <w:bottom w:val="nil"/>
              <w:right w:val="nil"/>
            </w:tcBorders>
          </w:tcPr>
          <w:p>
            <w:pPr>
              <w:pStyle w:val="Normal6a"/>
            </w:pPr>
            <w:r>
              <w:t>47.</w:t>
            </w:r>
            <w:r>
              <w:tab/>
            </w:r>
            <w:r>
              <w:t>ζητεί από την Επιτροπή να δημιουργήσει μια διαδραστική πύλη που θα επιτρέπει στους πολίτες</w:t>
            </w:r>
            <w:r>
              <w:t xml:space="preserve">, </w:t>
            </w:r>
            <w:r>
              <w:rPr>
                <w:b/>
                <w:i/>
              </w:rPr>
              <w:t>στις οργανώσεις της κοινωνίας των πολιτών,</w:t>
            </w:r>
            <w:r>
              <w:t xml:space="preserve"> τους τελικούς αποδέκτες και τους δικαιούχους, καθώς και στους οικονομικούς φορείς, να παρακολουθούν όλα τα στάδια των υποθέσεων αιρεσιμότητας από την κοινοποίηση έως την ενδεχόμενη άρση των μέτρων, προκειμένου να ενισχυθεί η διαφάνεια και να αποτραπεί η παραπληροφόρηση· καλεί, στο πλαίσιο αυτό, την Επιτροπή να δημοσιεύσει ενημερωτικά δελτία με κάθε μελλοντική δράση στο πλαίσιο του κανονισμού για την αιρεσιμότητα, στα οποία θα καθορίζονται το είδος και η αξιολόγηση των παραβιάσεων, ο αντίκτυπος στον προϋπολογισμό της ΕΕ και, κατά περίπτωση, η αναλογικότητα των προτεινόμενων μέτρων της· καλεί την Επιτροπή να διασφαλίσει τη διάδοση των σχετικών πληροφοριών στους ενδιαφερόμενους τελικούς αποδέκτες και δικαιούχους και στο ευρύτερο κοινό·</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66</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 xml:space="preserve">καλεί την Επιτροπή να ενισχύσει την ερευνητική της </w:t>
            </w:r>
            <w:r>
              <w:rPr>
                <w:b/>
                <w:i/>
              </w:rPr>
              <w:t>ικανότητα</w:t>
            </w:r>
            <w:r>
              <w:t xml:space="preserve"> με τη θέσπιση μόνιμου καταλόγου εξειδικευμένων εμπειρογνωμόνων ικανών να αξιολογούν πολύπλοκες παραβιάσεις του κράτους δικαίου, διασφαλίζοντας έτσι ταχύτερες, τεχνικά αξιόπιστες αποφάσεις, και να αναπτύξει ένα σύστημα ΤΠ που θα επιτρέπει τον εντοπισμό μοτίβων ή ομοιοτήτων στις αναφορές που λαμβάνονται·</w:t>
            </w:r>
          </w:p>
        </w:tc>
        <w:tc>
          <w:tcPr>
            <w:tcW w:w="4876" w:type="dxa"/>
            <w:tcBorders>
              <w:top w:val="nil"/>
              <w:left w:val="nil"/>
              <w:bottom w:val="nil"/>
              <w:right w:val="nil"/>
            </w:tcBorders>
          </w:tcPr>
          <w:p>
            <w:pPr>
              <w:pStyle w:val="Normal6a"/>
            </w:pPr>
            <w:r>
              <w:t>49.</w:t>
            </w:r>
            <w:r>
              <w:tab/>
            </w:r>
            <w:r>
              <w:rPr>
                <w:b/>
                <w:i/>
              </w:rPr>
              <w:t xml:space="preserve">θεωρεί ότι η Επιτροπή δεν έχει ακόμη αναπτύξει πλήρως την αναγκαία διοικητική ικανότητα για την εφαρμογή του κανονισμού· τονίζει ότι τα θεσμικά όργανα της ΕΕ πρέπει να διασφαλίσουν ότι η Επιτροπή διαθέτει τα κατάλληλα μέσα για την αποτελεσματική εφαρμογή του κανονισμού· </w:t>
            </w:r>
            <w:r>
              <w:t>καλεί την Επιτροπή</w:t>
            </w:r>
            <w:r>
              <w:rPr>
                <w:b/>
                <w:i/>
              </w:rPr>
              <w:t>, σε αυτή τη βάση,</w:t>
            </w:r>
            <w:r>
              <w:rPr>
                <w:b/>
                <w:i/>
              </w:rPr>
              <w:t xml:space="preserve"> </w:t>
            </w:r>
            <w:r>
              <w:rPr>
                <w:b/>
                <w:i/>
              </w:rPr>
              <w:t>να διαθέσει επομένως κατάλληλους ανθρώπινους πόρους για την εφαρμογή του κανονισμού,</w:t>
            </w:r>
            <w:r>
              <w:t xml:space="preserve"> να ενισχύσει την ερευνητική </w:t>
            </w:r>
            <w:r>
              <w:rPr>
                <w:b/>
                <w:i/>
              </w:rPr>
              <w:t>ικανότητα</w:t>
            </w:r>
            <w:r>
              <w:t xml:space="preserve"> </w:t>
            </w:r>
            <w:r>
              <w:t xml:space="preserve">της </w:t>
            </w:r>
            <w:r>
              <w:rPr>
                <w:b/>
                <w:i/>
              </w:rPr>
              <w:t>Επιτροπής</w:t>
            </w:r>
            <w:r>
              <w:t xml:space="preserve"> με τη θέσπιση μόνιμου καταλόγου εξειδικευμένων εμπειρογνωμόνων ικανών να αξιολογούν πολύπλοκες παραβιάσεις του κράτους δικαίου, διασφαλίζοντας έτσι ταχύτερες, τεχνικά αξιόπιστες αποφάσεις, και να αναπτύξει ένα σύστημα ΤΠ που θα επιτρέπει τον εντοπισμό μοτίβων ή ομοιοτήτων στις αναφορές που λαμβάνονται·</w:t>
            </w:r>
            <w:r>
              <w:rPr>
                <w:b/>
                <w:i/>
              </w:rPr>
              <w:t xml:space="preserve"> υπογραμμίζει την ανάγκη στενής και διαρθρωμένης συνεργασίας μεταξύ των αρμόδιων Γενικών Διευθύνσεων της Επιτροπής, ιδίως της Γενικής Διεύθυνσης Προϋπολογισμού της και της Γενικής Διεύθυνσης Δικαιοσύνης και Καταναλωτών της, προκειμένου να διασφαλιστεί η συνοχή και η συμπληρωματικότητα κατά την εφαρμογή του κανονισμού·</w:t>
            </w:r>
          </w:p>
        </w:tc>
      </w:tr>
    </w:tbl>
    <w:p>
      <w:r>
        <w:rPr>
          <w:rStyle w:val="HideTWBExt"/>
        </w:rPr>
        <w:t>&lt;/Amend&gt;</w:t>
      </w:r>
    </w:p>
    <w:p>
      <w:pPr>
        <w:pStyle w:val="AmNumberTabs"/>
      </w:pPr>
      <w:r>
        <w:rPr>
          <w:rStyle w:val="HideTWBExt"/>
        </w:rPr>
        <w:t>&lt;Amend&gt;</w:t>
      </w:r>
      <w:r>
        <w:t>Τροπολογία</w:t>
      </w:r>
      <w:r>
        <w:tab/>
      </w:r>
      <w:r>
        <w:tab/>
      </w:r>
      <w:r>
        <w:rPr>
          <w:rStyle w:val="HideTWBExt"/>
        </w:rPr>
        <w:t>&lt;NumAm&gt;</w:t>
      </w:r>
      <w:r>
        <w:t>67</w:t>
      </w:r>
      <w:r>
        <w:rPr>
          <w:rStyle w:val="HideTWBExt"/>
        </w:rPr>
        <w:t>&lt;/NumAm&gt;</w:t>
      </w:r>
    </w:p>
    <w:p>
      <w:pPr>
        <w:pStyle w:val="NormalBold12b"/>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51α.</w:t>
            </w:r>
            <w:r>
              <w:tab/>
            </w:r>
            <w:r>
              <w:rPr>
                <w:b/>
                <w:i/>
              </w:rPr>
              <w:t>επαναλαμβάνει την πρότασή του για τη θέσπιση μηχανισμού της ΕΕ για τη δημοκρατία, το κράτος δικαίου και τα θεμελιώδη δικαιώματα, με βάση την πρόταση του Κοινοβουλίου του 2020· υπογραμμίζει ότι ο μηχανισμός αυτός θα πρέπει να διέπεται από διοργανική συμφωνία μεταξύ του Κοινοβουλίου, του Συμβουλίου και της Επιτροπής, η οποία θα συνίσταται σε ετήσιο κύκλο παρακολούθησης των αξιών της ΕΕ που θα καλύπτει όλες τις πτυχές του άρθρου 2 ΣΕΕ και θα εφαρμόζεται ισότιμα, αντικειμενικά και δίκαια σε όλα τα κράτη μέλη και τις υποψήφιες προς ένταξη στην ΕΕ χώρες, με την υποστήριξη ομάδας ανεξάρτητων εμπειρογνωμόνων που θα επεξεργάζεται συστάσεις και θα τις συνδέει με δημοσιονομικά και άλλα εργαλεία επιβολής, καθώς και με την ενίσχυση του εποπτικού ρόλου του Κοινοβουλίου· τονίζει ότι, ενώ η εργαλειοθήκη για το κράτους δικαίου που έχει στη διάθεσή της η ΕΕ έχει επεκταθεί σημαντικά, η αποτελεσματικότητά της εξαρτάται από τη συνεκτική και συνεπή εφαρμογή της σε όλα τα θεσμικά όργανα της ΕΕ· τονίζει ότι, εν τω μεταξύ, θα πρέπει να θεσπιστεί Ευρωπαϊκό Εξάμηνο για το κράτος δικαίου, με σαφή δομή με καθορισμένα ορόσημα και ενεργές συνεισφορές από όλα τα θεσμικά όργανα της ΕΕ· τονίζει ότι, ενώ θα πρέπει αρχικά να επικεντρωθεί στο κράτος δικαίου, το Ευρωπαϊκό Εξάμηνο για το κράτος δικαίου θα πρέπει να σχεδιαστεί κατά τρόπο που να επιτρέπει τη σταδιακή επέκτασή του σε όλες τις αξίες που κατοχυρώνονται στο άρθρο 2 ΣΕΕ, διασφαλίζοντας μια ολοκληρωμένη και συνεκτική προσέγγιση για την προστασία των αξιών της Ένωσης· υπογραμμίζει ότι ο ετήσιος αυτός κύκλος πρέπει να βασίζεται σε αξιόπιστους και αντικειμενικούς δείκτες και να καθιστά σαφές ότι οι παραβιάσεις του κράτους δικαίου δεν είναι ποτέ ασήμαντες, και ότι οποιαδήποτε σχετικά πορίσματα θα πρέπει να έχουν πραγματικές συνέπειες, ανάλογες με τον μηχανισμό του Ευρωπαϊκού Εξαμήνου που εφαρμόζεται στον τομέα των δημόσιων οικονομικών·</w:t>
            </w:r>
          </w:p>
        </w:tc>
      </w:tr>
    </w:tbl>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
      </w:pPr>
      <w:r>
        <w:t>ΠΑΡΑΡΤΗΜΑ: ΔΗΛΩΣΗ ΕΙΣΗΓΗΣΕΩΝ</w:t>
      </w:r>
    </w:p>
    <w:p>
      <w:pPr>
        <w:pStyle w:val="Normal12a"/>
      </w:pPr>
      <w:r>
        <w:rPr>
          <w:rStyle w:val="HideTWBExt"/>
        </w:rPr>
        <w:t>&lt;FootprintIntro&gt;</w:t>
      </w:r>
      <w:r>
        <w:rPr>
          <w:rStyle w:val="HideTWBExt"/>
        </w:rPr>
        <w:t>&lt;/FootprintIntro&gt;</w:t>
      </w:r>
    </w:p>
    <w:p>
      <w:pPr>
        <w:pStyle w:val="Normal12a"/>
      </w:pPr>
      <w:r>
        <w:t>Ο πρόεδρος υπό την ιδιότητά του ως συντάκτη γνωμοδότησης δηλώνει, υπό την αποκλειστική του ευθύνη, ότι δεν έχει συμπεριλάβει στη γνωμοδότησή του εισηγήσεις από εκπροσώπους συμφερόντων που εμπίπτουν στο πεδίο εφαρμογής της διοργανικής συμφωνίας για ένα υποχρεωτικό μητρώο διαφάνειας</w:t>
      </w:r>
      <w:r>
        <w:rPr>
          <w:rStyle w:val="FootnoteReference"/>
        </w:rPr>
        <w:footnoteReference w:customMarkFollows="1" w:id="2"/>
        <w:t xml:space="preserve">1</w:t>
      </w:r>
      <w:r>
        <w:t xml:space="preserve"> ή από εκπροσώπους δημόσιων αρχών τρίτων χωρών, συμπεριλαμβανομένων των διπλωματικών αποστολών και πρεσβειών τους, οι οποίες πρέπει να περιληφθούν στο παρόν παράρτημα δυνάμει του άρθρου 8 του παραρτήματος Ι του Κανονισμού.</w:t>
      </w:r>
    </w:p>
    <w:p>
      <w:pPr>
        <w:sectPr>
          <w:footnotePr>
            <w:numRestart w:val="eachSect"/>
          </w:footnotePr>
          <w:type w:val="nextPage"/>
          <w:pgSz w:w="11909" w:h="16834"/>
          <w:pgMar w:top="1134" w:right="1417" w:bottom="1417" w:left="1417" w:header="1134" w:footer="567"/>
          <w:cols w:space="720"/>
        </w:sectPr>
      </w:pPr>
    </w:p>
    <w:p>
      <w:pPr>
        <w:pStyle w:val="PageHeading"/>
      </w:pPr>
      <w:r>
        <w:t>ΠΛΗΡΟΦΟΡΙΕΣ ΓΙΑ ΤΗΝ ΕΓΚΡΙΣΗ ΣΤΗ ΓΝΩΜΟΔΟΤΙΚΗ ΕΠΙΤΡΟΠΗ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Ημερομηνία της έγκρισης</w:t>
            </w:r>
          </w:p>
        </w:tc>
        <w:tc>
          <w:tcPr>
            <w:tcW w:w="6400" w:type="dxa"/>
            <w:tcBorders>
              <w:left w:val="dotted" w:sz="4" w:space="0" w:color="auto"/>
            </w:tcBorders>
          </w:tcPr>
          <w:p>
            <w:pPr>
              <w:pStyle w:val="ProcedureTable"/>
            </w:pPr>
            <w:r>
              <w:t>5.11.2025</w:t>
            </w:r>
          </w:p>
        </w:tc>
      </w:tr>
      <w:tr>
        <w:tblPrEx>
          <w:tblW w:w="0" w:type="auto"/>
          <w:tblLayout w:type="fixed"/>
          <w:tblCellMar>
            <w:left w:w="140" w:type="dxa"/>
            <w:right w:w="140" w:type="dxa"/>
          </w:tblCellMar>
        </w:tblPrEx>
        <w:tc>
          <w:tcPr>
            <w:tcW w:w="3600" w:type="dxa"/>
          </w:tcPr>
          <w:p>
            <w:pPr>
              <w:pStyle w:val="ProcedureTableBold"/>
            </w:pPr>
            <w:r>
              <w:t>Αποτέλεσμα της τελικής ψηφοφορίας</w:t>
            </w:r>
          </w:p>
        </w:tc>
        <w:tc>
          <w:tcPr>
            <w:tcW w:w="6400" w:type="dxa"/>
            <w:tcBorders>
              <w:left w:val="dotted" w:sz="4" w:space="0" w:color="auto"/>
            </w:tcBorders>
          </w:tcPr>
          <w:p>
            <w:r>
              <w:t>+</w:t>
            </w:r>
            <w:r>
              <w:tab/>
            </w:r>
            <w:r>
              <w:t>:</w:t>
            </w:r>
            <w:r>
              <w:tab/>
            </w:r>
            <w:r>
              <w:t>52</w:t>
            </w:r>
          </w:p>
          <w:p>
            <w:r>
              <w:t>-</w:t>
            </w:r>
            <w:r>
              <w:tab/>
            </w:r>
            <w:r>
              <w:t>:</w:t>
            </w:r>
            <w:r>
              <w:tab/>
            </w:r>
            <w:r>
              <w:t>21</w:t>
            </w:r>
          </w:p>
          <w:p>
            <w:r>
              <w:t>0</w:t>
            </w:r>
            <w:r>
              <w:tab/>
            </w:r>
            <w:r>
              <w:t>:</w:t>
            </w:r>
            <w:r>
              <w:tab/>
            </w:r>
            <w:r>
              <w:t>1</w:t>
            </w:r>
          </w:p>
        </w:tc>
      </w:tr>
      <w:tr>
        <w:tblPrEx>
          <w:tblW w:w="0" w:type="auto"/>
          <w:tblLayout w:type="fixed"/>
          <w:tblCellMar>
            <w:left w:w="140" w:type="dxa"/>
            <w:right w:w="140" w:type="dxa"/>
          </w:tblCellMar>
        </w:tblPrEx>
        <w:tc>
          <w:tcPr>
            <w:tcW w:w="3600" w:type="dxa"/>
          </w:tcPr>
          <w:p>
            <w:pPr>
              <w:pStyle w:val="ProcedureTableBold"/>
            </w:pPr>
            <w:r>
              <w:t>Βουλευτές παρόντες κατά την τελική ψηφοφορία</w:t>
            </w:r>
          </w:p>
        </w:tc>
        <w:tc>
          <w:tcPr>
            <w:tcW w:w="6400" w:type="dxa"/>
            <w:tcBorders>
              <w:left w:val="dotted" w:sz="4" w:space="0" w:color="auto"/>
            </w:tcBorders>
          </w:tcPr>
          <w:p>
            <w:pPr>
              <w:pStyle w:val="ProcedureTable"/>
            </w:pPr>
            <w:r>
              <w:t>Abir Al-Sahlani, Giuseppe Antoci, Jaume Asens Llodrà, Malik Azmani, Pernando Barrena Arza, Nicolas Bay, Ioan-Rareş Bogdan, Krzysztof Brejza, Saskia Bricmont, Jorge Buxadé Villalba, Jaroslav Bžoch, Mélissa Camara, Susanna Ceccardi, Caterina Chinnici, Alessandro Ciriani, Paulo Cunha, Lena Düpont, Marieke Ehlers, Estrella Galán, Raquel García Hermida-Van Der Walle, Evin Incir, Paolo Inselvini, Marina Kaljurand, Mariusz Kamiński, Assita Kanko, Fabienne Keller, Mary Khan, Moritz Körner, András László, Murielle Laurent, Fabrice Leggeri, Jeroen Lenaers, Erik Marquardt, Michael McNamara, Ana Catarina Mendes, Verena Mertens, Nadine Morano, Matjaž Nemec, Ana Miguel Pedro, Emil Radev, Ilaria Salis, Birgit Sippel, Petra Steger, Cecilia Strada, Tineke Strik, Tomas Tobé, Milan Uhrík, Tom Vandendriessche, Kristian Vigenin, Charlie Weimers, Sophie Wilmès, Alessandro Zan, Javier Zarzalejos</w:t>
            </w:r>
          </w:p>
        </w:tc>
      </w:tr>
      <w:tr>
        <w:tblPrEx>
          <w:tblW w:w="0" w:type="auto"/>
          <w:tblLayout w:type="fixed"/>
          <w:tblCellMar>
            <w:left w:w="140" w:type="dxa"/>
            <w:right w:w="140" w:type="dxa"/>
          </w:tblCellMar>
        </w:tblPrEx>
        <w:tc>
          <w:tcPr>
            <w:tcW w:w="3600" w:type="dxa"/>
          </w:tcPr>
          <w:p>
            <w:pPr>
              <w:pStyle w:val="ProcedureTableBold"/>
            </w:pPr>
            <w:r>
              <w:t>Αναπληρωτές παρόντες κατά την τελική ψηφοφορία</w:t>
            </w:r>
          </w:p>
        </w:tc>
        <w:tc>
          <w:tcPr>
            <w:tcW w:w="6400" w:type="dxa"/>
            <w:tcBorders>
              <w:left w:val="dotted" w:sz="4" w:space="0" w:color="auto"/>
            </w:tcBorders>
          </w:tcPr>
          <w:p>
            <w:pPr>
              <w:pStyle w:val="ProcedureTable"/>
            </w:pPr>
            <w:r>
              <w:t>Anja Arndt, Κωνσταντίνος Αρβανίτης, David Casa, Kinga Gál, Γεάδης Γεάδη, Nikola Minchev, Dolors Montserrat, Javier Moreno Sánchez, Leoluca Orlando, Maria Walsh, Maciej Wąsik</w:t>
            </w:r>
          </w:p>
        </w:tc>
      </w:tr>
      <w:tr>
        <w:tblPrEx>
          <w:tblW w:w="0" w:type="auto"/>
          <w:tblLayout w:type="fixed"/>
          <w:tblCellMar>
            <w:left w:w="140" w:type="dxa"/>
            <w:right w:w="140" w:type="dxa"/>
          </w:tblCellMar>
        </w:tblPrEx>
        <w:tc>
          <w:tcPr>
            <w:tcW w:w="3600" w:type="dxa"/>
          </w:tcPr>
          <w:p>
            <w:pPr>
              <w:pStyle w:val="ProcedureTableBold"/>
            </w:pPr>
            <w:r>
              <w:t>Βουλευτές παρόντες κατά την τελική ψηφοφορία (άρθρο 216 παράγραφος 7 του Κανονισμού)</w:t>
            </w:r>
          </w:p>
        </w:tc>
        <w:tc>
          <w:tcPr>
            <w:tcW w:w="6400" w:type="dxa"/>
            <w:tcBorders>
              <w:left w:val="dotted" w:sz="4" w:space="0" w:color="auto"/>
            </w:tcBorders>
          </w:tcPr>
          <w:p>
            <w:pPr>
              <w:pStyle w:val="ProcedureTable"/>
            </w:pPr>
            <w:r>
              <w:t>Isabel Benjumea Benjumea, Robert Biedroń, Henrik Dahl, Elisabetta Gualmini, Martine Kemp, Stefan Köhler, Judita Laššáková, Miriam Lexmann, André Rodrigues, Marjan Šarec</w:t>
            </w:r>
          </w:p>
        </w:tc>
      </w:tr>
    </w:tbl>
    <w:p>
      <w:pPr>
        <w:sectPr>
          <w:type w:val="nextPage"/>
          <w:pgSz w:w="11909" w:h="16834"/>
          <w:pgMar w:top="1134" w:right="1417" w:bottom="1417" w:left="1417" w:header="1134" w:footer="567"/>
          <w:cols w:space="720"/>
        </w:sectPr>
      </w:pPr>
    </w:p>
    <w:p>
      <w:pPr>
        <w:pStyle w:val="PageHeading"/>
      </w:pPr>
      <w:r>
        <w:t xml:space="preserve">TΕΛΙΚΗ ΨΗΦΟΦΟΡΙΑ ΜΕ ΟΝΟΜΑΣΤΙΚΗ ΚΛΗΣΗ </w:t>
        <w:br/>
        <w:t>ΣΤΗ ΓΝΩΜΟΔΟΤΙΚΗ ΕΠΙΤΡΟΠΗ</w:t>
      </w: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52</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Benjumea Benjumea Isabel, Bogdan Ioan-Rares, Brejza Krzysztof, Casa David, Chinnici Caterina, Cunha Paulo, Dahl Henrik, Düpont Lena, Kemp Martine, Köhler Stefan, Lenaers Jeroen, Mertens Verena, Montserrat Dolors, Morano Nadine, Pedro Ana Miguel, Radev Emil, Tobé Tomas, Walsh Maria, Zarzalejos Javier</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Al-Sahlani Abir, Azmani Malik, García Hermida-Van Der Walle Raquel, Keller Fabienne, Körner Moritz, McNamara Michael, Minchev Nikola, Sarec Marjan, Wilmès Sophie</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Biedron Robert, Gualmini Elisabetta, Incir Evin, Kaljurand Marina, Laurent Murielle, Mendes Ana Catarina, Moreno Sánchez Javier, Nemec Matjaz, Rodrigues André, Sippel Birgit, Strada Cecilia, Vigenin Kristian, Zan Alessandro</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Antoci Giuseppe, Αρβανίτης Κωνσταντίνος, Barrena Arza Pernando, Galán Estrella, Salis Ilaria</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Asens Llodrà Jaume, Bricmont Saskia, Camara Mélissa, Marquardt Erik, Orlando Leoluca, Strik Tineke</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21</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Bay Nicolas, Ciriani Alessandro, Geadi Geadis, Inselvini Paolo, Kaminski Mariusz, Kanko Assita, Wasik Maciej, Weimers Charlie</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Arndt Anja, Khan Mary, Uhrík Milan</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Lassáková Judita</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Buxadé Villalba Jorge, Bzoch Jaroslav, Ceccardi Susanna, Ehlers Marieke, Gál Kinga, László András, Leggeri Fabrice, Steger Petra, Vandendriessche Tom</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1</w:t>
            </w:r>
          </w:p>
        </w:tc>
        <w:tc>
          <w:tcPr>
            <w:tcW w:w="7600" w:type="dxa"/>
            <w:shd w:val="clear" w:color="auto" w:fill="C0C0C0"/>
          </w:tcPr>
          <w:p>
            <w:pPr>
              <w:pStyle w:val="Arial14CentreBold"/>
            </w:pPr>
            <w:r>
              <w:t>0</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Lexmann Miriam</w:t>
            </w:r>
          </w:p>
        </w:tc>
      </w:tr>
    </w:tbl>
    <w:p/>
    <w:p>
      <w:r>
        <w:t>Υπόμνημα των χρησιμοποιούμενων συμβόλων:</w:t>
      </w:r>
    </w:p>
    <w:p>
      <w:pPr>
        <w:pStyle w:val="NormalTab"/>
      </w:pPr>
      <w:r>
        <w:t>+</w:t>
      </w:r>
      <w:r>
        <w:t xml:space="preserve">  :  </w:t>
      </w:r>
      <w:r>
        <w:t>υπέρ</w:t>
      </w:r>
    </w:p>
    <w:p>
      <w:pPr>
        <w:pStyle w:val="NormalTab"/>
      </w:pPr>
      <w:r>
        <w:t>-</w:t>
      </w:r>
      <w:r>
        <w:t xml:space="preserve">  :  </w:t>
      </w:r>
      <w:r>
        <w:t>κατά</w:t>
      </w:r>
    </w:p>
    <w:p>
      <w:pPr>
        <w:pStyle w:val="NormalTab"/>
      </w:pPr>
      <w:r>
        <w:t>0</w:t>
      </w:r>
      <w:r>
        <w:t xml:space="preserve">  :  </w:t>
      </w:r>
      <w:r>
        <w:t>αποχή</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776.885</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46</w:t>
    </w:r>
    <w:r>
      <w:fldChar w:fldCharType="end"/>
    </w:r>
    <w:r>
      <w:t>/</w:t>
    </w:r>
    <w:r>
      <w:fldChar w:fldCharType="begin"/>
    </w:r>
    <w:r>
      <w:instrText xml:space="preserve"> NUMPAGES </w:instrText>
    </w:r>
    <w:r>
      <w:fldChar w:fldCharType="separate"/>
    </w:r>
    <w:r>
      <w:t>47</w:t>
    </w:r>
    <w:r>
      <w:fldChar w:fldCharType="end"/>
    </w:r>
    <w:r>
      <w:tab/>
    </w:r>
    <w:r>
      <w:rPr>
        <w:rStyle w:val="HideTWBExt"/>
      </w:rPr>
      <w:t>&lt;PathFdR&gt;</w:t>
    </w:r>
    <w:r>
      <w:t>AD\1330371EL.docx</w:t>
    </w:r>
    <w:r>
      <w:rPr>
        <w:rStyle w:val="HideTWBExt"/>
      </w:rPr>
      <w:t>&lt;/PathFdR&gt;</w:t>
    </w:r>
  </w:p>
  <w:p>
    <w:pPr>
      <w:pStyle w:val="EPFooter2"/>
    </w:pPr>
    <w:r>
      <w:t>EL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AD\1330371EL.docx</w:t>
    </w:r>
    <w:r>
      <w:rPr>
        <w:rStyle w:val="HideTWBExt"/>
      </w:rPr>
      <w:t>&lt;/PathFdR&gt;</w:t>
    </w:r>
    <w:r>
      <w:tab/>
    </w:r>
    <w:r>
      <w:fldChar w:fldCharType="begin"/>
    </w:r>
    <w:r>
      <w:instrText xml:space="preserve"> PAGE </w:instrText>
    </w:r>
    <w:r>
      <w:fldChar w:fldCharType="separate"/>
    </w:r>
    <w:r>
      <w:t>47</w:t>
    </w:r>
    <w:r>
      <w:fldChar w:fldCharType="end"/>
    </w:r>
    <w:r>
      <w:t>/</w:t>
    </w:r>
    <w:r>
      <w:fldChar w:fldCharType="begin"/>
    </w:r>
    <w:r>
      <w:instrText xml:space="preserve"> NUMPAGES </w:instrText>
    </w:r>
    <w:r>
      <w:fldChar w:fldCharType="separate"/>
    </w:r>
    <w:r>
      <w:t>47</w:t>
    </w:r>
    <w:r>
      <w:fldChar w:fldCharType="end"/>
    </w:r>
    <w:r>
      <w:tab/>
    </w:r>
    <w:r>
      <w:t>PE</w:t>
    </w:r>
    <w:r>
      <w:rPr>
        <w:rStyle w:val="HideTWBExt"/>
      </w:rPr>
      <w:t>&lt;NoPE&gt;</w:t>
    </w:r>
    <w:r>
      <w:t>776.885</w:t>
    </w:r>
    <w:r>
      <w:rPr>
        <w:rStyle w:val="HideTWBExt"/>
      </w:rPr>
      <w:t>&lt;/NoPE&gt;</w:t>
    </w:r>
    <w:r>
      <w:rPr>
        <w:rStyle w:val="HideTWBExt"/>
      </w:rPr>
      <w:t>&lt;Version&gt;</w:t>
    </w:r>
    <w:r>
      <w:t>v02-00</w:t>
    </w:r>
    <w:r>
      <w:rPr>
        <w:rStyle w:val="HideTWBExt"/>
      </w:rPr>
      <w:t>&lt;/Version&gt;</w:t>
    </w:r>
  </w:p>
  <w:p>
    <w:pPr>
      <w:pStyle w:val="EPFooter2"/>
    </w:pPr>
    <w:r>
      <w:tab/>
    </w:r>
    <w:r>
      <w:tab/>
    </w:r>
    <w:r>
      <w:t>EL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AD\1330371EL.docx</w:t>
    </w:r>
    <w:r>
      <w:rPr>
        <w:rStyle w:val="HideTWBExt"/>
      </w:rPr>
      <w:t>&lt;/PathFdR&gt;</w:t>
    </w:r>
    <w:r>
      <w:tab/>
    </w:r>
    <w:r>
      <w:tab/>
    </w:r>
    <w:r>
      <w:t>PE</w:t>
    </w:r>
    <w:r>
      <w:rPr>
        <w:rStyle w:val="HideTWBExt"/>
      </w:rPr>
      <w:t>&lt;NoPE&gt;</w:t>
    </w:r>
    <w:r>
      <w:t>776.885</w:t>
    </w:r>
    <w:r>
      <w:rPr>
        <w:rStyle w:val="HideTWBExt"/>
      </w:rPr>
      <w:t>&lt;/NoPE&gt;</w:t>
    </w:r>
    <w:r>
      <w:rPr>
        <w:rStyle w:val="HideTWBExt"/>
      </w:rPr>
      <w:t>&lt;Version&gt;</w:t>
    </w:r>
    <w:r>
      <w:t>v02-00</w:t>
    </w:r>
    <w:r>
      <w:rPr>
        <w:rStyle w:val="HideTWBExt"/>
      </w:rPr>
      <w:t>&lt;/Version&gt;</w:t>
    </w:r>
  </w:p>
  <w:p>
    <w:pPr>
      <w:pStyle w:val="EPFooter2"/>
    </w:pPr>
    <w:r>
      <w:t>EL</w:t>
    </w:r>
    <w:r>
      <w:tab/>
    </w:r>
    <w:r>
      <w:rPr>
        <w:rStyle w:val="EPFooter2Motto"/>
      </w:rPr>
      <w:t>Ενωμένη στην πολυμορφία</w:t>
    </w:r>
    <w:r>
      <w:tab/>
    </w:r>
    <w:r>
      <w:t>EL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Διοργανική συμφωνία, της 20ής Μαΐου 2021, μεταξύ του Ευρωπαϊκού Κοινοβουλίου, του Συμβουλίου της Ευρωπαϊκής Ένωσης και της Ευρωπαϊκής Επιτροπής για ένα υποχρεωτικό Μητρώο Διαφάνειας (ΕΕ L 207 της 11.6.2021, σ. 1, ELI: http://data.europa.eu/eli/agree_interinstit/2021/611/oj).</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13;_x000a_{\f34\fbidi \froman\fcharset0\fprq2{\*\panose 02040503050406030204}Cambria Math;}{\f38\fbidi \fswiss\fcharset128\fprq2{\*\panose 020b0300000000000000}Yu Gothic Light{\*\falt \'9f\'e0\'83\'53\'83\'56\'83\'62\'83\'4e Light};}&#13;_x000a_{\f163\fbidi \fswiss\fcharset128\fprq2 @Yu Gothic Light;}{\flomajor\f31500\fbidi \froman\fcharset0\fprq2{\*\panose 02020603050405020304}Times New Roman;}&#13;_x000a_{\fdbmajor\f31501\fbidi \fswiss\fcharset128\fprq2{\*\panose 020b0300000000000000}Yu Gothic Light{\*\falt \'9f\'e0\'83\'53\'83\'56\'83\'62\'83\'4e Light};}{\fhimajor\f31502\fbidi \fswiss\fcharset0\fprq2{\*\panose 020f0302020204030204}Calibri Light;}&#13;_x000a_{\fbimajor\f31503\fbidi \fswiss\fcharset0\fprq2 DokChampa;}{\flominor\f31504\fbidi \froman\fcharset0\fprq2{\*\panose 02020603050405020304}Times New Roman;}&#13;_x000a_{\fdbminor\f31505\fbidi \froman\fcharset128\fprq0{\*\panose 00000000000000000000}Yu Mincho{\*\falt \'9f\'e0\'96\'be\'92\'a9};}{\fhiminor\f31506\fbidi \fswiss\fcharset0\fprq2{\*\panose 020f0502020204030204}Calibri;}&#13;_x000a_{\fbiminor\f31507\fbidi \fswiss\fcharset0\fprq2 DokChampa;}{\f335\fbidi \froman\fcharset238\fprq2 Times New Roman CE;}{\f336\fbidi \froman\fcharset204\fprq2 Times New Roman Cyr;}{\f338\fbidi \froman\fcharset161\fprq2 Times New Roman Greek;}&#13;_x000a_{\f339\fbidi \froman\fcharset162\fprq2 Times New Roman Tur;}{\f340\fbidi \froman\fcharset177\fprq2 Times New Roman (Hebrew);}{\f341\fbidi \froman\fcharset178\fprq2 Times New Roman (Arabic);}{\f342\fbidi \froman\fcharset186\fprq2 Times New Roman Baltic;}&#13;_x000a_{\f343\fbidi \froman\fcharset163\fprq2 Times New Roman (Vietnamese);}{\f345\fbidi \fswiss\fcharset238\fprq2 Arial CE;}{\f346\fbidi \fswiss\fcharset204\fprq2 Arial Cyr;}{\f348\fbidi \fswiss\fcharset161\fprq2 Arial Greek;}&#13;_x000a_{\f349\fbidi \fswiss\fcharset162\fprq2 Arial Tur;}{\f350\fbidi \fswiss\fcharset177\fprq2 Arial (Hebrew);}{\f351\fbidi \fswiss\fcharset178\fprq2 Arial (Arabic);}{\f352\fbidi \fswiss\fcharset186\fprq2 Arial Baltic;}&#13;_x000a_{\f353\fbidi \fswiss\fcharset163\fprq2 Arial (Vietnamese);}{\f675\fbidi \froman\fcharset238\fprq2 Cambria Math CE;}{\f676\fbidi \froman\fcharset204\fprq2 Cambria Math Cyr;}{\f678\fbidi \froman\fcharset161\fprq2 Cambria Math Greek;}&#13;_x000a_{\f679\fbidi \froman\fcharset162\fprq2 Cambria Math Tur;}{\f682\fbidi \froman\fcharset186\fprq2 Cambria Math Baltic;}{\f683\fbidi \froman\fcharset163\fprq2 Cambria Math (Vietnamese);}&#13;_x000a_{\f717\fbidi \fswiss\fcharset0\fprq2 Yu Gothic Light Western{\*\falt \'9f\'e0\'83\'53\'83\'56\'83\'62\'83\'4e Light};}{\f715\fbidi \fswiss\fcharset238\fprq2 Yu Gothic Light CE{\*\falt \'9f\'e0\'83\'53\'83\'56\'83\'62\'83\'4e Light};}&#13;_x000a_{\f716\fbidi \fswiss\fcharset204\fprq2 Yu Gothic Light Cyr{\*\falt \'9f\'e0\'83\'53\'83\'56\'83\'62\'83\'4e Light};}{\f718\fbidi \fswiss\fcharset161\fprq2 Yu Gothic Light Greek{\*\falt \'9f\'e0\'83\'53\'83\'56\'83\'62\'83\'4e Light};}&#13;_x000a_{\f719\fbidi \fswiss\fcharset162\fprq2 Yu Gothic Light Tur{\*\falt \'9f\'e0\'83\'53\'83\'56\'83\'62\'83\'4e Light};}{\f722\fbidi \fswiss\fcharset186\fprq2 Yu Gothic Light Baltic{\*\falt \'9f\'e0\'83\'53\'83\'56\'83\'62\'83\'4e Light};}&#13;_x000a_{\f1967\fbidi \fswiss\fcharset0\fprq2 @Yu Gothic Light Western;}{\f1965\fbidi \fswiss\fcharset238\fprq2 @Yu Gothic Light CE;}{\f1966\fbidi \fswiss\fcharset204\fprq2 @Yu Gothic Light Cyr;}{\f1968\fbidi \fswiss\fcharset161\fprq2 @Yu Gothic Light Greek;}&#13;_x000a_{\f1969\fbidi \fswiss\fcharset162\fprq2 @Yu Gothic Light Tur;}{\f1972\fbidi \fswiss\fcharset186\fprq2 @Yu Gothic Light Baltic;}{\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swiss\fcharset0\fprq2 Yu Gothic Light Western{\*\falt \'9f\'e0\'83\'53\'83\'56\'83\'62\'83\'4e Light};}&#13;_x000a_{\fdbmajor\f31518\fbidi \fswiss\fcharset238\fprq2 Yu Gothic Light CE{\*\falt \'9f\'e0\'83\'53\'83\'56\'83\'62\'83\'4e Light};}{\fdbmajor\f31519\fbidi \fswiss\fcharset204\fprq2 Yu Gothic Light Cyr{\*\falt \'9f\'e0\'83\'53\'83\'56\'83\'62\'83\'4e Light};}&#13;_x000a_{\fdbmajor\f31521\fbidi \fswiss\fcharset161\fprq2 Yu Gothic Light Greek{\*\falt \'9f\'e0\'83\'53\'83\'56\'83\'62\'83\'4e Light};}&#13;_x000a_{\fdbmajor\f31522\fbidi \fswiss\fcharset162\fprq2 Yu Gothic Light Tur{\*\falt \'9f\'e0\'83\'53\'83\'56\'83\'62\'83\'4e Light};}&#13;_x000a_{\fdbmajor\f31525\fbidi \fswiss\fcharset186\fprq2 Yu Gothic Light Baltic{\*\falt \'9f\'e0\'83\'53\'83\'56\'83\'62\'83\'4e Light};}{\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7\fbidi \fswiss\fcharset222\fprq2 DokChampa (Tha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242834 HideTWBExt;}{&#13;_x000a_\s18\ql \li0\ri0\nowidctlpar\wrapdefault\aspalpha\aspnum\faauto\adjustright\rin0\lin0\itap0 \rtlch\fcs1 \af0\afs20\alang1025 \ltrch\fcs0 \b\fs24\lang2057\langfe2057\cgrid\langnp2057\langfenp2057 \sbasedon0 \snext18 \spriority0 \styrsid2242834 NormalBold;}&#13;_x000a_{\s19\qr \li0\ri0\sb240\sa240\nowidctlpar\wrapdefault\aspalpha\aspnum\faauto\adjustright\rin0\lin0\itap0 \rtlch\fcs1 \af0\afs20\alang1025 \ltrch\fcs0 \fs24\lang2057\langfe2057\cgrid\langnp2057\langfenp2057 \sbasedon0 \snext19 \spriority0 \styrsid2242834 &#13;_x000a_AmOrLang;}{\s20\ql \li0\ri0\sa120\nowidctlpar\wrapdefault\aspalpha\aspnum\faauto\adjustright\rin0\lin0\itap0 \rtlch\fcs1 \af0\afs20\alang1025 \ltrch\fcs0 \fs24\lang2057\langfe2057\cgrid\langnp2057\langfenp2057 &#13;_x000a_\sbasedon0 \snext20 \spriority0 \styrsid2242834 Normal6a;}{\s21\qc \li0\ri0\sa240\nowidctlpar\wrapdefault\aspalpha\aspnum\faauto\adjustright\rin0\lin0\itap0 \rtlch\fcs1 \af0\afs20\alang1025 \ltrch\fcs0 &#13;_x000a_\i\fs24\lang2057\langfe2057\cgrid\langnp2057\langfenp2057 \sbasedon0 \snext21 \spriority0 \styrsid2242834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2242834 AmNumberTabs;}{\s23\ql \li0\ri0\sb240\nowidctlpar\wrapdefault\aspalpha\aspnum\faauto\adjustright\rin0\lin0\itap0 \rtlch\fcs1 &#13;_x000a_\af0\afs20\alang1025 \ltrch\fcs0 \b\fs24\lang2057\langfe2057\cgrid\langnp2057\langfenp2057 \sbasedon0 \snext23 \spriority0 \styrsid2242834 NormalBold12b;}}{\*\rsidtbl \rsid24658\rsid223860\rsid735077\rsid1718133\rsid2242834\rsid2892074\rsid3565327&#13;_x000a_\rsid4666813\rsid6641733\rsid7823322\rsid9582763\rsid9636012\rsid10377208\rsid11215221\rsid11549030\rsid12154954\rsid14382809\rsid14424199\rsid15204470\rsid15285974\rsid15950462\rsid16324206\rsid16662270}{\mmathPr\mmathFont34\mbrkBin0\mbrkBinSub0&#13;_x000a_\msmallFrac0\mdispDef1\mlMargin0\mrMargin0\mdefJc1\mwrapIndent1440\mintLim0\mnaryLim1}{\info{\author nmonkuniene}{\operator MONKUNIENE Neringa}{\creatim\yr2024\mo5\dy23\hr11\min2}{\revtim\yr2024\mo5\dy23\hr11\min2}{\version1}{\edmins0}{\nofpages1}&#13;_x000a_{\nofwords120}{\nofchars69}{\nofcharsws188}{\vern109}}{\*\xmlnstbl {\xmlns1 http://schemas.microsoft.com/office/word/2003/wordml}}\paperw11906\paperh16838\margl1418\margr1418\margt1134\margb1418\gutter0\ltrsect &#13;_x000a_\facingp\widowctrl\ftnbj\aenddoc\ftnrestart\hyphhotz396\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242834\newtblstyruls\nogrowautofit\usenormstyforlist\noindnmbrts\felnbrelev\nocxsptable\indrlsweleven\noafcnsttbl\afelev\utinl\hwelev\spltpgpar\notcvasp\notbrkcnstfrctbl\notvatxbx\krnprsnet\cachedcolbal &#13;_x000a_\nouicompat \fet0{\*\wgrffmtfilter 013f}\nofeaturethrottle1\ilfomacatclnup0{\*\template C:\\Users\\NMONKU~1\\AppData\\Local\\Temp\\Blank1.dotx}{\*\ftnsep \ltrpar \pard\plain \ltrpar&#13;_x000a_\ql \li0\ri0\widctlpar\wrapdefault\aspalpha\aspnum\faauto\adjustright\rin0\lin0\itap0 \rtlch\fcs1 \af0\afs20\alang1025 \ltrch\fcs0 \fs24\lang2057\langfe2057\cgrid\langnp2057\langfenp2057 {\rtlch\fcs1 \af0 \ltrch\fcs0 \insrsid9582763 \chftnsep &#13;_x000a_\par }}{\*\ftnsepc \ltrpar \pard\plain \ltrpar\ql \li0\ri0\widctlpar\wrapdefault\aspalpha\aspnum\faauto\adjustright\rin0\lin0\itap0 \rtlch\fcs1 \af0\afs20\alang1025 \ltrch\fcs0 \fs24\lang2057\langfe2057\cgrid\langnp2057\langfenp2057 {\rtlch\fcs1 \af0 &#13;_x000a_\ltrch\fcs0 \insrsid9582763 \chftnsepc &#13;_x000a_\par }}{\*\aftnsep \ltrpar \pard\plain \ltrpar\ql \li0\ri0\widctlpar\wrapdefault\aspalpha\aspnum\faauto\adjustright\rin0\lin0\itap0 \rtlch\fcs1 \af0\afs20\alang1025 \ltrch\fcs0 \fs24\lang2057\langfe2057\cgrid\langnp2057\langfenp2057 {\rtlch\fcs1 \af0 &#13;_x000a_\ltrch\fcs0 \insrsid9582763 \chftnsep &#13;_x000a_\par }}{\*\aftnsepc \ltrpar \pard\plain \ltrpar\ql \li0\ri0\widctlpar\wrapdefault\aspalpha\aspnum\faauto\adjustright\rin0\lin0\itap0 \rtlch\fcs1 \af0\afs20\alang1025 \ltrch\fcs0 \fs24\lang2057\langfe2057\cgrid\langnp2057\langfenp2057 {\rtlch\fcs1 \af0 &#13;_x000a_\ltrch\fcs0 \insrsid958276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qc\pnstart1\pnindent720\pnhang {\pntxta .}}{\*\pnseclvl2\pnucltr\pnqc\pnstart1\pnindent720\pnhang {\pntxta .}}{\*\pnseclvl3\pndec\pnqc\pnstart1\pnindent720\pnhang {\pntxta .}}{\*\pnseclvl4\pnlcltr\pnqc\pnstart1\pnindent720\pnhang &#13;_x000a_{\pntxta )}}{\*\pnseclvl5\pndec\pnqc\pnstart1\pnindent720\pnhang {\pntxtb (}{\pntxta )}}{\*\pnseclvl6\pnlcltr\pnqc\pnstart1\pnindent720\pnhang {\pntxtb (}{\pntxta )}}{\*\pnseclvl7\pnlcrm\pnqc\pnstart1\pnindent720\pnhang {\pntxtb (}{\pntxta )}}&#13;_x000a_{\*\pnseclvl8\pnlcltr\pnqc\pnstart1\pnindent720\pnhang {\pntxtb (}{\pntxta )}}{\*\pnseclvl9\pnlcrm\pnqc\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2242834 \rtlch\fcs1 &#13;_x000a_\af0\afs20\alang1025 \ltrch\fcs0 \b\fs24\lang2057\langfe2057\cgrid\langnp2057\langfenp2057 {\rtlch\fcs1 \af0 \ltrch\fcs0 \cs17\b0\v\fs20\cf9\lang1024\langfe1024\loch\af1\hich\af1\dbch\af31501\noproof\langnp1036\insrsid2242834\charrsid4291528 &#13;_x000a_{\*\bkmkstart restart}\hich\af1\dbch\af31501\loch\f1 &lt;Amend&gt;}{\rtlch\fcs1 \af0 \ltrch\fcs0 \lang1036\langfe2057\langnp1036\insrsid2242834\charrsid4291528 [ZAMENDMENT]\tab \tab }{\rtlch\fcs1 \af0 \ltrch\fcs0 &#13;_x000a_\cs17\b0\v\fs20\cf9\lang1024\langfe1024\loch\af1\hich\af1\dbch\af31501\noproof\langnp1036\insrsid2242834\charrsid4291528 \hich\af1\dbch\af31501\loch\f1 &lt;NumAm&gt;}{\rtlch\fcs1 \af0 \ltrch\fcs0 \lang1036\langfe2057\langnp1036\insrsid2242834\charrsid4291528 &#13;_x000a_[ZNRAM]}{\rtlch\fcs1 \af0 \ltrch\fcs0 \cs17\b0\v\fs20\cf9\lang1024\langfe1024\loch\af1\hich\af1\dbch\af31501\noproof\langnp1036\insrsid2242834\charrsid4291528 \hich\af1\dbch\af31501\loch\f1 &lt;/NumAm&gt;}{\rtlch\fcs1 \af0 \ltrch\fcs0 &#13;_x000a_\lang1036\langfe2057\langnp1036\insrsid2242834\charrsid4291528 &#13;_x000a_\par }\pard\plain \ltrpar\s23\ql \li0\ri0\sb240\keepn\nowidctlpar\wrapdefault\aspalpha\aspnum\faauto\adjustright\rin0\lin0\itap0\pararsid2242834 \rtlch\fcs1 \af0\afs20\alang1025 \ltrch\fcs0 \b\fs24\lang2057\langfe2057\cgrid\langnp2057\langfenp2057 {&#13;_x000a_\rtlch\fcs1 \af0 \ltrch\fcs0 \cs17\b0\v\fs20\cf9\lang1024\langfe1024\loch\af1\hich\af1\dbch\af31501\noproof\langnp1036\insrsid2242834\charrsid4291528 \hich\af1\dbch\af31501\loch\f1 &lt;DocAmend&gt;}{\rtlch\fcs1 \af0 \ltrch\fcs0 &#13;_x000a_\lang1036\langfe2057\langnp1036\insrsid2242834\charrsid4291528 [}{\rtlch\fcs1 \af0 \ltrch\fcs0 \lang1036\langfe2057\langnp1036\insrsid2242834\charrsid3548259 ZPROPOSAL}{\rtlch\fcs1 \af0 \ltrch\fcs0 &#13;_x000a_\lang1036\langfe2057\langnp1036\insrsid2242834\charrsid4291528 ]}{\rtlch\fcs1 \af0 \ltrch\fcs0 \cs17\b0\v\fs20\cf9\lang1024\langfe1024\loch\af1\hich\af1\dbch\af31501\noproof\langnp1036\insrsid2242834\charrsid4291528 \hich\af1\dbch\af31501\loch\f1 &#13;_x000a_&lt;/DocAmend&gt;}{\rtlch\fcs1 \af0 \ltrch\fcs0 \lang1036\langfe2057\langnp1036\insrsid2242834\charrsid4291528 &#13;_x000a_\par }\pard\plain \ltrpar\s18\ql \li0\ri0\nowidctlpar\wrapdefault\aspalpha\aspnum\faauto\adjustright\rin0\lin0\itap0\pararsid2242834 \rtlch\fcs1 \af0\afs20\alang1025 \ltrch\fcs0 \b\fs24\lang2057\langfe2057\cgrid\langnp2057\langfenp2057 {\rtlch\fcs1 \af0 &#13;_x000a_\ltrch\fcs0 \cs17\b0\v\fs20\cf9\lang1024\langfe1024\loch\af1\hich\af1\dbch\af31501\noproof\langnp1036\insrsid2242834\charrsid4291528 \hich\af1\dbch\af31501\loch\f1 &lt;Article&gt;}{\rtlch\fcs1 \af0 \ltrch\fcs0 &#13;_x000a_\lang1036\langfe2057\langnp1036\insrsid2242834\charrsid4291528 [ZAMPART]}{\rtlch\fcs1 \af0 \ltrch\fcs0 \cs17\b0\v\fs20\cf9\lang1024\langfe1024\loch\af1\hich\af1\dbch\af31501\noproof\langnp1036\insrsid2242834\charrsid4291528 \hich\af1\dbch\af31501\loch\f1 &#13;_x000a_&lt;/Article&gt;}{\rtlch\fcs1 \af0 \ltrch\fcs0 \lang1036\langfe2057\langnp1036\insrsid2242834\charrsid4291528 &#13;_x000a_\par \ltrrow}\trowd \irow0\irowband0\ltrrow\ts11\trqc\trgaph340\trleft0\trftsWidth3\trwWidth9752\trftsWidthB3\trpaddl340\trpaddr340\trpaddfl3\trpaddft3\trpaddfb3\trpaddfr3\tblrsid9505846\tblind0\tblindtype3 \clvertalt\clbrdrt\brdrtbl \clbrdrl\brdrtbl \clbrdrb&#13;_x000a_\brdrtbl \clbrdrr\brdrtbl \cltxlrtb\clftsWidth3\clwWidth9752\clshdrawnil \cellx9752\pard\plain \ltrpar\ql \li0\ri0\keepn\widctlpar\intbl\wrapdefault\aspalpha\aspnum\faauto\adjustright\rin0\lin0\pararsid9505846 \rtlch\fcs1 \af0\afs20\alang1025 \ltrch\fcs0 &#13;_x000a_\fs24\lang2057\langfe2057\cgrid\langnp2057\langfenp2057 {\rtlch\fcs1 \af0 \ltrch\fcs0 \lang1036\langfe2057\langnp1036\insrsid2242834\charrsid4291528 \cell }\pard\plain \ltrpar&#13;_x000a_\ql \li0\ri0\widctlpar\intbl\wrapdefault\aspalpha\aspnum\faauto\adjustright\rin0\lin0 \rtlch\fcs1 \af0\afs20\alang1025 \ltrch\fcs0 \fs24\lang2057\langfe2057\cgrid\langnp2057\langfenp2057 {\rtlch\fcs1 \af0 \ltrch\fcs0 \insrsid2242834\charrsid4291528 &#13;_x000a_\trowd \irow0\irowband0\ltrrow\ts11\trqc\trgaph340\trleft0\trftsWidth3\trwWidth9752\trftsWidthB3\trpaddl340\trpaddr340\trpaddfl3\trpaddft3\trpaddfb3\trpaddfr3\tblrsid9505846\tblind0\tblindtype3 \clvertalt\clbrdrt\brdrtbl \clbrdrl\brdrtbl \clbrdrb\brdrtbl &#13;_x000a_\clbrdrr\brdrtbl \cltxlrtb\clftsWidth3\clwWidth9752\clshdrawnil \cellx9752\row \ltrrow}\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1\qc \li0\ri0\sa240\keepn\nowidctlpar\intbl\wrapdefault\aspalpha\aspnum\faauto\adjustright\rin0\lin0\pararsid9505846 \rtlch\fcs1 \af0\afs20\alang1025 \ltrch\fcs0 \i\fs24\lang2057\langfe2057\cgrid\langnp2057\langfenp2057 {\rtlch\fcs1 \af0 \ltrch\fcs0 &#13;_x000a_\insrsid2242834\charrsid6708014 [ZLEFT]\cell [ZRIGHT]\cell }\pard\plain \ltrpar\ql \li0\ri0\widctlpar\intbl\wrapdefault\aspalpha\aspnum\faauto\adjustright\rin0\lin0 \rtlch\fcs1 \af0\afs20\alang1025 \ltrch\fcs0 &#13;_x000a_\fs24\lang2057\langfe2057\cgrid\langnp2057\langfenp2057 {\rtlch\fcs1 \af0 \ltrch\fcs0 \insrsid2242834\charrsid6708014 \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20\ql \li0\ri0\sa120\nowidctlpar\intbl\wrapdefault\aspalpha\aspnum\faauto\adjustright\rin0\lin0\pararsid9505846 \rtlch\fcs1 \af0\afs20\alang1025 \ltrch\fcs0 \fs24\lang2057\langfe2057\cgrid\langnp2057\langfenp2057 {\rtlch\fcs1 \af0 \ltrch\fcs0 &#13;_x000a_\insrsid2242834\charrsid6708014 [ZTEXTL]\cell [ZTEXTR]}{\rtlch\fcs1 \af0\afs24 \ltrch\fcs0 \insrsid2242834\charrsid6708014 \cell }\pard\plain \ltrpar\ql \li0\ri0\widctlpar\intbl\wrapdefault\aspalpha\aspnum\faauto\adjustright\rin0\lin0 \rtlch\fcs1 &#13;_x000a_\af0\afs20\alang1025 \ltrch\fcs0 \fs24\lang2057\langfe2057\cgrid\langnp2057\langfenp2057 {\rtlch\fcs1 \af0 \ltrch\fcs0 \insrsid2242834\charrsid6708014 \trowd \irow2\irowband2\lastrow \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19\qr \li0\ri0\sb240\sa240\nowidctlpar\wrapdefault\aspalpha\aspnum\faauto\adjustright\rin0\lin0\itap0\pararsid2242834 \rtlch\fcs1 \af0\afs20\alang1025 \ltrch\fcs0 \fs24\lang2057\langfe2057\cgrid\langnp2057\langfenp2057 {\rtlch\fcs1 \af0 \ltrch\fcs0 &#13;_x000a_\insrsid2242834\charrsid6708014 Or. }{\rtlch\fcs1 \af0 \ltrch\fcs0 \cs17\v\fs20\cf9\lang1024\langfe1024\loch\af1\hich\af1\dbch\af31501\noproof\insrsid2242834\charrsid6708014 \hich\af1\dbch\af31501\loch\f1 &lt;Original&gt;}{\rtlch\fcs1 \af0 \ltrch\fcs0 &#13;_x000a_\insrsid2242834\charrsid6708014 [ZORLANG]}{\rtlch\fcs1 \af0 \ltrch\fcs0 \cs17\v\fs20\cf9\lang1024\langfe1024\loch\af1\hich\af1\dbch\af31501\noproof\insrsid2242834\charrsid6708014 \hich\af1\dbch\af31501\loch\f1 &lt;/Original&gt;}{\rtlch\fcs1 \af0 \ltrch\fcs0 &#13;_x000a_\insrsid2242834\charrsid6708014 &#13;_x000a_\par }\pard\plain \ltrpar\ql \li0\ri0\widctlpar\wrapdefault\aspalpha\aspnum\faauto\adjustright\rin0\lin0\itap0\pararsid2242834 \rtlch\fcs1 \af0\afs20\alang1025 \ltrch\fcs0 \fs24\lang2057\langfe2057\cgrid\langnp2057\langfenp2057 {\rtlch\fcs1 \af0 \ltrch\fcs0 &#13;_x000a_\cs17\v\fs20\cf9\lang1024\langfe1024\loch\af1\hich\af1\dbch\af31501\noproof\insrsid2242834\charrsid6708014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b4&#13;_x000a_ebf4efacda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Ext">
    <w:name w:val="HideTWBExt"/>
    <w:rPr>
      <w:rFonts w:ascii="Arial" w:hAnsi="Arial"/>
      <w:vanish/>
      <w:color w:val="000080"/>
      <w:sz w:val="20"/>
    </w:rPr>
  </w:style>
  <w:style w:type="paragraph" w:customStyle="1" w:styleId="NormalBold">
    <w:name w:val="NormalBold"/>
    <w:basedOn w:val="Normal"/>
    <w:pPr>
      <w:widowControl/>
    </w:pPr>
    <w:rPr>
      <w:b/>
    </w:rPr>
  </w:style>
  <w:style w:type="paragraph" w:customStyle="1" w:styleId="CoverNormal">
    <w:name w:val="CoverNormal"/>
    <w:basedOn w:val="Normal"/>
    <w:pPr>
      <w:widowControl/>
      <w:ind w:left="1418"/>
    </w:p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rFonts w:ascii="Times New Roman" w:eastAsia="Times New Roman" w:hAnsi="Times New Roman" w:cs="Times New Roman"/>
      <w:sz w:val="24"/>
    </w:r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paragraph" w:customStyle="1" w:styleId="Arial14CentreBold">
    <w:name w:val="Arial14CentreBold"/>
    <w:basedOn w:val="Normal"/>
    <w:pPr>
      <w:widowControl/>
      <w:spacing w:after="0" w:line="240" w:lineRule="auto"/>
      <w:jc w:val="center"/>
    </w:pPr>
    <w:rPr>
      <w:rFonts w:ascii="Arial" w:eastAsia="Arial" w:hAnsi="Arial" w:cs="Arial"/>
      <w:b/>
      <w:sz w:val="28"/>
    </w:rPr>
  </w:style>
  <w:style w:type="paragraph" w:customStyle="1" w:styleId="ProcedureTable">
    <w:name w:val="ProcedureTable"/>
    <w:basedOn w:val="Normal"/>
    <w:pPr>
      <w:widowControl/>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tabs>
        <w:tab w:val="center" w:pos="284"/>
        <w:tab w:val="left" w:pos="424"/>
      </w:tabs>
      <w:spacing w:after="0" w:line="240" w:lineRule="auto"/>
    </w:pPr>
    <w:rPr>
      <w:rFonts w:ascii="Times New Roman" w:eastAsia="Times New Roman" w:hAnsi="Times New Roman" w:cs="Times New Roman"/>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47</Pages>
  <Words>11735</Words>
  <Characters>70723</Characters>
  <Application>Microsoft Office Word</Application>
  <DocSecurity>0</DocSecurity>
  <Lines>1</Lines>
  <Paragraphs>535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1330371</vt:lpwstr>
  </property>
  <property fmtid="{D5CDD505-2E9C-101B-9397-08002B2CF9AE}" pid="4" name="&lt;Model&gt;">
    <vt:lpwstr>PA_NonLeg</vt:lpwstr>
  </property>
  <property fmtid="{D5CDD505-2E9C-101B-9397-08002B2CF9AE}" pid="5" name="&lt;Type&gt;">
    <vt:lpwstr>AD</vt:lpwstr>
  </property>
  <property fmtid="{D5CDD505-2E9C-101B-9397-08002B2CF9AE}" pid="6" name="dmxml.render.id">
    <vt:lpwstr>384766</vt:lpwstr>
  </property>
  <property fmtid="{D5CDD505-2E9C-101B-9397-08002B2CF9AE}" pid="7" name="dmxml.render.traceId">
    <vt:lpwstr>6995869c40b7407b1a3155f24854c9b4</vt:lpwstr>
  </property>
  <property fmtid="{D5CDD505-2E9C-101B-9397-08002B2CF9AE}" pid="8" name="FooterPath">
    <vt:lpwstr>AD\1330371EL.doc</vt:lpwstr>
  </property>
  <property fmtid="{D5CDD505-2E9C-101B-9397-08002B2CF9AE}" pid="9" name="PE Number">
    <vt:lpwstr>776.885</vt:lpwstr>
  </property>
  <property fmtid="{D5CDD505-2E9C-101B-9397-08002B2CF9AE}" pid="10" name="UID">
    <vt:lpwstr>eu.europa.europarl-DIN1-2025-0000199133_01.07-el-04.00_text-xml</vt:lpwstr>
  </property>
</Properties>
</file>