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Állampolgári Jogi, Bel- és Igazságügyi Bizottság</w:t>
      </w:r>
      <w:r>
        <w:rPr>
          <w:rStyle w:val="HideTWBExt"/>
        </w:rPr>
        <w:t>&lt;/Commission&gt;</w:t>
      </w:r>
    </w:p>
    <w:p>
      <w:pPr>
        <w:pStyle w:val="LineBottom"/>
      </w:pPr>
      <w:r>
        <w:t xml:space="preserve"> </w:t>
      </w:r>
    </w:p>
    <w:p>
      <w:pPr>
        <w:pStyle w:val="CoverReference"/>
      </w:pPr>
      <w:r>
        <w:rPr>
          <w:rStyle w:val="HideTWBExt"/>
        </w:rPr>
        <w:t>&lt;RefProc&gt;</w:t>
      </w:r>
      <w:r>
        <w:t>2025/2061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{06/11/2025}</w:t>
      </w:r>
      <w:r>
        <w:t>06.11.2025</w:t>
      </w:r>
      <w:r>
        <w:rPr>
          <w:rStyle w:val="HideTWBExt"/>
        </w:rPr>
        <w:t>&lt;/Date&gt;</w:t>
      </w:r>
    </w:p>
    <w:p>
      <w:pPr>
        <w:pStyle w:val="CoverDocType24a"/>
      </w:pPr>
      <w:r>
        <w:rPr>
          <w:rStyle w:val="HideTWBExt"/>
        </w:rPr>
        <w:t>&lt;TitreType&gt;</w:t>
      </w:r>
      <w:r>
        <w:t>VÉLEMÉNY</w:t>
      </w:r>
      <w:r>
        <w:rPr>
          <w:rStyle w:val="HideTWBExt"/>
        </w:rPr>
        <w:t>&lt;/TitreType&gt;</w:t>
      </w:r>
    </w:p>
    <w:p>
      <w:pPr>
        <w:pStyle w:val="CoverNormal24a"/>
      </w:pPr>
      <w:r>
        <w:rPr>
          <w:rStyle w:val="HideTWBExt"/>
        </w:rPr>
        <w:t>&lt;CommissionResp&gt;</w:t>
      </w:r>
      <w:r>
        <w:t>az Állampolgári Jogi, Bel- és Igazságügyi Bizottság részéről</w:t>
      </w:r>
      <w:r>
        <w:rPr>
          <w:rStyle w:val="HideTWBExt"/>
        </w:rPr>
        <w:t>&lt;/CommissionResp&gt;</w:t>
      </w:r>
    </w:p>
    <w:p>
      <w:pPr>
        <w:pStyle w:val="CoverNormal24a"/>
      </w:pPr>
      <w:r>
        <w:rPr>
          <w:rStyle w:val="HideTWBExt"/>
        </w:rPr>
        <w:t>&lt;CommissionInt&gt;</w:t>
      </w:r>
      <w:r>
        <w:t>a Költségvetési Bizottság és a Költségvetési Ellenőrző Bizottság részére</w:t>
      </w:r>
      <w:r>
        <w:rPr>
          <w:rStyle w:val="HideTWBExt"/>
        </w:rPr>
        <w:t>&lt;/CommissionInt&gt;</w:t>
      </w:r>
    </w:p>
    <w:p>
      <w:pPr>
        <w:pStyle w:val="CoverNormal"/>
      </w:pPr>
      <w:r>
        <w:rPr>
          <w:rStyle w:val="HideTWBExt"/>
        </w:rPr>
        <w:t>&lt;Titre&gt;</w:t>
      </w:r>
      <w:r>
        <w:t>a jogállamisági feltételrendszer végrehajtásáról</w:t>
      </w:r>
      <w:r>
        <w:rPr>
          <w:rStyle w:val="HideTWBExt"/>
        </w:rPr>
        <w:t>&lt;/Titre&gt;</w:t>
      </w:r>
    </w:p>
    <w:p>
      <w:pPr>
        <w:pStyle w:val="CoverNormal24a"/>
      </w:pPr>
      <w:r>
        <w:rPr>
          <w:rStyle w:val="HideTWBExt"/>
        </w:rPr>
        <w:t>&lt;DocRef&gt;</w:t>
      </w:r>
      <w:r>
        <w:t>(2025/2061(INI))</w:t>
      </w:r>
      <w:r>
        <w:rPr>
          <w:rStyle w:val="HideTWBExt"/>
        </w:rPr>
        <w:t>&lt;/DocRef&gt;</w:t>
      </w:r>
    </w:p>
    <w:p>
      <w:pPr>
        <w:pStyle w:val="CoverNormal24a"/>
      </w:pPr>
      <w:r>
        <w:t>A vélemény előadója</w:t>
      </w:r>
      <w:r>
        <w:t xml:space="preserve">: </w:t>
      </w:r>
      <w:r>
        <w:rPr>
          <w:rStyle w:val="HideTWBExt"/>
        </w:rPr>
        <w:t>&lt;Depute&gt;</w:t>
      </w:r>
      <w:r>
        <w:t>Michał Wawrykiewicz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MÓDOSÍTÁSOK</w:t>
      </w:r>
    </w:p>
    <w:p>
      <w:pPr>
        <w:pStyle w:val="Normal12a"/>
      </w:pPr>
      <w:r>
        <w:t>Az Állampolgári Jogi, Bel- és Igazságügyi Bizottság</w:t>
      </w:r>
      <w:r>
        <w:t xml:space="preserve"> benyújtja a </w:t>
      </w:r>
      <w:r>
        <w:t>Költségvetési Bizottságnak és a Költségvetési Ellenőrző Bizottságnak</w:t>
      </w:r>
      <w:r>
        <w:t xml:space="preserve"> mint illetékes bizottságoknak a következőket</w:t>
      </w:r>
      <w:r>
        <w:t>:</w:t>
      </w:r>
      <w:r>
        <w:t xml:space="preserve"> </w:t>
      </w:r>
    </w:p>
    <w:p>
      <w:pPr>
        <w:pStyle w:val="AmNumberTabs"/>
      </w:pPr>
      <w:r>
        <w:rPr>
          <w:rStyle w:val="HideTWBExt"/>
        </w:rPr>
        <w:t>&lt;RepeatBlock-Amend&gt;</w:t>
      </w:r>
      <w:r>
        <w:rPr>
          <w:rStyle w:val="HideTWBExt"/>
        </w:rPr>
        <w:t>&lt;Amend&gt;</w:t>
      </w:r>
      <w:r>
        <w:t>Módosítás</w:t>
      </w:r>
      <w:r>
        <w:tab/>
      </w:r>
      <w:r>
        <w:tab/>
      </w:r>
      <w:r>
        <w:rPr>
          <w:rStyle w:val="HideTWBExt"/>
        </w:rPr>
        <w:t>&lt;NumAm&gt;</w:t>
      </w:r>
      <w:r>
        <w:t>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10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Európai Gazdasági, Társadalmi és Területi Kohéziós, Mezőgazdasági és Vidékfejlesztési, Halászati és Tengeri, Jóléti és Biztonsági Alap 2028–2034 közötti időszakra történő létrehozásáról, valamint az (EU) 2023/955 és az (EU, Euratom) 2024/2509 rendelet módosításáról szóló európai parlamenti és tanácsi rendeletre irányuló, 2025. július 16-i bizottsági javaslatra (COM(2025)0565) (a Nemzeti és Regionális Partnerségi Alapról szóló rendelettervezet),</w:t>
            </w:r>
          </w:p>
        </w:tc>
      </w:tr>
    </w:tbl>
    <w:p>
      <w:r>
        <w:rPr>
          <w:rStyle w:val="HideTWBExt"/>
        </w:rPr>
        <w:t>&lt;/Amend&gt;</w:t>
      </w:r>
    </w:p>
    <w:p>
      <w:pPr>
        <w:pStyle w:val="AmNumberTabs"/>
      </w:pPr>
      <w:r>
        <w:rPr>
          <w:rStyle w:val="HideTWBExt"/>
        </w:rPr>
        <w:t>&lt;Amend&gt;</w:t>
      </w:r>
      <w:r>
        <w:t>Módosítás</w:t>
      </w:r>
      <w:r>
        <w:tab/>
      </w:r>
      <w:r>
        <w:tab/>
      </w:r>
      <w:r>
        <w:rPr>
          <w:rStyle w:val="HideTWBExt"/>
        </w:rPr>
        <w:t>&lt;NumAm&gt;</w:t>
      </w:r>
      <w:r>
        <w:t>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12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tekintettel az EUSZ 7. cikkének (1) bekezdése alapján Magyarországgal kapcsolatban a jogállamiság megerősítése érdekében folyamatban lévő meghallgatásokról és azok költségvetési vonatkozásairól szóló, 2024. április 24-i állásfoglalására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HL C, C/2025/3705, 2025.9.17., ELI: </w:t>
            </w:r>
            <w:r>
              <w:rPr>
                <w:b/>
                <w:i/>
              </w:rPr>
              <w:t>http://data.europa.eu/eli/C/2025/3705/oj</w:t>
            </w:r>
            <w:r>
              <w:rPr>
                <w:b/>
                <w:i/>
              </w:rPr>
              <w:t>.</w:t>
            </w:r>
          </w:p>
        </w:tc>
      </w:tr>
    </w:tbl>
    <w:p>
      <w:r>
        <w:rPr>
          <w:rStyle w:val="HideTWBExt"/>
        </w:rPr>
        <w:t>&lt;/Amend&gt;</w:t>
      </w:r>
    </w:p>
    <w:p>
      <w:pPr>
        <w:pStyle w:val="AmNumberTabs"/>
      </w:pPr>
      <w:r>
        <w:rPr>
          <w:rStyle w:val="HideTWBExt"/>
        </w:rPr>
        <w:t>&lt;Amend&gt;</w:t>
      </w:r>
      <w:r>
        <w:t>Módosítás</w:t>
      </w:r>
      <w:r>
        <w:tab/>
      </w:r>
      <w:r>
        <w:tab/>
      </w:r>
      <w:r>
        <w:rPr>
          <w:rStyle w:val="HideTWBExt"/>
        </w:rPr>
        <w:t>&lt;NumAm&gt;</w:t>
      </w:r>
      <w:r>
        <w:t>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12 b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tekintettel a magyarországi helyzetről és a befagyasztott uniós pénzeszközökről szóló, 2024. január 18-i állásfoglalására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HL C, C/2024/5742., 2024.10.17., ELI: </w:t>
            </w:r>
            <w:r>
              <w:rPr>
                <w:b/>
                <w:i/>
              </w:rPr>
              <w:t>http://data.europa.eu/eli/C/2024/5742/oj</w:t>
            </w:r>
            <w:r>
              <w:rPr>
                <w:b/>
                <w:i/>
              </w:rPr>
              <w:t>.</w:t>
            </w:r>
          </w:p>
        </w:tc>
      </w:tr>
    </w:tbl>
    <w:p>
      <w:r>
        <w:rPr>
          <w:rStyle w:val="HideTWBExt"/>
        </w:rPr>
        <w:t>&lt;/Amend&gt;</w:t>
      </w:r>
    </w:p>
    <w:p>
      <w:pPr>
        <w:pStyle w:val="AmNumberTabs"/>
      </w:pPr>
      <w:r>
        <w:rPr>
          <w:rStyle w:val="HideTWBExt"/>
        </w:rPr>
        <w:t>&lt;Amend&gt;</w:t>
      </w:r>
      <w:r>
        <w:t>Módosítás</w:t>
      </w:r>
      <w:r>
        <w:tab/>
      </w:r>
      <w:r>
        <w:tab/>
      </w:r>
      <w:r>
        <w:rPr>
          <w:rStyle w:val="HideTWBExt"/>
        </w:rPr>
        <w:t>&lt;NumAm&gt;</w:t>
      </w:r>
      <w:r>
        <w:t>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14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tekintettel az Európai Unióról szóló szerződés 7. cikke (1) bekezdésének megfelelően az Unió alapértékeinek Magyarország általi súlyos megsértése egyértelmű kockázatának megállapításáról szóló tanácsi határozatra irányuló javaslatról szóló, 2022. szeptember 15-i állásfoglalására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HL C 125., 2023.4.5., 463. o.</w:t>
            </w:r>
          </w:p>
        </w:tc>
      </w:tr>
    </w:tbl>
    <w:p>
      <w:r>
        <w:rPr>
          <w:rStyle w:val="HideTWBExt"/>
        </w:rPr>
        <w:t>&lt;/Amend&gt;</w:t>
      </w:r>
    </w:p>
    <w:p>
      <w:pPr>
        <w:pStyle w:val="AmNumberTabs"/>
      </w:pPr>
      <w:r>
        <w:rPr>
          <w:rStyle w:val="HideTWBExt"/>
        </w:rPr>
        <w:t>&lt;Amend&gt;</w:t>
      </w:r>
      <w:r>
        <w:t>Módosítás</w:t>
      </w:r>
      <w:r>
        <w:tab/>
      </w:r>
      <w:r>
        <w:tab/>
      </w:r>
      <w:r>
        <w:rPr>
          <w:rStyle w:val="HideTWBExt"/>
        </w:rPr>
        <w:t>&lt;NumAm&gt;</w:t>
      </w:r>
      <w:r>
        <w:t>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14 b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tekintettel a jogállamiságról és az Európai Bíróság ítéletének következményeiről szóló, 2022. március 10-i állásfoglalására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HL C 347., 2022.9.9., 168. o.</w:t>
            </w:r>
          </w:p>
        </w:tc>
      </w:tr>
    </w:tbl>
    <w:p>
      <w:r>
        <w:rPr>
          <w:rStyle w:val="HideTWBExt"/>
        </w:rPr>
        <w:t>&lt;/Amend&gt;</w:t>
      </w:r>
    </w:p>
    <w:p>
      <w:pPr>
        <w:pStyle w:val="AmNumberTabs"/>
      </w:pPr>
      <w:r>
        <w:rPr>
          <w:rStyle w:val="HideTWBExt"/>
        </w:rPr>
        <w:t>&lt;Amend&gt;</w:t>
      </w:r>
      <w:r>
        <w:t>Módosítás</w:t>
      </w:r>
      <w:r>
        <w:tab/>
      </w:r>
      <w:r>
        <w:tab/>
      </w:r>
      <w:r>
        <w:rPr>
          <w:rStyle w:val="HideTWBExt"/>
        </w:rPr>
        <w:t>&lt;NumAm&gt;</w:t>
      </w:r>
      <w:r>
        <w:t>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15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tekintettel a demokráciával, a jogállamisággal és az alapvető jogokkal foglalkozó uniós mechanizmus létrehozásáról szóló, 2020. október 7-i állásfoglalására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HL C 395., 2021.9.29., 2. o.</w:t>
            </w:r>
          </w:p>
        </w:tc>
      </w:tr>
    </w:tbl>
    <w:p>
      <w:r>
        <w:rPr>
          <w:rStyle w:val="HideTWBExt"/>
        </w:rPr>
        <w:t>&lt;/Amend&gt;</w:t>
      </w:r>
    </w:p>
    <w:p>
      <w:pPr>
        <w:pStyle w:val="AmNumberTabs"/>
      </w:pPr>
      <w:r>
        <w:rPr>
          <w:rStyle w:val="HideTWBExt"/>
        </w:rPr>
        <w:t>&lt;Amend&gt;</w:t>
      </w:r>
      <w:r>
        <w:t>Módosítás</w:t>
      </w:r>
      <w:r>
        <w:tab/>
      </w:r>
      <w:r>
        <w:tab/>
      </w:r>
      <w:r>
        <w:rPr>
          <w:rStyle w:val="HideTWBExt"/>
        </w:rPr>
        <w:t>&lt;NumAm&gt;</w:t>
      </w:r>
      <w:r>
        <w:t>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15 b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tekintettel a Tanácsot az Európai Unióról szóló szerződés 7. cikke (1) bekezdésének megfelelően az Unió alapértékeinek Magyarország általi súlyos megsértése egyértelmű veszélyének megállapítására felszólító javaslatról szóló, 2018. szeptember 12-i állásfoglalására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HL C 433., 2019.12.23., 66. o.</w:t>
            </w:r>
          </w:p>
        </w:tc>
      </w:tr>
    </w:tbl>
    <w:p>
      <w:r>
        <w:rPr>
          <w:rStyle w:val="HideTWBExt"/>
        </w:rPr>
        <w:t>&lt;/Amend&gt;</w:t>
      </w:r>
    </w:p>
    <w:p>
      <w:pPr>
        <w:pStyle w:val="AmNumberTabs"/>
      </w:pPr>
      <w:r>
        <w:rPr>
          <w:rStyle w:val="HideTWBExt"/>
        </w:rPr>
        <w:t>&lt;Amend&gt;</w:t>
      </w:r>
      <w:r>
        <w:t>Módosítás</w:t>
      </w:r>
      <w:r>
        <w:tab/>
      </w:r>
      <w:r>
        <w:tab/>
      </w:r>
      <w:r>
        <w:rPr>
          <w:rStyle w:val="HideTWBExt"/>
        </w:rPr>
        <w:t>&lt;NumAm&gt;</w:t>
      </w:r>
      <w:r>
        <w:t>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17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tekintettel az EUSZ 7. cikkének (1) bekezdése alapján Lengyelországgal és Magyarországgal kapcsolatban folyamatban lévő meghallgatásokról szóló, 2022. május 5-i állásfoglalására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HL C 465., 2022.12.6., 147. o.</w:t>
            </w:r>
          </w:p>
        </w:tc>
      </w:tr>
    </w:tbl>
    <w:p>
      <w:r>
        <w:rPr>
          <w:rStyle w:val="HideTWBExt"/>
        </w:rPr>
        <w:t>&lt;/Amend&gt;</w:t>
      </w:r>
    </w:p>
    <w:p>
      <w:pPr>
        <w:pStyle w:val="AmNumberTabs"/>
      </w:pPr>
      <w:r>
        <w:rPr>
          <w:rStyle w:val="HideTWBExt"/>
        </w:rPr>
        <w:t>&lt;Amend&gt;</w:t>
      </w:r>
      <w:r>
        <w:t>Módosítás</w:t>
      </w:r>
      <w:r>
        <w:tab/>
      </w:r>
      <w:r>
        <w:tab/>
      </w:r>
      <w:r>
        <w:rPr>
          <w:rStyle w:val="HideTWBExt"/>
        </w:rPr>
        <w:t>&lt;NumAm&gt;</w:t>
      </w:r>
      <w:r>
        <w:t>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17 b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tekintettel a jogállamiság és az alapvető jogok magyarországi megsértéséről és a befagyasztott uniós pénzeszközökről szóló, 2023. június 1-jei állásfoglalására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HL C, C/2023/1223, 2023.12.21., ELI: </w:t>
            </w:r>
            <w:r>
              <w:rPr>
                <w:b/>
                <w:i/>
              </w:rPr>
              <w:t>http://data.europa.eu/eli/C/2023/1223/oj</w:t>
            </w:r>
            <w:r>
              <w:rPr>
                <w:b/>
                <w:i/>
              </w:rPr>
              <w:t>.</w:t>
            </w:r>
          </w:p>
        </w:tc>
      </w:tr>
    </w:tbl>
    <w:p>
      <w:r>
        <w:rPr>
          <w:rStyle w:val="HideTWBExt"/>
        </w:rPr>
        <w:t>&lt;/Amend&gt;</w:t>
      </w:r>
    </w:p>
    <w:p>
      <w:pPr>
        <w:pStyle w:val="AmNumberTabs"/>
      </w:pPr>
      <w:r>
        <w:rPr>
          <w:rStyle w:val="HideTWBExt"/>
        </w:rPr>
        <w:t>&lt;Amend&gt;</w:t>
      </w:r>
      <w:r>
        <w:t>Módosítás</w:t>
      </w:r>
      <w:r>
        <w:tab/>
      </w:r>
      <w:r>
        <w:tab/>
      </w:r>
      <w:r>
        <w:rPr>
          <w:rStyle w:val="HideTWBExt"/>
        </w:rPr>
        <w:t>&lt;NumAm&gt;</w:t>
      </w:r>
      <w:r>
        <w:t>10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19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tekintettel a Parlament által a C-225/24. sz. ügyben a Bizottság ellen 2024. március 25-én benyújtott keresetre, amelyben azt kéri, hogy az Európai Unió Bírósága (EUB) semmisítse meg a 2023. december 13-i C(2023)9014 bizottsági végrehajtási határozatot</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HL C, C/2024/3063, 2024.5.13., ELI: </w:t>
            </w:r>
            <w:r>
              <w:rPr>
                <w:b/>
                <w:i/>
              </w:rPr>
              <w:t>http://data.europa.eu/eli/C/2024/3063/oj</w:t>
            </w:r>
            <w:r>
              <w:rPr>
                <w:b/>
                <w:i/>
              </w:rPr>
              <w:t>.</w:t>
            </w:r>
          </w:p>
        </w:tc>
      </w:tr>
    </w:tbl>
    <w:p>
      <w:r>
        <w:rPr>
          <w:rStyle w:val="HideTWBExt"/>
        </w:rPr>
        <w:t>&lt;/Amend&gt;</w:t>
      </w:r>
    </w:p>
    <w:p>
      <w:pPr>
        <w:pStyle w:val="AmNumberTabs"/>
      </w:pPr>
      <w:r>
        <w:rPr>
          <w:rStyle w:val="HideTWBExt"/>
        </w:rPr>
        <w:t>&lt;Amend&gt;</w:t>
      </w:r>
      <w:r>
        <w:t>Módosítás</w:t>
      </w:r>
      <w:r>
        <w:tab/>
      </w:r>
      <w:r>
        <w:tab/>
      </w:r>
      <w:r>
        <w:rPr>
          <w:rStyle w:val="HideTWBExt"/>
        </w:rPr>
        <w:t>&lt;NumAm&gt;</w:t>
      </w:r>
      <w:r>
        <w:t>11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21 bevezető hivatkozás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tekintettel a Költségvetési Ellenőrző Bizottság által 2023. május 15–17-én Magyarországon és 2025. május 26–28-án Szlovákiában tett tényfeltáró látogatások megállapításaira,</w:t>
            </w:r>
          </w:p>
        </w:tc>
        <w:tc>
          <w:tcPr>
            <w:tcW w:w="4876" w:type="dxa"/>
            <w:tcBorders>
              <w:top w:val="nil"/>
              <w:left w:val="nil"/>
              <w:bottom w:val="nil"/>
              <w:right w:val="nil"/>
            </w:tcBorders>
          </w:tcPr>
          <w:p>
            <w:pPr>
              <w:pStyle w:val="Normal6a"/>
            </w:pPr>
            <w:r>
              <w:t>–</w:t>
            </w:r>
            <w:r>
              <w:tab/>
            </w:r>
            <w:r>
              <w:t xml:space="preserve">tekintettel a Költségvetési Ellenőrző Bizottság által 2023. május 15–17-én Magyarországon és 2025. május 26–28-án Szlovákiában tett tényfeltáró látogatások megállapításaira, </w:t>
            </w:r>
            <w:r>
              <w:rPr>
                <w:b/>
                <w:i/>
              </w:rPr>
              <w:t>az Állampolgári Jogi, Bel- és Igazságügyi Bizottság által 2025. április 14–16-án Magyarországon tett tényfeltáró látogatás megállapításaira, valamint a demokrácia, a jogállamiság és az alapvető jogok nyomon követésével foglalkozó csoport 2025. június 2–3-én Szlovákiában tett tényfeltáró látogatására,</w:t>
            </w:r>
          </w:p>
        </w:tc>
      </w:tr>
    </w:tbl>
    <w:p>
      <w:r>
        <w:rPr>
          <w:rStyle w:val="HideTWBExt"/>
        </w:rPr>
        <w:t>&lt;/Amend&gt;</w:t>
      </w:r>
    </w:p>
    <w:p>
      <w:pPr>
        <w:pStyle w:val="AmNumberTabs"/>
      </w:pPr>
      <w:r>
        <w:rPr>
          <w:rStyle w:val="HideTWBExt"/>
        </w:rPr>
        <w:t>&lt;Amend&gt;</w:t>
      </w:r>
      <w:r>
        <w:t>Módosítás</w:t>
      </w:r>
      <w:r>
        <w:tab/>
      </w:r>
      <w:r>
        <w:tab/>
      </w:r>
      <w:r>
        <w:rPr>
          <w:rStyle w:val="HideTWBExt"/>
        </w:rPr>
        <w:t>&lt;NumAm&gt;</w:t>
      </w:r>
      <w:r>
        <w:t>12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29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tekintettel az Állampolgári Jogi, Bel- és Igazságügyi Bizottság által megrendelt, „Az uniós jog érvényesítése a szabadságon, a biztonságon és a jog érvényesülésén alapuló térségben”</w:t>
            </w:r>
            <w:r>
              <w:rPr>
                <w:vertAlign w:val="superscript"/>
              </w:rPr>
              <w:t>1a</w:t>
            </w:r>
            <w:r>
              <w:t xml:space="preserve"> című, az Uniós Belső Politikák Főigazgatósága által 2024 januárjában közzétett tanulmányra,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Tanulmány – „Enforcement of EU law in the Area of Freedom, Security and Justice” (Az uniós jog érvényesítése a szabadságon, a biztonságon és a jog érvényesülésén alapuló térségben), Európai Parlament, Uniós Belső Politikák Főigazgatósága, Állampolgári Jogi és Alkotmányügyi Tematikus Főosztály, 2024. január</w:t>
            </w:r>
          </w:p>
        </w:tc>
      </w:tr>
    </w:tbl>
    <w:p>
      <w:r>
        <w:rPr>
          <w:rStyle w:val="HideTWBExt"/>
        </w:rPr>
        <w:t>&lt;/Amend&gt;</w:t>
      </w:r>
    </w:p>
    <w:p>
      <w:pPr>
        <w:pStyle w:val="AmNumberTabs"/>
      </w:pPr>
      <w:r>
        <w:rPr>
          <w:rStyle w:val="HideTWBExt"/>
        </w:rPr>
        <w:t>&lt;Amend&gt;</w:t>
      </w:r>
      <w:r>
        <w:t>Módosítás</w:t>
      </w:r>
      <w:r>
        <w:tab/>
      </w:r>
      <w:r>
        <w:tab/>
      </w:r>
      <w:r>
        <w:rPr>
          <w:rStyle w:val="HideTWBExt"/>
        </w:rPr>
        <w:t>&lt;NumAm&gt;</w:t>
      </w:r>
      <w:r>
        <w:t>13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A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mivel az EU az EUSZ 2. cikkében rögzített értékeken, vagyis az emberi méltóság tiszteletben tartása, a szabadság, a demokrácia, az egyenlőség, a jogállamiság, valamint az emberi jogok – ideértve a kisebbségekhez tartozó személyek jogait – tiszteletben tartásának értékein alapul; mivel ezek az értékek </w:t>
            </w:r>
            <w:r>
              <w:rPr>
                <w:b/>
                <w:i/>
              </w:rPr>
              <w:t>tükröződnek</w:t>
            </w:r>
            <w:r>
              <w:t xml:space="preserve"> a </w:t>
            </w:r>
            <w:r>
              <w:rPr>
                <w:b/>
                <w:i/>
              </w:rPr>
              <w:t>Chartában megfogalmazott alapvető jogokban, mint amilyen a nők</w:t>
            </w:r>
            <w:r>
              <w:t xml:space="preserve"> és </w:t>
            </w:r>
            <w:r>
              <w:rPr>
                <w:b/>
                <w:i/>
              </w:rPr>
              <w:t>férfiak közötti egyenlőség,</w:t>
            </w:r>
            <w:r>
              <w:t xml:space="preserve"> a </w:t>
            </w:r>
            <w:r>
              <w:rPr>
                <w:b/>
                <w:i/>
              </w:rPr>
              <w:t>megkülönböztetésmentesség</w:t>
            </w:r>
            <w:r>
              <w:t xml:space="preserve">, </w:t>
            </w:r>
            <w:r>
              <w:rPr>
                <w:b/>
                <w:i/>
              </w:rPr>
              <w:t>valamint</w:t>
            </w:r>
            <w:r>
              <w:t xml:space="preserve"> a </w:t>
            </w:r>
            <w:r>
              <w:rPr>
                <w:b/>
                <w:i/>
              </w:rPr>
              <w:t>kollektív tárgyalásokhoz</w:t>
            </w:r>
            <w:r>
              <w:t xml:space="preserve"> és </w:t>
            </w:r>
            <w:r>
              <w:rPr>
                <w:b/>
                <w:i/>
              </w:rPr>
              <w:t>fellépésekhez való jog, amelyek összhangban vannak</w:t>
            </w:r>
            <w:r>
              <w:t xml:space="preserve"> az </w:t>
            </w:r>
            <w:r>
              <w:rPr>
                <w:b/>
                <w:i/>
              </w:rPr>
              <w:t>uniós joggal és a nemzeti jogszabályokkal és gyakorlatokkal</w:t>
            </w:r>
            <w:r>
              <w:t xml:space="preserve">, </w:t>
            </w:r>
            <w:r>
              <w:rPr>
                <w:b/>
                <w:i/>
              </w:rPr>
              <w:t>valamint beépültek a nemzetközi emberi jogi szerződésekbe;</w:t>
            </w:r>
            <w:r>
              <w:t xml:space="preserve"> </w:t>
            </w:r>
            <w:r>
              <w:rPr>
                <w:b/>
                <w:i/>
              </w:rPr>
              <w:t>mivel e közös értékek betartása képezi</w:t>
            </w:r>
            <w:r>
              <w:t xml:space="preserve"> az EU-ban </w:t>
            </w:r>
            <w:r>
              <w:rPr>
                <w:b/>
                <w:i/>
              </w:rPr>
              <w:t>élő embereket megillető jogok alapját</w:t>
            </w:r>
            <w:r>
              <w:t>;</w:t>
            </w:r>
          </w:p>
        </w:tc>
        <w:tc>
          <w:tcPr>
            <w:tcW w:w="4876" w:type="dxa"/>
            <w:tcBorders>
              <w:top w:val="nil"/>
              <w:left w:val="nil"/>
              <w:bottom w:val="nil"/>
              <w:right w:val="nil"/>
            </w:tcBorders>
          </w:tcPr>
          <w:p>
            <w:pPr>
              <w:pStyle w:val="Normal6a"/>
            </w:pPr>
            <w:r>
              <w:t>A.</w:t>
            </w:r>
            <w:r>
              <w:tab/>
            </w:r>
            <w:r>
              <w:t xml:space="preserve">mivel az EU az EUSZ 2. cikkében rögzített értékeken, vagyis az emberi méltóság tiszteletben tartása, a szabadság, a demokrácia, az egyenlőség, a jogállamiság, valamint az emberi jogok – ideértve a kisebbségekhez tartozó személyek jogait – tiszteletben tartásának értékein alapul; mivel ezek az értékek </w:t>
            </w:r>
            <w:r>
              <w:rPr>
                <w:b/>
                <w:i/>
              </w:rPr>
              <w:t>közösek</w:t>
            </w:r>
            <w:r>
              <w:t xml:space="preserve"> a </w:t>
            </w:r>
            <w:r>
              <w:rPr>
                <w:b/>
                <w:i/>
              </w:rPr>
              <w:t>tagállamokban, és tükröződnek a nemzetközi emberi jogi szerződésekben,</w:t>
            </w:r>
            <w:r>
              <w:t xml:space="preserve"> és </w:t>
            </w:r>
            <w:r>
              <w:rPr>
                <w:b/>
                <w:i/>
              </w:rPr>
              <w:t>azok részét képezik;</w:t>
            </w:r>
            <w:r>
              <w:t xml:space="preserve"> </w:t>
            </w:r>
            <w:r>
              <w:rPr>
                <w:b/>
                <w:i/>
              </w:rPr>
              <w:t>mivel</w:t>
            </w:r>
            <w:r>
              <w:t xml:space="preserve"> a </w:t>
            </w:r>
            <w:r>
              <w:rPr>
                <w:b/>
                <w:i/>
              </w:rPr>
              <w:t>demokrácia</w:t>
            </w:r>
            <w:r>
              <w:t xml:space="preserve">, a </w:t>
            </w:r>
            <w:r>
              <w:rPr>
                <w:b/>
                <w:i/>
              </w:rPr>
              <w:t>jogállamiság</w:t>
            </w:r>
            <w:r>
              <w:t xml:space="preserve"> és az </w:t>
            </w:r>
            <w:r>
              <w:rPr>
                <w:b/>
                <w:i/>
              </w:rPr>
              <w:t>alapvető jogok egymást kölcsönösen erősítő értékek</w:t>
            </w:r>
            <w:r>
              <w:t xml:space="preserve">, </w:t>
            </w:r>
            <w:r>
              <w:rPr>
                <w:b/>
                <w:i/>
              </w:rPr>
              <w:t>amelyek sérelme rendszerszintű fenyegetést jelent</w:t>
            </w:r>
            <w:r>
              <w:t xml:space="preserve"> az EU-ban </w:t>
            </w:r>
            <w:r>
              <w:rPr>
                <w:b/>
                <w:i/>
              </w:rPr>
              <w:t>élők jogaira és szabadságára nézve</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14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D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mivel a feltételrendszerről szóló rendelet felhatalmazza </w:t>
            </w:r>
            <w:r>
              <w:rPr>
                <w:b/>
                <w:i/>
              </w:rPr>
              <w:t>az EU-t</w:t>
            </w:r>
            <w:r>
              <w:t xml:space="preserve"> arra, hogy </w:t>
            </w:r>
            <w:r>
              <w:rPr>
                <w:b/>
                <w:i/>
              </w:rPr>
              <w:t>pénzügyi érdekeinek védelme érdekében</w:t>
            </w:r>
            <w:r>
              <w:t xml:space="preserve"> arányos pénzügyi intézkedéseket fogadjon el, </w:t>
            </w:r>
            <w:r>
              <w:rPr>
                <w:b/>
                <w:i/>
              </w:rPr>
              <w:t>amennyiben</w:t>
            </w:r>
            <w:r>
              <w:t xml:space="preserve"> a jogállamiság </w:t>
            </w:r>
            <w:r>
              <w:rPr>
                <w:b/>
                <w:i/>
              </w:rPr>
              <w:t>megsértése</w:t>
            </w:r>
            <w:r>
              <w:t xml:space="preserve"> valamely tagállamban érinti az uniós költségvetés hatékony és eredményes </w:t>
            </w:r>
            <w:r>
              <w:rPr>
                <w:b/>
                <w:i/>
              </w:rPr>
              <w:t>pénzgazdálkodását</w:t>
            </w:r>
            <w:r>
              <w:t>, illetve ha ennek komoly kockázata áll fenn; mivel a rendeletet a 2021–2027-es időszakra vonatkozó többéves pénzügyi keretről szóló csomag részeként fogadták el, a társjogalkotók közötti hosszú és nehéz tárgyalásokat követően, amelyek különösen egyes tagállamok arra irányuló kísérleteinek tudhatók be, hogy a többéves pénzügyi keretről szóló tárgyalásokat összekapcsolják a jogállamisági feltételrendszerről folytatott tárgyalásokkal; mivel ez a 2021. január 1-jei hatálybalépése óta minden tagállamra nézve kötelező;</w:t>
            </w:r>
          </w:p>
        </w:tc>
        <w:tc>
          <w:tcPr>
            <w:tcW w:w="4876" w:type="dxa"/>
            <w:tcBorders>
              <w:top w:val="nil"/>
              <w:left w:val="nil"/>
              <w:bottom w:val="nil"/>
              <w:right w:val="nil"/>
            </w:tcBorders>
          </w:tcPr>
          <w:p>
            <w:pPr>
              <w:pStyle w:val="Normal6a"/>
            </w:pPr>
            <w:r>
              <w:t>D.</w:t>
            </w:r>
            <w:r>
              <w:tab/>
            </w:r>
            <w:r>
              <w:t xml:space="preserve">mivel a feltételrendszerről szóló rendelet felhatalmazza </w:t>
            </w:r>
            <w:r>
              <w:rPr>
                <w:b/>
                <w:i/>
              </w:rPr>
              <w:t>a Tanácsot</w:t>
            </w:r>
            <w:r>
              <w:t xml:space="preserve"> arra, hogy </w:t>
            </w:r>
            <w:r>
              <w:rPr>
                <w:b/>
                <w:i/>
              </w:rPr>
              <w:t>a Bizottság javaslata alapján és a Parlament tájékoztatása mellett</w:t>
            </w:r>
            <w:r>
              <w:t xml:space="preserve"> arányos pénzügyi intézkedéseket fogadjon el </w:t>
            </w:r>
            <w:r>
              <w:rPr>
                <w:b/>
                <w:i/>
              </w:rPr>
              <w:t>annak érdekében</w:t>
            </w:r>
            <w:r>
              <w:t xml:space="preserve">, </w:t>
            </w:r>
            <w:r>
              <w:rPr>
                <w:b/>
                <w:i/>
              </w:rPr>
              <w:t>hogy megvédje az uniós költségvetést</w:t>
            </w:r>
            <w:r>
              <w:t xml:space="preserve"> a jogállamiság </w:t>
            </w:r>
            <w:r>
              <w:rPr>
                <w:b/>
                <w:i/>
              </w:rPr>
              <w:t>elveinek</w:t>
            </w:r>
            <w:r>
              <w:t xml:space="preserve"> valamely tagállamban </w:t>
            </w:r>
            <w:r>
              <w:rPr>
                <w:b/>
                <w:i/>
              </w:rPr>
              <w:t>való olyan megsértésével szemben, amely</w:t>
            </w:r>
            <w:r>
              <w:t xml:space="preserve"> érinti az uniós költségvetés </w:t>
            </w:r>
            <w:r>
              <w:rPr>
                <w:b/>
                <w:i/>
              </w:rPr>
              <w:t>EU általi</w:t>
            </w:r>
            <w:r>
              <w:t xml:space="preserve"> hatékony és eredményes </w:t>
            </w:r>
            <w:r>
              <w:rPr>
                <w:b/>
                <w:i/>
              </w:rPr>
              <w:t>pénzügyi irányítását vagy az EU pénzügyi érdekeit</w:t>
            </w:r>
            <w:r>
              <w:t>, illetve ha ennek komoly kockázata áll fenn; mivel a rendeletet a 2021–2027-es időszakra vonatkozó többéves pénzügyi keretről szóló csomag részeként fogadták el, a társjogalkotók közötti hosszú és nehéz tárgyalásokat követően, amelyek különösen egyes tagállamok arra irányuló kísérleteinek tudhatók be, hogy a többéves pénzügyi keretről szóló tárgyalásokat összekapcsolják a jogállamisági feltételrendszerről folytatott tárgyalásokkal; mivel ez a 2021. január 1-jei hatálybalépése óta minden tagállamra nézve kötelező;</w:t>
            </w:r>
            <w:r>
              <w:rPr>
                <w:b/>
                <w:i/>
              </w:rPr>
              <w:t xml:space="preserve"> mivel a 2028–2034-es időszakra vonatkozó többéves pénzügyi keretnek biztosítania kell, hogy minden új mechanizmust a jogállamiság feltételrendszerével összhangban alakítsanak ki;</w:t>
            </w:r>
          </w:p>
        </w:tc>
      </w:tr>
    </w:tbl>
    <w:p>
      <w:r>
        <w:rPr>
          <w:rStyle w:val="HideTWBExt"/>
        </w:rPr>
        <w:t>&lt;/Amend&gt;</w:t>
      </w:r>
    </w:p>
    <w:p>
      <w:pPr>
        <w:pStyle w:val="AmNumberTabs"/>
      </w:pPr>
      <w:r>
        <w:rPr>
          <w:rStyle w:val="HideTWBExt"/>
        </w:rPr>
        <w:t>&lt;Amend&gt;</w:t>
      </w:r>
      <w:r>
        <w:t>Módosítás</w:t>
      </w:r>
      <w:r>
        <w:tab/>
      </w:r>
      <w:r>
        <w:tab/>
      </w:r>
      <w:r>
        <w:rPr>
          <w:rStyle w:val="HideTWBExt"/>
        </w:rPr>
        <w:t>&lt;NumAm&gt;</w:t>
      </w:r>
      <w:r>
        <w:t>15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F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mivel a média függetlenségét vagy a véleménynyilvánítás szabadságát gyengítő, valamint a fékeket és ellensúlyokat erodáló alkotmányos változások közvetlen fenyegetést jelentenek az EUSZ 2. cikkében meghatározott értékekre nézve, és konkrét hatást gyakorolnak az uniós költségvetés védelmére azáltal, hogy rontják az uniós források átlátható felügyeletének környezetét;</w:t>
            </w:r>
          </w:p>
        </w:tc>
      </w:tr>
    </w:tbl>
    <w:p>
      <w:r>
        <w:rPr>
          <w:rStyle w:val="HideTWBExt"/>
        </w:rPr>
        <w:t>&lt;/Amend&gt;</w:t>
      </w:r>
    </w:p>
    <w:p>
      <w:pPr>
        <w:pStyle w:val="AmNumberTabs"/>
      </w:pPr>
      <w:r>
        <w:rPr>
          <w:rStyle w:val="HideTWBExt"/>
        </w:rPr>
        <w:t>&lt;Amend&gt;</w:t>
      </w:r>
      <w:r>
        <w:t>Módosítás</w:t>
      </w:r>
      <w:r>
        <w:tab/>
      </w:r>
      <w:r>
        <w:tab/>
      </w:r>
      <w:r>
        <w:rPr>
          <w:rStyle w:val="HideTWBExt"/>
        </w:rPr>
        <w:t>&lt;NumAm&gt;</w:t>
      </w:r>
      <w:r>
        <w:t>16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F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mivel először Magyarországgal kapcsolatban alkalmazták a feltételrendszerről szóló rendeletet 2022 decemberében, ami a kohéziós alapok 6,3 milliárd EUR összegű felfüggesztéséhez vezetett, valamint annak tiltásához, hogy új jogi kötelezettségvállalásokat tegyenek magyar közérdekű vagyonkezelő alapítványok és az általuk fenntartott szervezetek tekintetében a jogállamiság uniós költségvetést és az EU pénzügyi érdekeit veszélyeztető rendszerszintű megsértése miatt, beleértve az igazságszolgáltatás és az ügyészség függetlenségének korlátozását, valamint a korrupcióval és az uniós alapok végrehajtásának hiányosságaival kapcsolatos kockázatokat, különösen a közbeszerzést és a fent említett közérdekű vagyonkezelő alapítványok szerepét illetően;</w:t>
            </w:r>
          </w:p>
        </w:tc>
      </w:tr>
    </w:tbl>
    <w:p>
      <w:r>
        <w:rPr>
          <w:rStyle w:val="HideTWBExt"/>
        </w:rPr>
        <w:t>&lt;/Amend&gt;</w:t>
      </w:r>
    </w:p>
    <w:p>
      <w:pPr>
        <w:pStyle w:val="AmNumberTabs"/>
      </w:pPr>
      <w:r>
        <w:rPr>
          <w:rStyle w:val="HideTWBExt"/>
        </w:rPr>
        <w:t>&lt;Amend&gt;</w:t>
      </w:r>
      <w:r>
        <w:t>Módosítás</w:t>
      </w:r>
      <w:r>
        <w:tab/>
      </w:r>
      <w:r>
        <w:tab/>
      </w:r>
      <w:r>
        <w:rPr>
          <w:rStyle w:val="HideTWBExt"/>
        </w:rPr>
        <w:t>&lt;NumAm&gt;</w:t>
      </w:r>
      <w:r>
        <w:t>17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G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mivel a Bizottság a feltételrendszerről szóló rendelet 9. cikke alapján 2024 januárjában jelentést adott ki, hogy áttekintse a jogszabály alkalmazását; mivel az egyetlen rendelkezésre álló eset Bizottság által elvégzett elemzése megerősítette az elfogadott védelmi intézkedések hatékonyságát és az azokban rejlő jövőbeni lehetőségeket, de a Bizottság úgy ítélte meg, hogy túl korai lenne végleges következtetéseket levonni, és hogy a kiterjedtebb esetgyakorlat lehetővé tenné a lehetséges fejlesztések pontosabb meghatározását;</w:t>
            </w:r>
          </w:p>
        </w:tc>
        <w:tc>
          <w:tcPr>
            <w:tcW w:w="4876" w:type="dxa"/>
            <w:tcBorders>
              <w:top w:val="nil"/>
              <w:left w:val="nil"/>
              <w:bottom w:val="nil"/>
              <w:right w:val="nil"/>
            </w:tcBorders>
          </w:tcPr>
          <w:p>
            <w:pPr>
              <w:pStyle w:val="Normal6a"/>
            </w:pPr>
            <w:r>
              <w:t>G.</w:t>
            </w:r>
            <w:r>
              <w:tab/>
            </w:r>
            <w:r>
              <w:t>mivel a Bizottság a feltételrendszerről szóló rendelet 9. cikke alapján 2024 januárjában jelentést adott ki, hogy áttekintse a jogszabály alkalmazását; mivel az egyetlen rendelkezésre álló eset Bizottság által elvégzett elemzése megerősítette az elfogadott védelmi intézkedések hatékonyságát és az azokban rejlő jövőbeni lehetőségeket, de a Bizottság úgy ítélte meg, hogy túl korai lenne végleges következtetéseket levonni, és hogy a kiterjedtebb esetgyakorlat lehetővé tenné a lehetséges fejlesztések pontosabb meghatározását;</w:t>
            </w:r>
            <w:r>
              <w:rPr>
                <w:b/>
                <w:i/>
              </w:rPr>
              <w:t xml:space="preserve"> mivel a Bizottság által végzett értékelés tanúsítja, hogy a feltételrendszerről szóló rendelet értelmében a Bizottságra vonatkozó határidők kevés rugalmasságot tesznek lehetővé, és bizonyos szakaszokban különösen nagy kihívást jelentenek; mivel Magyarország esetében a jelentés hosszan üdvözli a feltételrendszerről szóló rendelet keretében elért eredményeket, ugyanakkor nem hangsúlyozza kellőképpen, hogy a kihívások milyen mértékben maradtak megoldatlanok;</w:t>
            </w:r>
          </w:p>
        </w:tc>
      </w:tr>
    </w:tbl>
    <w:p>
      <w:r>
        <w:rPr>
          <w:rStyle w:val="HideTWBExt"/>
        </w:rPr>
        <w:t>&lt;/Amend&gt;</w:t>
      </w:r>
    </w:p>
    <w:p>
      <w:pPr>
        <w:pStyle w:val="AmNumberTabs"/>
      </w:pPr>
      <w:r>
        <w:rPr>
          <w:rStyle w:val="HideTWBExt"/>
        </w:rPr>
        <w:t>&lt;Amend&gt;</w:t>
      </w:r>
      <w:r>
        <w:t>Módosítás</w:t>
      </w:r>
      <w:r>
        <w:tab/>
      </w:r>
      <w:r>
        <w:tab/>
      </w:r>
      <w:r>
        <w:rPr>
          <w:rStyle w:val="HideTWBExt"/>
        </w:rPr>
        <w:t>&lt;NumAm&gt;</w:t>
      </w:r>
      <w:r>
        <w:t>18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I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mivel e jelentés célja a feltételrendszerről szóló rendelet végrehajtásának </w:t>
            </w:r>
            <w:r>
              <w:rPr>
                <w:b/>
                <w:i/>
              </w:rPr>
              <w:t>vizsgálata</w:t>
            </w:r>
            <w:r>
              <w:t xml:space="preserve"> a Parlament rendeletben meghatározott szerepének megfelelően, rámutatva a rendelet alkalmazásának előnyeire és hiányosságaira, valamint </w:t>
            </w:r>
            <w:r>
              <w:rPr>
                <w:b/>
                <w:i/>
              </w:rPr>
              <w:t>ajánlásokat fogalmazva meg</w:t>
            </w:r>
            <w:r>
              <w:t xml:space="preserve"> a </w:t>
            </w:r>
            <w:r>
              <w:rPr>
                <w:b/>
                <w:i/>
              </w:rPr>
              <w:t>rendelet jövőbeli végrehajtására vonatkozóan</w:t>
            </w:r>
            <w:r>
              <w:t>;</w:t>
            </w:r>
          </w:p>
        </w:tc>
        <w:tc>
          <w:tcPr>
            <w:tcW w:w="4876" w:type="dxa"/>
            <w:tcBorders>
              <w:top w:val="nil"/>
              <w:left w:val="nil"/>
              <w:bottom w:val="nil"/>
              <w:right w:val="nil"/>
            </w:tcBorders>
          </w:tcPr>
          <w:p>
            <w:pPr>
              <w:pStyle w:val="Normal6a"/>
            </w:pPr>
            <w:r>
              <w:t>I.</w:t>
            </w:r>
            <w:r>
              <w:tab/>
            </w:r>
            <w:r>
              <w:t xml:space="preserve">mivel e jelentés célja a feltételrendszerről szóló rendelet végrehajtásának </w:t>
            </w:r>
            <w:r>
              <w:rPr>
                <w:b/>
                <w:i/>
              </w:rPr>
              <w:t>ellenőrzése</w:t>
            </w:r>
            <w:r>
              <w:t xml:space="preserve"> a Parlament rendeletben meghatározott szerepének megfelelően, rámutatva a rendelet alkalmazásának előnyeire és hiányosságaira, </w:t>
            </w:r>
            <w:r>
              <w:rPr>
                <w:b/>
                <w:i/>
              </w:rPr>
              <w:t>és ajánlásokat adva ki annak jövőbeli végrehajtására,</w:t>
            </w:r>
            <w:r>
              <w:t xml:space="preserve"> valamint </w:t>
            </w:r>
            <w:r>
              <w:rPr>
                <w:b/>
                <w:i/>
              </w:rPr>
              <w:t>értékelve a feltételrendszerről szóló rendszer következetességét és hatékonyságát a jogállamisági eszköztár egyéb eszközeivel, például a közös rendelkezésekről szóló rendelettel és a Helyreállítási és Rezilienciaépítési Eszköz keretében</w:t>
            </w:r>
            <w:r>
              <w:t xml:space="preserve"> a </w:t>
            </w:r>
            <w:r>
              <w:rPr>
                <w:b/>
                <w:i/>
              </w:rPr>
              <w:t>jogállamisággal kapcsolatos „szupermérföldkövekkel” együtt</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19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üdvözli, hogy az EUB megerősítette, hogy az EUSZ 2. cikkében foglalt értékek tiszteletben tartása </w:t>
            </w:r>
            <w:r>
              <w:rPr>
                <w:b/>
                <w:i/>
              </w:rPr>
              <w:t>az uniós csatlakozást követően is</w:t>
            </w:r>
            <w:r>
              <w:t xml:space="preserve"> folyamatos kötelezettség, és előfeltétele az uniós tagságból eredő valamennyi, Szerződésben foglalt jog és előny gyakorlásának, beleértve az uniós forrásokhoz való hozzáférést is; utasítja a Bizottságot, hogy kommunikációs és végrehajtási tevékenységei során mutasson rá erre a pontra;</w:t>
            </w:r>
          </w:p>
        </w:tc>
        <w:tc>
          <w:tcPr>
            <w:tcW w:w="4876" w:type="dxa"/>
            <w:tcBorders>
              <w:top w:val="nil"/>
              <w:left w:val="nil"/>
              <w:bottom w:val="nil"/>
              <w:right w:val="nil"/>
            </w:tcBorders>
          </w:tcPr>
          <w:p>
            <w:pPr>
              <w:pStyle w:val="Normal6a"/>
            </w:pPr>
            <w:r>
              <w:t>3.</w:t>
            </w:r>
            <w:r>
              <w:tab/>
            </w:r>
            <w:r>
              <w:t xml:space="preserve">üdvözli, hogy az EUB megerősítette, hogy az EUSZ 2. cikkében foglalt értékek tiszteletben tartása </w:t>
            </w:r>
            <w:r>
              <w:rPr>
                <w:b/>
                <w:i/>
              </w:rPr>
              <w:t>valamennyi tagállam számára</w:t>
            </w:r>
            <w:r>
              <w:t xml:space="preserve"> folyamatos kötelezettség, és előfeltétele az uniós tagságból eredő valamennyi, Szerződésben foglalt jog és előny gyakorlásának, beleértve az uniós forrásokhoz való hozzáférést is; utasítja a Bizottságot, hogy kommunikációs és végrehajtási tevékenységei során mutasson rá erre a pontra</w:t>
            </w:r>
            <w:r>
              <w:rPr>
                <w:b/>
                <w:i/>
                <w:vertAlign w:val="superscript"/>
              </w:rPr>
              <w:t>1a</w:t>
            </w:r>
            <w:r>
              <w:t>;</w:t>
            </w:r>
            <w:r>
              <w:rPr>
                <w:b/>
                <w:i/>
              </w:rPr>
              <w:t xml:space="preserve"> </w:t>
            </w:r>
            <w:r>
              <w:rPr>
                <w:b/>
                <w:i/>
              </w:rPr>
              <w:t>hangsúlyozza, hogy ezt gyakrabban fel kell idézni, mivel az EU hitelességét erősíti, és kiemeli, hogy a meg nem felelés hatásait is következetesen hangsúlyozni kell;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 visszalépés tilalmának elve; Campos Sánchez-Bordona főtanácsnok C-156/21. sz., Magyarország kontra Európai Parlament és az Európai Unió Tanácsa ügyre vonatkozó, 2021. december 2-i indítványa, ECLI:EU:C:2021:974, 214. pont.</w:t>
            </w:r>
          </w:p>
        </w:tc>
      </w:tr>
    </w:tbl>
    <w:p>
      <w:r>
        <w:rPr>
          <w:rStyle w:val="HideTWBExt"/>
        </w:rPr>
        <w:t>&lt;/Amend&gt;</w:t>
      </w:r>
    </w:p>
    <w:p>
      <w:pPr>
        <w:pStyle w:val="AmNumberTabs"/>
      </w:pPr>
      <w:r>
        <w:rPr>
          <w:rStyle w:val="HideTWBExt"/>
        </w:rPr>
        <w:t>&lt;Amend&gt;</w:t>
      </w:r>
      <w:r>
        <w:t>Módosítás</w:t>
      </w:r>
      <w:r>
        <w:tab/>
      </w:r>
      <w:r>
        <w:tab/>
      </w:r>
      <w:r>
        <w:rPr>
          <w:rStyle w:val="HideTWBExt"/>
        </w:rPr>
        <w:t>&lt;NumAm&gt;</w:t>
      </w:r>
      <w:r>
        <w:t>20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t>üdvözli, hogy az EUB kiemelte, hogy az uniós költségvetés kulcsfontosságú eszköz az EUSZ 2. cikkében foglalt szolidaritás elvének megvalósításához, amely az EU egyik alapelve</w:t>
            </w:r>
            <w:r>
              <w:rPr>
                <w:vertAlign w:val="superscript"/>
              </w:rPr>
              <w:t>1a</w:t>
            </w:r>
            <w:r>
              <w:t>;</w:t>
            </w:r>
            <w:r>
              <w:rPr>
                <w:b/>
                <w:i/>
              </w:rPr>
              <w:t xml:space="preserve"> megismétli, hogy a szolidaritás a pénzügyi források megosztásával valósul meg, és a tagállamok közötti kölcsönös bizalmon alapul, ami azt feltételezi, hogy minden tagállam felelősségteljesen használja fel a közös alapokat, és továbbra is elkötelezett az uniós jog szerinti kötelezettségei teljesítése mellett, beleértve az EUSZ 2. cikkében foglalt értékek, nevezetesen a jogállamiság tiszteletben tartását;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Az EUB fent említett C-156/21. sz. ügye, 129. pont.</w:t>
            </w:r>
          </w:p>
        </w:tc>
      </w:tr>
    </w:tbl>
    <w:p>
      <w:r>
        <w:rPr>
          <w:rStyle w:val="HideTWBExt"/>
        </w:rPr>
        <w:t>&lt;/Amend&gt;</w:t>
      </w:r>
    </w:p>
    <w:p>
      <w:pPr>
        <w:pStyle w:val="AmNumberTabs"/>
      </w:pPr>
      <w:r>
        <w:rPr>
          <w:rStyle w:val="HideTWBExt"/>
        </w:rPr>
        <w:t>&lt;Amend&gt;</w:t>
      </w:r>
      <w:r>
        <w:t>Módosítás</w:t>
      </w:r>
      <w:r>
        <w:tab/>
      </w:r>
      <w:r>
        <w:tab/>
      </w:r>
      <w:r>
        <w:rPr>
          <w:rStyle w:val="HideTWBExt"/>
        </w:rPr>
        <w:t>&lt;NumAm&gt;</w:t>
      </w:r>
      <w:r>
        <w:t>21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hangsúlyozza, hogy </w:t>
            </w:r>
            <w:r>
              <w:rPr>
                <w:b/>
                <w:i/>
              </w:rPr>
              <w:t>ezek a finanszírozási</w:t>
            </w:r>
            <w:r>
              <w:t xml:space="preserve"> eszközök nem tekinthetők az EUSZ 2. cikkében foglalt értékek védelmét szolgáló, Szerződésen alapuló mechanizmusok helyettesítőinek, és emlékeztet arra, hogy a szavazati jognak az EUSZ 7. cikkének (2) bekezdése szerinti felfüggesztése továbbra is lehetőség marad a jogállamiság tartós és súlyos megsértése esetén;</w:t>
            </w:r>
          </w:p>
        </w:tc>
        <w:tc>
          <w:tcPr>
            <w:tcW w:w="4876" w:type="dxa"/>
            <w:tcBorders>
              <w:top w:val="nil"/>
              <w:left w:val="nil"/>
              <w:bottom w:val="nil"/>
              <w:right w:val="nil"/>
            </w:tcBorders>
          </w:tcPr>
          <w:p>
            <w:pPr>
              <w:pStyle w:val="Normal6a"/>
            </w:pPr>
            <w:r>
              <w:t>4.</w:t>
            </w:r>
            <w:r>
              <w:tab/>
            </w:r>
            <w:r>
              <w:t xml:space="preserve">hangsúlyozza, hogy </w:t>
            </w:r>
            <w:r>
              <w:rPr>
                <w:b/>
                <w:i/>
              </w:rPr>
              <w:t>a feltételtrendszerről szóló rendelet és az egyéb költségvetési</w:t>
            </w:r>
            <w:r>
              <w:t xml:space="preserve"> eszközök nem tekinthetők az EUSZ 2. cikkében foglalt értékek védelmét szolgáló, Szerződésen alapuló mechanizmusok helyettesítőinek, és emlékeztet arra, hogy </w:t>
            </w:r>
            <w:r>
              <w:rPr>
                <w:b/>
                <w:i/>
              </w:rPr>
              <w:t>a Szerződések alkalmazásából eredő jogoknak – többek között, de nem kizárólag –</w:t>
            </w:r>
            <w:r>
              <w:t xml:space="preserve"> a szavazati jognak az EUSZ 7. cikkének (2) bekezdése szerinti felfüggesztése továbbra is lehetőség marad a jogállamiság tartós és súlyos megsértése esetén</w:t>
            </w:r>
            <w:r>
              <w:rPr>
                <w:b/>
                <w:i/>
              </w:rPr>
              <w:t>, és hogy e mechanizmus következésképpen nem „kerüli meg” az EUSZ 7. cikke szerinti eljárást, hanem annak kiegészítéseként tekintendő</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22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emlékeztet arra, hogy a Bizottság „jogállamisági eszköztára” az elmúlt évtizedben jelentős fejlődésen ment keresztül, és több, a jogállamiság védelmét szolgáló eszközzel bővült, ideértve a mind a 27 tagállamra kiterjedő éves jogállamisági jelentést, a közös rendelkezésekről szóló rendelet alapján a Chartára vonatkozó horizontális feljogosító feltételt, valamint a Helyreállítási és Rezilienciaépítési Eszköz keretében a jogállamisággal kapcsolatos úgynevezett szupermérföldköveket;</w:t>
            </w:r>
          </w:p>
        </w:tc>
        <w:tc>
          <w:tcPr>
            <w:tcW w:w="4876" w:type="dxa"/>
            <w:tcBorders>
              <w:top w:val="nil"/>
              <w:left w:val="nil"/>
              <w:bottom w:val="nil"/>
              <w:right w:val="nil"/>
            </w:tcBorders>
          </w:tcPr>
          <w:p>
            <w:pPr>
              <w:pStyle w:val="Normal6a"/>
            </w:pPr>
            <w:r>
              <w:t>5.</w:t>
            </w:r>
            <w:r>
              <w:tab/>
            </w:r>
            <w:r>
              <w:t>emlékeztet arra, hogy a Bizottság „jogállamisági eszköztára” az elmúlt évtizedben jelentős fejlődésen ment keresztül, és több, a jogállamiság védelmét szolgáló eszközzel bővült, ideértve a mind a 27 tagállamra kiterjedő éves jogállamisági jelentést, a közös rendelkezésekről szóló rendelet alapján a Chartára vonatkozó horizontális feljogosító feltételt, valamint a Helyreállítási és Rezilienciaépítési Eszköz keretében a jogállamisággal kapcsolatos úgynevezett szupermérföldköveket;</w:t>
            </w:r>
            <w:r>
              <w:rPr>
                <w:b/>
                <w:i/>
              </w:rPr>
              <w:t xml:space="preserve"> hangsúlyozza, hogy bár az eszköztár fejlődése némi előrelépést jelentett, egyelőre nem hozott kellően kézzelfogható eredményeket, ami főként annak tudható be, hogy korlátozott a lehető legteljesebb mértékű felhasználására irányuló politikai akarat;</w:t>
            </w:r>
          </w:p>
        </w:tc>
      </w:tr>
    </w:tbl>
    <w:p>
      <w:r>
        <w:rPr>
          <w:rStyle w:val="HideTWBExt"/>
        </w:rPr>
        <w:t>&lt;/Amend&gt;</w:t>
      </w:r>
    </w:p>
    <w:p>
      <w:pPr>
        <w:pStyle w:val="AmNumberTabs"/>
      </w:pPr>
      <w:r>
        <w:rPr>
          <w:rStyle w:val="HideTWBExt"/>
        </w:rPr>
        <w:t>&lt;Amend&gt;</w:t>
      </w:r>
      <w:r>
        <w:t>Módosítás</w:t>
      </w:r>
      <w:r>
        <w:tab/>
      </w:r>
      <w:r>
        <w:tab/>
      </w:r>
      <w:r>
        <w:rPr>
          <w:rStyle w:val="HideTWBExt"/>
        </w:rPr>
        <w:t>&lt;NumAm&gt;</w:t>
      </w:r>
      <w:r>
        <w:t>23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hangsúlyozza, hogy a feltételrendszer költségvetési jellegű, mivel célja az uniós forrásokkal folytatott hatékony és eredményes pénzgazdálkodás és az EU pénzügyi érdekeinek védelme, és csak akkor alkalmazandó, ha a jogállamiság megsértése érinti az uniós költségvetést, illetve ha ennek komoly kockázata áll fenn; hangsúlyozza, hogy ez eltér az EUSZ 7. </w:t>
            </w:r>
            <w:r>
              <w:rPr>
                <w:b/>
                <w:i/>
              </w:rPr>
              <w:t>cikke szerinti eljárástól</w:t>
            </w:r>
            <w:r>
              <w:t xml:space="preserve">, </w:t>
            </w:r>
            <w:r>
              <w:rPr>
                <w:b/>
                <w:i/>
              </w:rPr>
              <w:t>amely</w:t>
            </w:r>
            <w:r>
              <w:t xml:space="preserve"> az EUSZ 2. cikkében meghatározott értékek súlyos és tartós </w:t>
            </w:r>
            <w:r>
              <w:rPr>
                <w:b/>
                <w:i/>
              </w:rPr>
              <w:t>megsértését szankcionálja</w:t>
            </w:r>
            <w:r>
              <w:t>;</w:t>
            </w:r>
          </w:p>
        </w:tc>
        <w:tc>
          <w:tcPr>
            <w:tcW w:w="4876" w:type="dxa"/>
            <w:tcBorders>
              <w:top w:val="nil"/>
              <w:left w:val="nil"/>
              <w:bottom w:val="nil"/>
              <w:right w:val="nil"/>
            </w:tcBorders>
          </w:tcPr>
          <w:p>
            <w:pPr>
              <w:pStyle w:val="Normal6a"/>
            </w:pPr>
            <w:r>
              <w:t>6.</w:t>
            </w:r>
            <w:r>
              <w:tab/>
            </w:r>
            <w:r>
              <w:t xml:space="preserve">hangsúlyozza, hogy a feltételrendszer költségvetési jellegű, mivel célja az uniós forrásokkal folytatott hatékony és eredményes pénzgazdálkodás és az EU pénzügyi érdekeinek védelme, és csak akkor alkalmazandó, ha a jogállamiság megsértése érinti az uniós költségvetést, illetve ha ennek komoly kockázata áll fenn; hangsúlyozza, hogy ez eltér az EUSZ 7. </w:t>
            </w:r>
            <w:r>
              <w:rPr>
                <w:b/>
                <w:i/>
              </w:rPr>
              <w:t>cikkének (1) és (2) bekezdésétől</w:t>
            </w:r>
            <w:r>
              <w:t xml:space="preserve">, </w:t>
            </w:r>
            <w:r>
              <w:rPr>
                <w:b/>
                <w:i/>
              </w:rPr>
              <w:t>amelyek olyan helyzetekre vonatkoznak, amikor fennáll</w:t>
            </w:r>
            <w:r>
              <w:t xml:space="preserve"> az EUSZ 2. cikkében meghatározott értékek súlyos </w:t>
            </w:r>
            <w:r>
              <w:rPr>
                <w:b/>
                <w:i/>
              </w:rPr>
              <w:t>vagy súlyos</w:t>
            </w:r>
            <w:r>
              <w:t xml:space="preserve"> és tartós </w:t>
            </w:r>
            <w:r>
              <w:rPr>
                <w:b/>
                <w:i/>
              </w:rPr>
              <w:t>megsértésének egyértelmű kockázata, és lehetővé teszi az EU számára, hogy azonosítsa ezeket a kockázatokat és reagáljon azokra, többek között azáltal, hogy az EUSZ 7. cikkének (1) bekezdése alapján ajánlásokat intéz az érintett tagállamhoz, és adott esetben az EUSZ 7. cikkének (2) és (3) bekezdése szerinti szankciókat fogad el</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24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hangsúlyozza, hogy az EUMSZ 258. cikke és a költségvetési rendelet 6. cikke szerinti kötelezettségszegési eljárások továbbra is egymást kiegészítő eszközök maradnak az EUSZ 2. cikke szerinti értékek rendszerszintű megsértése esetén;</w:t>
            </w:r>
          </w:p>
        </w:tc>
        <w:tc>
          <w:tcPr>
            <w:tcW w:w="4876" w:type="dxa"/>
            <w:tcBorders>
              <w:top w:val="nil"/>
              <w:left w:val="nil"/>
              <w:bottom w:val="nil"/>
              <w:right w:val="nil"/>
            </w:tcBorders>
          </w:tcPr>
          <w:p>
            <w:pPr>
              <w:pStyle w:val="Normal6a"/>
            </w:pPr>
            <w:r>
              <w:t>7.</w:t>
            </w:r>
            <w:r>
              <w:tab/>
            </w:r>
            <w:r>
              <w:t>hangsúlyozza, hogy az EUMSZ 258. </w:t>
            </w:r>
            <w:r>
              <w:rPr>
                <w:b/>
                <w:i/>
              </w:rPr>
              <w:t>és 260.</w:t>
            </w:r>
            <w:r>
              <w:t xml:space="preserve"> cikke és a költségvetési rendelet 6. cikke szerinti kötelezettségszegési eljárások továbbra is egymást kiegészítő eszközök maradnak az EUSZ 2. cikke szerinti értékek rendszerszintű megsértése esetén;</w:t>
            </w:r>
            <w:r>
              <w:rPr>
                <w:b/>
                <w:i/>
              </w:rPr>
              <w:t xml:space="preserve"> megjegyzi továbbá, hogy az Európai Unió Bíróságának a C-769/22. sz., Bizottság kontra Magyarország (uniós értékek) ügyben folyamatban lévő ítélete önálló jogalapként állapíthatná meg az EUSZ 2. cikkét, ezáltal megerősítve a kötelezettségszegési eljárásokat;</w:t>
            </w:r>
          </w:p>
        </w:tc>
      </w:tr>
    </w:tbl>
    <w:p>
      <w:r>
        <w:rPr>
          <w:rStyle w:val="HideTWBExt"/>
        </w:rPr>
        <w:t>&lt;/Amend&gt;</w:t>
      </w:r>
    </w:p>
    <w:p>
      <w:pPr>
        <w:pStyle w:val="AmNumberTabs"/>
      </w:pPr>
      <w:r>
        <w:rPr>
          <w:rStyle w:val="HideTWBExt"/>
        </w:rPr>
        <w:t>&lt;Amend&gt;</w:t>
      </w:r>
      <w:r>
        <w:t>Módosítás</w:t>
      </w:r>
      <w:r>
        <w:tab/>
      </w:r>
      <w:r>
        <w:tab/>
      </w:r>
      <w:r>
        <w:rPr>
          <w:rStyle w:val="HideTWBExt"/>
        </w:rPr>
        <w:t>&lt;NumAm&gt;</w:t>
      </w:r>
      <w:r>
        <w:t>25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üdvözli</w:t>
            </w:r>
            <w:r>
              <w:t xml:space="preserve"> az EUB C-156/21. és C-157/21. sz. ügyekben 2022. február 16-án hozott </w:t>
            </w:r>
            <w:r>
              <w:rPr>
                <w:b/>
                <w:i/>
              </w:rPr>
              <w:t>ítéleteit, amelyek</w:t>
            </w:r>
            <w:r>
              <w:t xml:space="preserve"> teljes egészében elutasították a Magyarország és Lengyelország által a feltételrendszerről szóló rendelet megsemmisítése iránt benyújtott kereseteket, és egyértelműen megerősítették a rendelet érvényességét, jogalapját és a Szerződéssel való összeegyeztethetőségét, valamint az EU jogállamisággal kapcsolatos hatásköreit a tagállamokban;</w:t>
            </w:r>
          </w:p>
        </w:tc>
        <w:tc>
          <w:tcPr>
            <w:tcW w:w="4876" w:type="dxa"/>
            <w:tcBorders>
              <w:top w:val="nil"/>
              <w:left w:val="nil"/>
              <w:bottom w:val="nil"/>
              <w:right w:val="nil"/>
            </w:tcBorders>
          </w:tcPr>
          <w:p>
            <w:pPr>
              <w:pStyle w:val="Normal6a"/>
            </w:pPr>
            <w:r>
              <w:t>8.</w:t>
            </w:r>
            <w:r>
              <w:tab/>
            </w:r>
            <w:r>
              <w:rPr>
                <w:b/>
                <w:i/>
              </w:rPr>
              <w:t>tudomásul veszi, hogy</w:t>
            </w:r>
            <w:r>
              <w:t xml:space="preserve"> az EUB C-156/21. és C-157/21. sz. ügyekben 2022. február 16-án hozott </w:t>
            </w:r>
            <w:r>
              <w:rPr>
                <w:b/>
                <w:i/>
              </w:rPr>
              <w:t>ítéletei</w:t>
            </w:r>
            <w:r>
              <w:t xml:space="preserve"> teljes egészében elutasították a Magyarország és Lengyelország által a feltételrendszerről szóló rendelet megsemmisítése iránt benyújtott kereseteket, és egyértelműen megerősítették a rendelet érvényességét, jogalapját és a Szerződéssel való összeegyeztethetőségét, valamint az EU jogállamisággal kapcsolatos hatásköreit a tagállamokban;</w:t>
            </w:r>
            <w:r>
              <w:rPr>
                <w:b/>
                <w:i/>
              </w:rPr>
              <w:t xml:space="preserve"> megjegyzi továbbá, hogy ugyanezen ítéletekben az EUB megerősítette, hogy az EUSZ 2. cikkében kifejezett értékek jogilag kötelező erejű kötelezettségeket tartalmaznak a tagállamok számára;</w:t>
            </w:r>
          </w:p>
        </w:tc>
      </w:tr>
    </w:tbl>
    <w:p>
      <w:r>
        <w:rPr>
          <w:rStyle w:val="HideTWBExt"/>
        </w:rPr>
        <w:t>&lt;/Amend&gt;</w:t>
      </w:r>
    </w:p>
    <w:p>
      <w:pPr>
        <w:pStyle w:val="AmNumberTabs"/>
      </w:pPr>
      <w:r>
        <w:rPr>
          <w:rStyle w:val="HideTWBExt"/>
        </w:rPr>
        <w:t>&lt;Amend&gt;</w:t>
      </w:r>
      <w:r>
        <w:t>Módosítás</w:t>
      </w:r>
      <w:r>
        <w:tab/>
      </w:r>
      <w:r>
        <w:tab/>
      </w:r>
      <w:r>
        <w:rPr>
          <w:rStyle w:val="HideTWBExt"/>
        </w:rPr>
        <w:t>&lt;NumAm&gt;</w:t>
      </w:r>
      <w:r>
        <w:t>26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tudomásul veszi a Bizottság által a feltételrendszerről szóló rendeletre vonatkozó 2022. évi iránymutatásban az eljárással kapcsolatban nyújtott további pontosításokat, valamint a rendelet gyakorlati alkalmazásának felülvizsgálatát, amelyet Bizottság a rendelet alkalmazásáról kiadott 2024. évi jelentésben végzett el; sajnálja azonban, hogy </w:t>
            </w:r>
            <w:r>
              <w:rPr>
                <w:b/>
                <w:i/>
              </w:rPr>
              <w:t>az iránymutatást</w:t>
            </w:r>
            <w:r>
              <w:t xml:space="preserve"> több mint egy évvel a rendelet hatálybalépése után </w:t>
            </w:r>
            <w:r>
              <w:rPr>
                <w:b/>
                <w:i/>
              </w:rPr>
              <w:t>fogadták el</w:t>
            </w:r>
            <w:r>
              <w:t xml:space="preserve">, és </w:t>
            </w:r>
            <w:r>
              <w:rPr>
                <w:b/>
                <w:i/>
              </w:rPr>
              <w:t>hogy ez hozzájárult ahhoz</w:t>
            </w:r>
            <w:r>
              <w:t xml:space="preserve">, hogy a rendelet </w:t>
            </w:r>
            <w:r>
              <w:rPr>
                <w:b/>
                <w:i/>
              </w:rPr>
              <w:t>alkalmazása ténylegesen késett</w:t>
            </w:r>
            <w:r>
              <w:t>;</w:t>
            </w:r>
          </w:p>
        </w:tc>
        <w:tc>
          <w:tcPr>
            <w:tcW w:w="4876" w:type="dxa"/>
            <w:tcBorders>
              <w:top w:val="nil"/>
              <w:left w:val="nil"/>
              <w:bottom w:val="nil"/>
              <w:right w:val="nil"/>
            </w:tcBorders>
          </w:tcPr>
          <w:p>
            <w:pPr>
              <w:pStyle w:val="Normal6a"/>
            </w:pPr>
            <w:r>
              <w:t>9.</w:t>
            </w:r>
            <w:r>
              <w:tab/>
            </w:r>
            <w:r>
              <w:t xml:space="preserve">tudomásul veszi a Bizottság által a feltételrendszerről szóló rendeletre vonatkozó 2022. évi iránymutatásban az eljárással kapcsolatban nyújtott további pontosításokat, valamint a rendelet gyakorlati alkalmazásának felülvizsgálatát, amelyet Bizottság a rendelet alkalmazásáról kiadott 2024. évi jelentésben végzett el; sajnálja azonban, hogy </w:t>
            </w:r>
            <w:r>
              <w:rPr>
                <w:b/>
                <w:i/>
              </w:rPr>
              <w:t>a Bizottság</w:t>
            </w:r>
            <w:r>
              <w:t xml:space="preserve"> több mint egy évvel a rendelet hatálybalépése után </w:t>
            </w:r>
            <w:r>
              <w:rPr>
                <w:b/>
                <w:i/>
              </w:rPr>
              <w:t>jogellenesen megszakította a feltételrendszerről szóló rendelet alkalmazását az Európai Tanács következtetései nyomán, amelyek összeegyeztethetetlenek voltak a feltételrendszerről szóló rendelettel</w:t>
            </w:r>
            <w:r>
              <w:t xml:space="preserve">, és </w:t>
            </w:r>
            <w:r>
              <w:rPr>
                <w:b/>
                <w:i/>
              </w:rPr>
              <w:t>nem voltak kötelezők a Bizottságra nézve;</w:t>
            </w:r>
            <w:r>
              <w:rPr>
                <w:b/>
                <w:i/>
              </w:rPr>
              <w:t xml:space="preserve"> </w:t>
            </w:r>
            <w:r>
              <w:rPr>
                <w:b/>
                <w:i/>
              </w:rPr>
              <w:t>ismételten sajnálatát fejezi ki amiatt</w:t>
            </w:r>
            <w:r>
              <w:t xml:space="preserve">, hogy a </w:t>
            </w:r>
            <w:r>
              <w:rPr>
                <w:b/>
                <w:i/>
              </w:rPr>
              <w:t>Bizottság iránymutatásokat fogadott el a feltételrendszerről szóló</w:t>
            </w:r>
            <w:r>
              <w:t xml:space="preserve"> rendelet </w:t>
            </w:r>
            <w:r>
              <w:rPr>
                <w:b/>
                <w:i/>
              </w:rPr>
              <w:t>alkalmazására vonatkozóan, amikor semmi nem utalt arra, hogy szükség lenne ilyen iránymutatásokra</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27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megjegyzi, hogy a feltételrendszerről szóló rendelet az egyetlen olyan eszköz, amely előírja annak értékelését, hogy más eszközök képesek lennének-e hatékonyabban megvédeni az Unió pénzügyi érdekeit a jogállamiság elveinek megsértésével szemben; úgy véli, hogy hasznos lehet átgondolni e követelmény gyakorlati relevanciáját és arányosságát a végrehajtása során;</w:t>
            </w:r>
          </w:p>
        </w:tc>
      </w:tr>
    </w:tbl>
    <w:p>
      <w:r>
        <w:rPr>
          <w:rStyle w:val="HideTWBExt"/>
        </w:rPr>
        <w:t>&lt;/Amend&gt;</w:t>
      </w:r>
    </w:p>
    <w:p>
      <w:pPr>
        <w:pStyle w:val="AmNumberTabs"/>
      </w:pPr>
      <w:r>
        <w:rPr>
          <w:rStyle w:val="HideTWBExt"/>
        </w:rPr>
        <w:t>&lt;Amend&gt;</w:t>
      </w:r>
      <w:r>
        <w:t>Módosítás</w:t>
      </w:r>
      <w:r>
        <w:tab/>
      </w:r>
      <w:r>
        <w:tab/>
      </w:r>
      <w:r>
        <w:rPr>
          <w:rStyle w:val="HideTWBExt"/>
        </w:rPr>
        <w:t>&lt;NumAm&gt;</w:t>
      </w:r>
      <w:r>
        <w:t>28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10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w:t>
            </w:r>
            <w:r>
              <w:tab/>
            </w:r>
            <w:r>
              <w:t>megjegyzi, hogy bár a tagállamok eltérő nemzeti identitással és hagyományokkal rendelkeznek, a jogállamiság az EU és a tagállamok közös értéke, és az EU-nak és jogrendjének alapvető részét képezi</w:t>
            </w:r>
            <w:r>
              <w:rPr>
                <w:vertAlign w:val="superscript"/>
              </w:rPr>
              <w:t>1a</w:t>
            </w:r>
            <w:r>
              <w:t>;</w:t>
            </w:r>
            <w:r>
              <w:rPr>
                <w:b/>
                <w:i/>
              </w:rPr>
              <w:t xml:space="preserve"> megjegyzi, hogy a jogállamiság az EUB és az Emberi Jogok Európai Bírósága által elismert és az Európa Tanács által kidolgozott alábbi hat elv alapján határozható meg: (i) jogszerűség, amely magában foglalja az átlátható, elszámoltatható, demokratikus és pluralista törvényhozási folyamatot, ii. jogbiztonság, iii. a végrehajtó hatalom önkényes gyakorlásának tilalma, iv. a független és pártatlan bíróságok általi hatékony bírói jogvédelem, hatékony bírósági felülvizsgálat mellett, beleértve az alapvető jogok tiszteletben tartását, v. a hatalmi ágak szétválasztása és vi. a törvény előtti egyenlőség;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Az EUB fent említett C-156/21. sz. ügye, 128. pont.</w:t>
            </w:r>
          </w:p>
        </w:tc>
      </w:tr>
    </w:tbl>
    <w:p>
      <w:r>
        <w:rPr>
          <w:rStyle w:val="HideTWBExt"/>
        </w:rPr>
        <w:t>&lt;/Amend&gt;</w:t>
      </w:r>
    </w:p>
    <w:p>
      <w:pPr>
        <w:pStyle w:val="AmNumberTabs"/>
      </w:pPr>
      <w:r>
        <w:rPr>
          <w:rStyle w:val="HideTWBExt"/>
        </w:rPr>
        <w:t>&lt;Amend&gt;</w:t>
      </w:r>
      <w:r>
        <w:t>Módosítás</w:t>
      </w:r>
      <w:r>
        <w:tab/>
      </w:r>
      <w:r>
        <w:tab/>
      </w:r>
      <w:r>
        <w:rPr>
          <w:rStyle w:val="HideTWBExt"/>
        </w:rPr>
        <w:t>&lt;NumAm&gt;</w:t>
      </w:r>
      <w:r>
        <w:t>29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megjegyzi, hogy a jogállamiság esetleges megsértésére bizonyítékok széles köre hívta fel a Bizottság figyelmét, beleértve az Európai Csalás Elleni Hivatal (OLAF), az Európai Ügyészség (EPPO) és a Számvevőszék jelentéseit, valamint a civil társadalmi szervezetek, a vállalkozások és a visszaélést bejelentő személyek beadványait; mélységesen sajnálja, hogy hiányzik az átláthatóság a Bizottság azon értékeléseivel kapcsolatban, amelyek alapján nem javasolt intézkedéseket, illetve egy más eszközt választott;</w:t>
            </w:r>
          </w:p>
        </w:tc>
        <w:tc>
          <w:tcPr>
            <w:tcW w:w="4876" w:type="dxa"/>
            <w:tcBorders>
              <w:top w:val="nil"/>
              <w:left w:val="nil"/>
              <w:bottom w:val="nil"/>
              <w:right w:val="nil"/>
            </w:tcBorders>
          </w:tcPr>
          <w:p>
            <w:pPr>
              <w:pStyle w:val="Normal6a"/>
            </w:pPr>
            <w:r>
              <w:t>11.</w:t>
            </w:r>
            <w:r>
              <w:tab/>
            </w:r>
            <w:r>
              <w:t xml:space="preserve">megjegyzi, hogy a jogállamiság esetleges megsértésére bizonyítékok széles köre hívta fel a Bizottság figyelmét, beleértve </w:t>
            </w:r>
            <w:r>
              <w:rPr>
                <w:b/>
                <w:i/>
              </w:rPr>
              <w:t>a Parlament állásfoglalásait,</w:t>
            </w:r>
            <w:r>
              <w:t xml:space="preserve"> az Európai Csalás Elleni Hivatal (OLAF), az Európai Ügyészség (EPPO) és a Számvevőszék jelentéseit, valamint a civil társadalmi szervezetek, a vállalkozások és a visszaélést bejelentő személyek beadványait; mélységesen sajnálja, hogy hiányzik az átláthatóság a Bizottság azon értékeléseivel kapcsolatban, amelyek alapján nem javasolt intézkedéseket, illetve egy más eszközt választott;</w:t>
            </w:r>
          </w:p>
        </w:tc>
      </w:tr>
    </w:tbl>
    <w:p>
      <w:r>
        <w:rPr>
          <w:rStyle w:val="HideTWBExt"/>
        </w:rPr>
        <w:t>&lt;/Amend&gt;</w:t>
      </w:r>
    </w:p>
    <w:p>
      <w:pPr>
        <w:pStyle w:val="AmNumberTabs"/>
      </w:pPr>
      <w:r>
        <w:rPr>
          <w:rStyle w:val="HideTWBExt"/>
        </w:rPr>
        <w:t>&lt;Amend&gt;</w:t>
      </w:r>
      <w:r>
        <w:t>Módosítás</w:t>
      </w:r>
      <w:r>
        <w:tab/>
      </w:r>
      <w:r>
        <w:tab/>
      </w:r>
      <w:r>
        <w:rPr>
          <w:rStyle w:val="HideTWBExt"/>
        </w:rPr>
        <w:t>&lt;NumAm&gt;</w:t>
      </w:r>
      <w:r>
        <w:t>30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megjegyzi, hogy eddig csak nagyon kevés érdekelt fél használta a Bizottság 2022. évi iránymutatáshoz csatolt egységes bejelentési formanyomtatványát; javasolja, hogy a Bizottság bármilyen írásos formában fogadja el a bejelentéseket; emellett kéri egy bizalmas jelentéstételi portál létrehozását, amelyen keresztül az érdekelt felek jelezhetik a meg nem felelést, lehetővé téve ezáltal a gyors korrekciós intézkedéseket;</w:t>
            </w:r>
          </w:p>
        </w:tc>
        <w:tc>
          <w:tcPr>
            <w:tcW w:w="4876" w:type="dxa"/>
            <w:tcBorders>
              <w:top w:val="nil"/>
              <w:left w:val="nil"/>
              <w:bottom w:val="nil"/>
              <w:right w:val="nil"/>
            </w:tcBorders>
          </w:tcPr>
          <w:p>
            <w:pPr>
              <w:pStyle w:val="Normal6a"/>
            </w:pPr>
            <w:r>
              <w:t>12.</w:t>
            </w:r>
            <w:r>
              <w:tab/>
            </w:r>
            <w:r>
              <w:t>megjegyzi, hogy eddig csak nagyon kevés érdekelt fél használta a Bizottság 2022. évi iránymutatáshoz csatolt egységes bejelentési formanyomtatványát; javasolja, hogy a Bizottság bármilyen írásos formában fogadja el a bejelentéseket</w:t>
            </w:r>
            <w:r>
              <w:rPr>
                <w:b/>
                <w:i/>
              </w:rPr>
              <w:t>, haladéktalanul igazolja vissza az ilyen bejelentések beérkezését, és adjon a bejelentésekhez egyértelmű hivatkozási számot, valamint legkésőbb a bejelentés benyújtásától számított egy éven belül tájékoztassa a bejelentőt a nyomon követésről</w:t>
            </w:r>
            <w:r>
              <w:t xml:space="preserve">; emellett kéri egy bizalmas jelentéstételi portál létrehozását, amelyen keresztül az érdekelt felek jelezhetik a meg nem felelést, lehetővé téve ezáltal a gyors korrekciós intézkedéseket; </w:t>
            </w:r>
            <w:r>
              <w:rPr>
                <w:b/>
                <w:i/>
              </w:rPr>
              <w:t>hangsúlyozza a mechanizmus ismertsége és láthatósága növelésének fontosságát; úgy véli továbbá, hogy a bejelentés beérkezésekor hasznos lenne, ha a Bizottság támogatóbb és segítőkészebb megközelítést alkalmazna annak biztosítása érdekében, hogy rendelkezésre álljanak a bejelentés megfelelő értékeléséhez szükséges elemek;</w:t>
            </w:r>
          </w:p>
        </w:tc>
      </w:tr>
    </w:tbl>
    <w:p>
      <w:r>
        <w:rPr>
          <w:rStyle w:val="HideTWBExt"/>
        </w:rPr>
        <w:t>&lt;/Amend&gt;</w:t>
      </w:r>
    </w:p>
    <w:p>
      <w:pPr>
        <w:pStyle w:val="AmNumberTabs"/>
      </w:pPr>
      <w:r>
        <w:rPr>
          <w:rStyle w:val="HideTWBExt"/>
        </w:rPr>
        <w:t>&lt;Amend&gt;</w:t>
      </w:r>
      <w:r>
        <w:t>Módosítás</w:t>
      </w:r>
      <w:r>
        <w:tab/>
      </w:r>
      <w:r>
        <w:tab/>
      </w:r>
      <w:r>
        <w:rPr>
          <w:rStyle w:val="HideTWBExt"/>
        </w:rPr>
        <w:t>&lt;NumAm&gt;</w:t>
      </w:r>
      <w:r>
        <w:t>31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sajnálja, hogy a Bizottság éves jogállamisági jelentéseiben, valamint az OLAF és az EPPO által megfogalmazott egymást követő aggasztó megállapítások ellenére, amelyek költségvetési kockázatokra mutattak rá több tagállamban, csak két hivatalos értesítést küldtek, és csak egyetlen esetben döntöttek intézkedésekről a feltételrendszerről szóló rendelet alapján;</w:t>
            </w:r>
          </w:p>
        </w:tc>
        <w:tc>
          <w:tcPr>
            <w:tcW w:w="4876" w:type="dxa"/>
            <w:tcBorders>
              <w:top w:val="nil"/>
              <w:left w:val="nil"/>
              <w:bottom w:val="nil"/>
              <w:right w:val="nil"/>
            </w:tcBorders>
          </w:tcPr>
          <w:p>
            <w:pPr>
              <w:pStyle w:val="Normal6a"/>
            </w:pPr>
            <w:r>
              <w:t>13.</w:t>
            </w:r>
            <w:r>
              <w:tab/>
            </w:r>
            <w:r>
              <w:t xml:space="preserve">sajnálja, hogy a Bizottság éves jogállamisági jelentéseiben, </w:t>
            </w:r>
            <w:r>
              <w:rPr>
                <w:b/>
                <w:i/>
              </w:rPr>
              <w:t>a civil társadalmi szervezetek beadványaiban,</w:t>
            </w:r>
            <w:r>
              <w:t xml:space="preserve"> valamint az OLAF és az EPPO által megfogalmazott egymást követő aggasztó megállapítások ellenére, amelyek költségvetési kockázatokra mutattak rá több tagállamban, csak két hivatalos értesítést küldtek, és csak egyetlen esetben döntöttek intézkedésekről a feltételrendszerről szóló rendelet alapján; </w:t>
            </w:r>
            <w:r>
              <w:rPr>
                <w:b/>
                <w:i/>
              </w:rPr>
              <w:t>hangsúlyozza, hogy e tekintetben intézményesítettebb és strukturáltabb együttműködésre van szükség az érintett szervek között a feltételrendszerről szóló rendelet hatékony alkalmazásának biztosítása érdekében; ezzel összefüggésben megjegyzi különösen, hogy a súlyos megállapítások – amelyekről az Európai Ügyészség Lengyelország tekintetében 2022-ben, Szlovákia tekintetében pedig 2023-ban tájékoztatta a Bizottságot – nem vezettek a feltételrendszerről szóló rendelet szerinti intézkedésekhez;</w:t>
            </w:r>
          </w:p>
        </w:tc>
      </w:tr>
    </w:tbl>
    <w:p>
      <w:r>
        <w:rPr>
          <w:rStyle w:val="HideTWBExt"/>
        </w:rPr>
        <w:t>&lt;/Amend&gt;</w:t>
      </w:r>
    </w:p>
    <w:p>
      <w:pPr>
        <w:pStyle w:val="AmNumberTabs"/>
      </w:pPr>
      <w:r>
        <w:rPr>
          <w:rStyle w:val="HideTWBExt"/>
        </w:rPr>
        <w:t>&lt;Amend&gt;</w:t>
      </w:r>
      <w:r>
        <w:t>Módosítás</w:t>
      </w:r>
      <w:r>
        <w:tab/>
      </w:r>
      <w:r>
        <w:tab/>
      </w:r>
      <w:r>
        <w:rPr>
          <w:rStyle w:val="HideTWBExt"/>
        </w:rPr>
        <w:t>&lt;NumAm&gt;</w:t>
      </w:r>
      <w:r>
        <w:t>32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hangsúlyozza, hogy a feltételrendszerről szóló rendeletet valamennyi tagállamban következetesen kell alkalmazni; sürgeti a Bizottságot és adott esetben a Tanácsot, hogy gyorsan és teljes átláthatóság mellett járjon el, ha a jogállamiság megsértése és az uniós költségvetést fenyegető kockázatok között összefüggést állapítanak meg, és az érintett tagállam nem tesz lépéseket a helyzet hatékony és fenntartható kezelése érdekében; kitart amellett, hogy a hosszadalmas informális párbeszédek nem helyettesíthetik a határozott fellépést, és hogy el kell kerülni a politikai patthelyzetet vagy a </w:t>
            </w:r>
            <w:r>
              <w:rPr>
                <w:b/>
                <w:i/>
              </w:rPr>
              <w:t>zsarolást</w:t>
            </w:r>
            <w:r>
              <w:t>;</w:t>
            </w:r>
          </w:p>
        </w:tc>
        <w:tc>
          <w:tcPr>
            <w:tcW w:w="4876" w:type="dxa"/>
            <w:tcBorders>
              <w:top w:val="nil"/>
              <w:left w:val="nil"/>
              <w:bottom w:val="nil"/>
              <w:right w:val="nil"/>
            </w:tcBorders>
          </w:tcPr>
          <w:p>
            <w:pPr>
              <w:pStyle w:val="Normal6a"/>
            </w:pPr>
            <w:r>
              <w:t>14.</w:t>
            </w:r>
            <w:r>
              <w:tab/>
            </w:r>
            <w:r>
              <w:t xml:space="preserve">hangsúlyozza, hogy a feltételrendszerről szóló rendeletet valamennyi tagállamban következetesen kell alkalmazni; sürgeti a Bizottságot és adott esetben a Tanácsot, hogy gyorsan és teljes átláthatóság mellett járjon el, ha a jogállamiság megsértése és az uniós költségvetést fenyegető kockázatok között összefüggést állapítanak meg, és az érintett tagállam nem tesz lépéseket a helyzet hatékony és fenntartható kezelése érdekében; kitart amellett, hogy a hosszadalmas informális párbeszédek nem helyettesíthetik a határozott fellépést, és hogy el kell kerülni a politikai patthelyzetet vagy a </w:t>
            </w:r>
            <w:r>
              <w:rPr>
                <w:b/>
                <w:i/>
              </w:rPr>
              <w:t>katasztrófapolitikát;</w:t>
            </w:r>
            <w:r>
              <w:rPr>
                <w:b/>
                <w:i/>
              </w:rPr>
              <w:t xml:space="preserve"> megismétli, hogy a jogállamiság soha semmilyen körülmények között nem tekinthető politikai alkuk tárgyának;</w:t>
            </w:r>
          </w:p>
        </w:tc>
      </w:tr>
    </w:tbl>
    <w:p>
      <w:r>
        <w:rPr>
          <w:rStyle w:val="HideTWBExt"/>
        </w:rPr>
        <w:t>&lt;/Amend&gt;</w:t>
      </w:r>
    </w:p>
    <w:p>
      <w:pPr>
        <w:pStyle w:val="AmNumberTabs"/>
      </w:pPr>
      <w:r>
        <w:rPr>
          <w:rStyle w:val="HideTWBExt"/>
        </w:rPr>
        <w:t>&lt;Amend&gt;</w:t>
      </w:r>
      <w:r>
        <w:t>Módosítás</w:t>
      </w:r>
      <w:r>
        <w:tab/>
      </w:r>
      <w:r>
        <w:tab/>
      </w:r>
      <w:r>
        <w:rPr>
          <w:rStyle w:val="HideTWBExt"/>
        </w:rPr>
        <w:t>&lt;NumAm&gt;</w:t>
      </w:r>
      <w:r>
        <w:t>33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hangsúlyozza, hogy a Bizottság értékeléseinek pártatlannak és igazságosnak kell lenniük, figyelembe kell venniük minden rendelkezésre álló tényt, és tiszteletben kell tartaniuk az objektivitás, megkülönböztetésmentesség és a tagállamok Szerződések előtti egyenlőségének elvét; hangsúlyozza, hogy a költségvetés védelmét szolgáló intézkedések megválasztásának és nagyságrendjének tiszteletben kell tartania a feltételrendszerről szóló rendelet 5. cikkében meghatározott arányosság elvét, figyelembe véve a jogsértés súlyosságát, időtartamát és ismétlődését, az érintett tagállam együttműködését és a konkrét pénzügyi kockázatot, valamint a jogszerű végső címzettekre és kedvezményezettekre, különösen a kisebb címzettekre kedvezményezettekre gyakorolt hatást; felkéri a Bizottságot, hogy a Számvevőszék ajánlásának megfelelően tegye közzé az általa házon belül már alkalmazott kvantitatív kockázatértékelési módszertant;</w:t>
            </w:r>
          </w:p>
        </w:tc>
        <w:tc>
          <w:tcPr>
            <w:tcW w:w="4876" w:type="dxa"/>
            <w:tcBorders>
              <w:top w:val="nil"/>
              <w:left w:val="nil"/>
              <w:bottom w:val="nil"/>
              <w:right w:val="nil"/>
            </w:tcBorders>
          </w:tcPr>
          <w:p>
            <w:pPr>
              <w:pStyle w:val="Normal6a"/>
            </w:pPr>
            <w:r>
              <w:t>15.</w:t>
            </w:r>
            <w:r>
              <w:tab/>
            </w:r>
            <w:r>
              <w:t xml:space="preserve">hangsúlyozza, hogy a Bizottság értékeléseinek pártatlannak és igazságosnak kell lenniük, figyelembe kell venniük minden rendelkezésre álló tényt, és tiszteletben kell tartaniuk az objektivitás, megkülönböztetésmentesség és a tagállamok Szerződések előtti egyenlőségének elvét; hangsúlyozza, hogy a költségvetés védelmét szolgáló intézkedések megválasztásának és nagyságrendjének tiszteletben kell tartania a feltételrendszerről szóló rendelet 5. cikkében meghatározott arányosság elvét, figyelembe véve a jogsértés súlyosságát, időtartamát és ismétlődését, az érintett tagállam együttműködését és a konkrét pénzügyi kockázatot, valamint a jogszerű végső címzettekre és kedvezményezettekre, különösen a kisebb címzettekre kedvezményezettekre gyakorolt hatást; felkéri a Bizottságot, hogy a Számvevőszék ajánlásának megfelelően tegye közzé az általa házon belül már alkalmazott kvantitatív kockázatértékelési módszertant; </w:t>
            </w:r>
            <w:r>
              <w:rPr>
                <w:b/>
                <w:i/>
              </w:rPr>
              <w:t>emlékeztet a Számvevőszék 03/2024. sz. különjelentésének aggasztó megállapításaira, nevezetesen arra, hogy a politikai megfontolások jelentős szerepet játszanak a pénzeszközök zárolásának mellőzéséről vagy a felszabadításukról szóló döntésekben, amit konkrétan az is bizonyít, hogy a Bizottság a múltban Lengyelország tekintetében nem alkalmazta a feltételrendszerről szóló rendeletet, Szlovákia tekintetében pedig nem alkalmazza azt, még akkor sem, mikor e tagállamok tekintetében más eszközökkel összefüggésben megállapította a költségvetéshez kapcsolódó jogállamisági jogsértéseket;</w:t>
            </w:r>
          </w:p>
        </w:tc>
      </w:tr>
    </w:tbl>
    <w:p>
      <w:r>
        <w:rPr>
          <w:rStyle w:val="HideTWBExt"/>
        </w:rPr>
        <w:t>&lt;/Amend&gt;</w:t>
      </w:r>
    </w:p>
    <w:p>
      <w:pPr>
        <w:pStyle w:val="AmNumberTabs"/>
      </w:pPr>
      <w:r>
        <w:rPr>
          <w:rStyle w:val="HideTWBExt"/>
        </w:rPr>
        <w:t>&lt;Amend&gt;</w:t>
      </w:r>
      <w:r>
        <w:t>Módosítás</w:t>
      </w:r>
      <w:r>
        <w:tab/>
      </w:r>
      <w:r>
        <w:tab/>
      </w:r>
      <w:r>
        <w:rPr>
          <w:rStyle w:val="HideTWBExt"/>
        </w:rPr>
        <w:t>&lt;NumAm&gt;</w:t>
      </w:r>
      <w:r>
        <w:t>34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tudja, hogy a feltételrendszerről szóló rendelet egyes szempontjai megnehezítik a mechanizmus aktiválását, különösen a jogállamiság megsértése és az uniós költségvetésre gyakorolt káros hatás súlyos kockázata közötti kellően közvetlen kapcsolat bizonyítására vonatkozó követelményt; hangsúlyozza azonban, hogy ezek a követelmények nem szolgálhatnak indokul arra, hogy ne aktiválják a mechanizmust;</w:t>
            </w:r>
          </w:p>
        </w:tc>
        <w:tc>
          <w:tcPr>
            <w:tcW w:w="4876" w:type="dxa"/>
            <w:tcBorders>
              <w:top w:val="nil"/>
              <w:left w:val="nil"/>
              <w:bottom w:val="nil"/>
              <w:right w:val="nil"/>
            </w:tcBorders>
          </w:tcPr>
          <w:p>
            <w:pPr>
              <w:pStyle w:val="Normal6a"/>
            </w:pPr>
            <w:r>
              <w:t>16.</w:t>
            </w:r>
            <w:r>
              <w:tab/>
            </w:r>
            <w:r>
              <w:t>tudja, hogy a feltételrendszerről szóló rendelet egyes szempontjai megnehezítik a mechanizmus aktiválását, különösen a jogállamiság megsértése és az uniós költségvetésre gyakorolt káros hatás súlyos kockázata közötti kellően közvetlen kapcsolat bizonyítására vonatkozó követelményt; hangsúlyozza azonban, hogy ezek a követelmények nem szolgálhatnak indokul arra, hogy ne aktiválják a mechanizmust;</w:t>
            </w:r>
            <w:r>
              <w:rPr>
                <w:b/>
                <w:i/>
              </w:rPr>
              <w:t xml:space="preserve"> ezzel összefüggésben sajnálatát fejezi ki amiatt, hogy a Bizottság a rendelet legszűkebb értelmezését alkalmazza, amelynek értelmében még az uniós forrásokat érintő súlyos jogsértéseket is kizárja a rendelet alkalmazásából; </w:t>
            </w:r>
            <w:r>
              <w:rPr>
                <w:b/>
                <w:i/>
              </w:rPr>
              <w:t>megismétli, hogy a rendelet egyértelműen megállapítja, hogy az igazságszolgáltatás függetlenségének veszélyeztetése, valamint a jogorvoslati lehetőségek rendelkezésre állásának és hatékonyságának korlátozása – többek között korlátozó eljárási szabályok és az ítéletek végrehajtásának hiánya révén – a jogállamiság elvei megsértésének minősül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HL C 465., 2022.12.6., 147. o.</w:t>
            </w:r>
          </w:p>
        </w:tc>
      </w:tr>
    </w:tbl>
    <w:p>
      <w:r>
        <w:rPr>
          <w:rStyle w:val="HideTWBExt"/>
        </w:rPr>
        <w:t>&lt;/Amend&gt;</w:t>
      </w:r>
    </w:p>
    <w:p>
      <w:pPr>
        <w:pStyle w:val="AmNumberTabs"/>
      </w:pPr>
      <w:r>
        <w:rPr>
          <w:rStyle w:val="HideTWBExt"/>
        </w:rPr>
        <w:t>&lt;Amend&gt;</w:t>
      </w:r>
      <w:r>
        <w:t>Módosítás</w:t>
      </w:r>
      <w:r>
        <w:tab/>
      </w:r>
      <w:r>
        <w:tab/>
      </w:r>
      <w:r>
        <w:rPr>
          <w:rStyle w:val="HideTWBExt"/>
        </w:rPr>
        <w:t>&lt;NumAm&gt;</w:t>
      </w:r>
      <w:r>
        <w:t>35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hangsúlyozza, hogy még abban az esetben is, ha a jogállamisági hiányosságok – mint például az igazságszolgáltatás függetlenségének, a bűnüldözés hatékonyságának, a legfőbb ellenőrző intézményeknek vagy a médiapluralizmusnak a megsértése – általános jellegűek és egy tagállam jogrendszerét érintik, ezek a hiányosságok közvetlenül és súlyosan érinthetik az uniós költségvetést azáltal, hogy megszüntetik a csalárd és egyéb jogellenes tevékenységekkel szembeni rendszerszintű biztosítékokat; hangsúlyozza, hogy az uniós költségvetésre gyakorolt közvetlen hatás fogalma nem értelmezhető úgy, hogy a feltételrendszerről szóló rendelet hatályát kizárólag a költségvetés végrehajtásához kifejezetten kapcsolódó kérdésekre, például a közbeszerzési jogszabályokra korlátozza, mivel ez a megközelítés csak arra ösztönözné a rosszhiszemű szereplőket, hogy tágabb értelemben aláássák a jogállamisági biztosítékokat;</w:t>
            </w:r>
          </w:p>
        </w:tc>
      </w:tr>
    </w:tbl>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16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emlékeztet arra, hogy valamely tagállamnak az Európai Ügyészséggel és az OLAF-fal való nem hatékony vagy időszerűtlen együttműködése a feltételrendszerről szóló rendelet értelmében intézkedés alapjául szolgál; hangsúlyozza továbbá, hogy az EU pénzügyi érdekei hatékony védelmének biztosítása érdekében konkrétabb együttműködési formákat kell kidolgozni az érintett uniós szervekkel és ügynökségekkel; kéri továbbá, hogy az Európai Ügyészséghez való csatlakozást feltételként írják elő az Unióhoz csatlakozni kívánó tagjelölt országok számára az olyan helyzetek megelőzése érdekében, amikor egyes tagállamok megtagadják az e mechanizmusban való részvételt;</w:t>
            </w:r>
          </w:p>
        </w:tc>
      </w:tr>
    </w:tbl>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16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c.</w:t>
            </w:r>
            <w:r>
              <w:tab/>
            </w:r>
            <w:r>
              <w:rPr>
                <w:b/>
                <w:i/>
              </w:rPr>
              <w:t>hangsúlyozza, hogy pénzügyi érdekei leghatékonyabb védelmének biztosítására irányuló erőfeszítései részeként az EU megkezdte csalás elleni struktúrája felülvizsgálatának előkészítő munkálatait az érintett szereplők közötti hatékonyság növelése és a párhuzamosságok elkerülése érdekében a csalás elleni ciklus minden szakaszában, beleértve a megelőzést, a felderítést, a vizsgálatot, a korrekciót és az érintett összegek visszafizettetését; hangsúlyozza, hogy ennek a munkának szorosan kapcsolódnia kell a feltételrendszerről szóló rendelet végrehajtásához az uniós költségvetés védelme terén a következetesség és a kiegészítő jelleg biztosítása érdekében;</w:t>
            </w:r>
          </w:p>
        </w:tc>
      </w:tr>
    </w:tbl>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16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d.</w:t>
            </w:r>
            <w:r>
              <w:tab/>
            </w:r>
            <w:r>
              <w:rPr>
                <w:b/>
                <w:i/>
              </w:rPr>
              <w:t>megjegyzi, hogy a Bizottság 2024. évi értékelése szerint a feltételrendszerről szóló rendelet szerinti eljárás viszonylag gyors, de a Bizottságra vonatkozó határidők kevés rugalmasságot tesznek lehetővé, és bizonyos szakaszokban különösen nagy kihívást jelentenek; hangsúlyozza, hogy – amint azt a Bizottság jelentése is kiemeli – javítani lehetne az eljárás hatékonyságát, ha észrevételeinek a Bizottsághoz történő benyújtásakor a tagállam adott esetben az intézkedések által érintett kormányzati szervek véleményét is előterjesztené, lehetővé téve ezáltal a szóban forgó kérdések és a vélhetően leghatékonyabb intézkedések részletesebb értékelését; hangsúlyozza, hogy amennyiben helyénvalónak ítélik, legalább azt egyértelművé kell tenni, hogy ezt a követelményt hogyan kell értelmezni és alkalmazni;</w:t>
            </w:r>
          </w:p>
        </w:tc>
      </w:tr>
    </w:tbl>
    <w:p>
      <w:r>
        <w:rPr>
          <w:rStyle w:val="HideTWBExt"/>
        </w:rPr>
        <w:t>&lt;/Amend&gt;</w:t>
      </w:r>
    </w:p>
    <w:p>
      <w:pPr>
        <w:pStyle w:val="AmNumberTabs"/>
      </w:pPr>
      <w:r>
        <w:rPr>
          <w:rStyle w:val="HideTWBExt"/>
        </w:rPr>
        <w:t>&lt;Amend&gt;</w:t>
      </w:r>
      <w:r>
        <w:t>Módosítás</w:t>
      </w:r>
      <w:r>
        <w:tab/>
      </w:r>
      <w:r>
        <w:tab/>
      </w:r>
      <w:r>
        <w:rPr>
          <w:rStyle w:val="HideTWBExt"/>
        </w:rPr>
        <w:t>&lt;NumAm&gt;</w:t>
      </w:r>
      <w:r>
        <w:t>39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megjegyzi, hogy a Tanács úgy határozott, hogy a kohéziós politika keretében a Magyarországra vonatkozó három operatív program költségvetési kötelezettségvállalásainak </w:t>
            </w:r>
            <w:r>
              <w:rPr>
                <w:b/>
                <w:i/>
              </w:rPr>
              <w:t>55%-át</w:t>
            </w:r>
            <w:r>
              <w:t xml:space="preserve"> felfüggeszti; rámutat arra a jogi elemzésre</w:t>
            </w:r>
            <w:r>
              <w:rPr>
                <w:vertAlign w:val="superscript"/>
              </w:rPr>
              <w:t>17</w:t>
            </w:r>
            <w:r>
              <w:t>, amely bizonyítja, hogy Magyarországon a jogállamiság megsértésének rendszerszintű és tartós jellege ahhoz kellett volna, hogy vezessen, hogy az uniós költségvetésnek az arányosság elvével összhangban történő védelme érdekében jelentősen nagyobb arányban függesztik fel az uniós finanszírozást; megjegyzi, hogy a Bizottság 2023. decemberben és 2024. decemberben újraértékelte a magyarországi helyzetet, és mindkét esetben arra a következtetésre jutott, hogy az intézkedések elfogadásához vezető helyzetet nem orvosolták; felszólítja a Bizottságot, hogy értékelje és kezelje a jogállamiság terén tapasztalható visszaesést, vagy úgy, hogy további intézkedésekre tesz javaslatokat, vagy pedig úgy, hogy aktualizálja a meglévő intézkedéseket;</w:t>
            </w:r>
          </w:p>
        </w:tc>
        <w:tc>
          <w:tcPr>
            <w:tcW w:w="4876" w:type="dxa"/>
            <w:tcBorders>
              <w:top w:val="nil"/>
              <w:left w:val="nil"/>
              <w:bottom w:val="nil"/>
              <w:right w:val="nil"/>
            </w:tcBorders>
          </w:tcPr>
          <w:p>
            <w:pPr>
              <w:pStyle w:val="Normal6a"/>
            </w:pPr>
            <w:r>
              <w:t>17.</w:t>
            </w:r>
            <w:r>
              <w:tab/>
            </w:r>
            <w:r>
              <w:t xml:space="preserve">megjegyzi, hogy a Tanács úgy határozott, hogy a kohéziós politika keretében a Magyarországra vonatkozó három operatív program költségvetési kötelezettségvállalásainak </w:t>
            </w:r>
            <w:r>
              <w:rPr>
                <w:b/>
                <w:i/>
              </w:rPr>
              <w:t>55 %-át</w:t>
            </w:r>
            <w:r>
              <w:t xml:space="preserve"> felfüggeszti</w:t>
            </w:r>
            <w:r>
              <w:rPr>
                <w:b/>
                <w:i/>
              </w:rPr>
              <w:t>, és megtiltja új jogi kötelezettségek vállalását a magyar közérdekű vagyonkezelő alapítványok és az általuk fenntartott szervezetek tekintetében</w:t>
            </w:r>
            <w:r>
              <w:t>; rámutat arra a jogi elemzésre</w:t>
            </w:r>
            <w:r>
              <w:rPr>
                <w:vertAlign w:val="superscript"/>
              </w:rPr>
              <w:t>17</w:t>
            </w:r>
            <w:r>
              <w:t>, amely bizonyítja, hogy Magyarországon a jogállamiság megsértésének rendszerszintű és tartós jellege ahhoz kellett volna, hogy vezessen, hogy az uniós költségvetésnek az arányosság elvével összhangban történő védelme érdekében jelentősen nagyobb arányban függesztik fel az uniós finanszírozást; megjegyzi, hogy a Bizottság 2023. decemberben és 2024. decemberben újraértékelte a magyarországi helyzetet, és mindkét esetben arra a következtetésre jutott, hogy az intézkedések elfogadásához vezető helyzetet nem orvosolták; felszólítja a Bizottságot, hogy értékelje és kezelje a jogállamiság terén tapasztalható visszaesést, vagy úgy, hogy további intézkedésekre tesz javaslatokat, vagy pedig úgy, hogy aktualizálja a meglévő intézkedéseket</w:t>
            </w:r>
            <w:r>
              <w:rPr>
                <w:b/>
                <w:i/>
              </w:rPr>
              <w:t>, hogy azok összhangba kerüljenek a korábban említett jogi elemzéssel</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Daniel Freund, a Zöldek/Európai Szabad Szövetség képviselőcsoport EP-képviselője megbízásából készült tanulmány – Lane Scheppele, K., Kelemen, R. D., Morijn, J., ‘Freezing all EU funds to Hungary: A legal analysis of why a 100 % suspension is “proportionate” and “appropriate” under Regulation 2020/2092 on a general regime of conditionality for the protection of the Union budget’ [A Magyarországnak járó összes uniós pénzeszköz befagyasztása: Jogi elemzés arról, hogy a 100%-os felfüggesztés miért „arányos” és „megfelelő” az uniós költségvetés védelmét szolgáló általános feltételrendszerről szóló (EU) 2020/2092 rendelet alapján], 2022. május.</w:t>
            </w:r>
          </w:p>
        </w:tc>
        <w:tc>
          <w:tcPr>
            <w:tcW w:w="4876" w:type="dxa"/>
            <w:tcBorders>
              <w:top w:val="nil"/>
              <w:left w:val="nil"/>
              <w:bottom w:val="nil"/>
              <w:right w:val="nil"/>
            </w:tcBorders>
          </w:tcPr>
          <w:p>
            <w:pPr>
              <w:pStyle w:val="Normal6a"/>
            </w:pPr>
            <w:r>
              <w:rPr>
                <w:vertAlign w:val="superscript"/>
              </w:rPr>
              <w:t>17</w:t>
            </w:r>
            <w:r>
              <w:t xml:space="preserve"> </w:t>
            </w:r>
            <w:r>
              <w:t>Daniel Freund, a Zöldek/Európai Szabad Szövetség képviselőcsoport EP-képviselője megbízásából készült tanulmány – Lane Scheppele, K., Kelemen, R. D., Morijn, J., ‘Freezing all EU funds to Hungary: A legal analysis of why a 100 % suspension is “proportionate” and “appropriate” under Regulation 2020/2092 on a general regime of conditionality for the protection of the Union budget’ [A Magyarországnak járó összes uniós pénzeszköz befagyasztása: Jogi elemzés arról, hogy a 100%-os felfüggesztés miért „arányos” és „megfelelő” az uniós költségvetés védelmét szolgáló általános feltételrendszerről szóló (EU) 2020/2092 rendelet alapján], 2022. május.</w:t>
            </w:r>
          </w:p>
        </w:tc>
      </w:tr>
    </w:tbl>
    <w:p>
      <w:r>
        <w:rPr>
          <w:rStyle w:val="HideTWBExt"/>
        </w:rPr>
        <w:t>&lt;/Amend&gt;</w:t>
      </w:r>
    </w:p>
    <w:p>
      <w:pPr>
        <w:pStyle w:val="AmNumberTabs"/>
      </w:pPr>
      <w:r>
        <w:rPr>
          <w:rStyle w:val="HideTWBExt"/>
        </w:rPr>
        <w:t>&lt;Amend&gt;</w:t>
      </w:r>
      <w:r>
        <w:t>Módosítás</w:t>
      </w:r>
      <w:r>
        <w:tab/>
      </w:r>
      <w:r>
        <w:tab/>
      </w:r>
      <w:r>
        <w:rPr>
          <w:rStyle w:val="HideTWBExt"/>
        </w:rPr>
        <w:t>&lt;NumAm&gt;</w:t>
      </w:r>
      <w:r>
        <w:t>40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emlékeztet arra, hogy a feltételrendszerről szóló rendelet kifejezetten rögzíti, hogy a rendelet kiegészíti a költségvetés védelmét szolgáló meglévő eszközöket, és akkor kell alkalmazni, „amikor az uniós jogszabályokban foglalt más eljárások nem tennék lehetővé az uniós költségvetés hatékonyabb védelmét”; sajnálatát fejezi ki a Bizottság azon értelmezése miatt, hogy e megfogalmazás alapján az eszközt csak végső intézkedésként szabad alkalmazni; aggodalommal jegyzi meg, hogy a Bizottságon belül a jogállamiság nyomon követése megoszlik a különböző szolgálatok között, ami időnként következetlen és késedelmes fellépést eredményez;</w:t>
            </w:r>
          </w:p>
        </w:tc>
        <w:tc>
          <w:tcPr>
            <w:tcW w:w="4876" w:type="dxa"/>
            <w:tcBorders>
              <w:top w:val="nil"/>
              <w:left w:val="nil"/>
              <w:bottom w:val="nil"/>
              <w:right w:val="nil"/>
            </w:tcBorders>
          </w:tcPr>
          <w:p>
            <w:pPr>
              <w:pStyle w:val="Normal6a"/>
            </w:pPr>
            <w:r>
              <w:t>20.</w:t>
            </w:r>
            <w:r>
              <w:tab/>
            </w:r>
            <w:r>
              <w:t>emlékeztet arra, hogy a feltételrendszerről szóló rendelet kifejezetten rögzíti, hogy a rendelet kiegészíti a költségvetés védelmét szolgáló meglévő eszközöket, és akkor kell alkalmazni, „amikor az uniós jogszabályokban foglalt más eljárások nem tennék lehetővé az uniós költségvetés hatékonyabb védelmét”; sajnálatát fejezi ki a Bizottság azon értelmezése miatt, hogy e megfogalmazás alapján az eszközt csak végső intézkedésként szabad alkalmazni; aggodalommal jegyzi meg, hogy a Bizottságon belül a jogállamiság nyomon követése megoszlik a különböző szolgálatok között, ami időnként következetlen és késedelmes fellépést eredményez</w:t>
            </w:r>
            <w:r>
              <w:rPr>
                <w:b/>
                <w:i/>
              </w:rPr>
              <w:t>, vagy azt, hogy nem kerül sor semmilyen fellépésre</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41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úgy véli, hogy nem egyértelmű, hogy a feltételrendszerről szóló rendelet hogyan működik együtt a gyakorlatban a jogállamisági eszköztár egyéb eszközeivel, különösen a közös rendelkezésekről szóló rendelet alapján a Chartára vonatkozó horizontális feljogosító feltétellel és a Helyreállítási és Rezilienciaépítési Eszköz keretében a jogállamisággal kapcsolatos „szupermérföldkövekkel”; sajnálatát fejezi ki amiatt, hogy 2023 decemberében a Bizottság úgy értékelte, hogy Magyarország teljesítette az igazságszolgáltatás függetlenségére vonatkozó horizontális feljogosító feltételt, miközben fenntartotta a feltételrendszerről szóló rendelet alapján bevezetett intézkedéseket; hangsúlyozza, hogy a koherencia hiánya akadályozza az intézkedések alkalmazásának demokratikus ellenőrzését;</w:t>
            </w:r>
          </w:p>
        </w:tc>
        <w:tc>
          <w:tcPr>
            <w:tcW w:w="4876" w:type="dxa"/>
            <w:tcBorders>
              <w:top w:val="nil"/>
              <w:left w:val="nil"/>
              <w:bottom w:val="nil"/>
              <w:right w:val="nil"/>
            </w:tcBorders>
          </w:tcPr>
          <w:p>
            <w:pPr>
              <w:pStyle w:val="Normal6a"/>
            </w:pPr>
            <w:r>
              <w:t>21.</w:t>
            </w:r>
            <w:r>
              <w:tab/>
            </w:r>
            <w:r>
              <w:t xml:space="preserve">úgy véli, hogy nem egyértelmű, hogy a feltételrendszerről szóló rendelet hogyan működik együtt a gyakorlatban a jogállamisági eszköztár egyéb eszközeivel, különösen a közös rendelkezésekről szóló rendelet alapján a Chartára vonatkozó horizontális feljogosító feltétellel és a Helyreállítási és Rezilienciaépítési Eszköz keretében a jogállamisággal kapcsolatos „szupermérföldkövekkel”; sajnálatát fejezi ki amiatt, hogy 2023 decemberében a Bizottság úgy értékelte, hogy Magyarország teljesítette az igazságszolgáltatás függetlenségére vonatkozó horizontális feljogosító feltételt, miközben fenntartotta a feltételrendszerről szóló rendelet alapján bevezetett intézkedéseket; </w:t>
            </w:r>
            <w:r>
              <w:rPr>
                <w:b/>
                <w:i/>
              </w:rPr>
              <w:t>továbbá megjegyzi például, hogy Lengyelországban egyes forrásokat azért nem szabadítottak fel, mert nem teljesült egy horizontális feljogosító feltétel, vagy mert nem érték el a „szupermérföldköveket”, miközben a feltételrendszerről szóló rendelet alkalmazásának elmaradását nem dokumentálták;</w:t>
            </w:r>
            <w:r>
              <w:t xml:space="preserve"> hangsúlyozza, hogy a koherencia hiánya akadályozza az intézkedések alkalmazásának demokratikus ellenőrzését; </w:t>
            </w:r>
            <w:r>
              <w:rPr>
                <w:b/>
                <w:i/>
              </w:rPr>
              <w:t>megismétli azon álláspontját, hogy a Bizottság határozata jogellenes, amint azt a Parlament C-225/24. sz. ügyben a Bizottság ellen indított, folyamatban lévő keresete is állítja, különösen a közös rendelkezésekről szóló rendelet több anyagi jogi rendelkezésének megsértése, és a bizottsági határozat indokolási kötelezettségének megsértése, valamint hatáskörrel való visszaélés miatt, amely egy annak érdekében kötött politikai kompromisszum formájában valósult meg, hogy Magyarország oldja fel vétójogát bizonyos sürgős, az Európai Tanács egyhangú döntését igénylő határozatokkal szemben;</w:t>
            </w:r>
          </w:p>
        </w:tc>
      </w:tr>
    </w:tbl>
    <w:p>
      <w:r>
        <w:rPr>
          <w:rStyle w:val="HideTWBExt"/>
        </w:rPr>
        <w:t>&lt;/Amend&gt;</w:t>
      </w:r>
    </w:p>
    <w:p>
      <w:pPr>
        <w:pStyle w:val="AmNumberTabs"/>
      </w:pPr>
      <w:r>
        <w:rPr>
          <w:rStyle w:val="HideTWBExt"/>
        </w:rPr>
        <w:t>&lt;Amend&gt;</w:t>
      </w:r>
      <w:r>
        <w:t>Módosítás</w:t>
      </w:r>
      <w:r>
        <w:tab/>
      </w:r>
      <w:r>
        <w:tab/>
      </w:r>
      <w:r>
        <w:rPr>
          <w:rStyle w:val="HideTWBExt"/>
        </w:rPr>
        <w:t>&lt;NumAm&gt;</w:t>
      </w:r>
      <w:r>
        <w:t>42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figyelmeztet arra</w:t>
            </w:r>
            <w:r>
              <w:t xml:space="preserve">, hogy a </w:t>
            </w:r>
            <w:r>
              <w:rPr>
                <w:b/>
                <w:i/>
              </w:rPr>
              <w:t>befagyasztott előirányzatok más programokhoz</w:t>
            </w:r>
            <w:r>
              <w:t xml:space="preserve"> vagy </w:t>
            </w:r>
            <w:r>
              <w:rPr>
                <w:b/>
                <w:i/>
              </w:rPr>
              <w:t>célkitűzésekhez történő átcsoportosítása vagy átszervezése azt jelezné a szabályokat be nem tartó kormányok számára</w:t>
            </w:r>
            <w:r>
              <w:t xml:space="preserve">, </w:t>
            </w:r>
            <w:r>
              <w:rPr>
                <w:b/>
                <w:i/>
              </w:rPr>
              <w:t>hogy</w:t>
            </w:r>
            <w:r>
              <w:t xml:space="preserve"> a </w:t>
            </w:r>
            <w:r>
              <w:rPr>
                <w:b/>
                <w:i/>
              </w:rPr>
              <w:t>veszteségek máshol kiegyenlíthetők</w:t>
            </w:r>
            <w:r>
              <w:t>; ezért sürgeti a Bizottságot, hogy utasítson el minden olyan kérelmet, amely ugyanazon program más programjaihoz vagy prioritásaihoz csoportosítja át a forrásokat, és amely a feltételrendszerről szóló rendelet szerinti felfüggesztések kijátszásához vezetne; kéri, hogy a Bizottság továbbítsa a Parlamentnek az ilyen átcsoportosítási kérelmek teljes szövegét, hogy a demokratikus ellenőrzés a Bizottság határozata előtt történhessen meg, ne pedig kövesse azt;</w:t>
            </w:r>
          </w:p>
        </w:tc>
        <w:tc>
          <w:tcPr>
            <w:tcW w:w="4876" w:type="dxa"/>
            <w:tcBorders>
              <w:top w:val="nil"/>
              <w:left w:val="nil"/>
              <w:bottom w:val="nil"/>
              <w:right w:val="nil"/>
            </w:tcBorders>
          </w:tcPr>
          <w:p>
            <w:pPr>
              <w:pStyle w:val="Normal6a"/>
            </w:pPr>
            <w:r>
              <w:t>23.</w:t>
            </w:r>
            <w:r>
              <w:tab/>
            </w:r>
            <w:r>
              <w:rPr>
                <w:b/>
                <w:i/>
              </w:rPr>
              <w:t>hangsúlyozza</w:t>
            </w:r>
            <w:r>
              <w:t xml:space="preserve">, hogy a </w:t>
            </w:r>
            <w:r>
              <w:rPr>
                <w:b/>
                <w:i/>
              </w:rPr>
              <w:t>feltételrendszerről szóló rendelet</w:t>
            </w:r>
            <w:r>
              <w:t xml:space="preserve"> vagy </w:t>
            </w:r>
            <w:r>
              <w:rPr>
                <w:b/>
                <w:i/>
              </w:rPr>
              <w:t>a közös rendelkezésekről szóló rendelet szerinti intézkedések ellensúlyozására nem használhatók fel átcsoportosítások, átprogramozások vagy átszervezések</w:t>
            </w:r>
            <w:r>
              <w:t xml:space="preserve">, </w:t>
            </w:r>
            <w:r>
              <w:rPr>
                <w:b/>
                <w:i/>
              </w:rPr>
              <w:t>beleértve</w:t>
            </w:r>
            <w:r>
              <w:t xml:space="preserve"> a </w:t>
            </w:r>
            <w:r>
              <w:rPr>
                <w:b/>
                <w:i/>
              </w:rPr>
              <w:t>kötelezettségvállalásokat és a kifizetéseket is</w:t>
            </w:r>
            <w:r>
              <w:t xml:space="preserve">; ezért sürgeti a Bizottságot, hogy utasítson el minden olyan kérelmet, amely ugyanazon program más programjaihoz vagy prioritásaihoz csoportosítja át a forrásokat, és amely a feltételrendszerről szóló rendelet </w:t>
            </w:r>
            <w:r>
              <w:rPr>
                <w:b/>
                <w:i/>
              </w:rPr>
              <w:t>és a közös rendelkezésekről szóló rendelet</w:t>
            </w:r>
            <w:r>
              <w:t xml:space="preserve"> szerinti felfüggesztések kijátszásához vezetne; kéri, hogy a Bizottság továbbítsa a Parlamentnek az ilyen átcsoportosítási kérelmek teljes szövegét, hogy a demokratikus ellenőrzés a Bizottság határozata előtt történhessen meg, ne pedig kövesse azt;</w:t>
            </w:r>
            <w:r>
              <w:rPr>
                <w:b/>
                <w:i/>
              </w:rPr>
              <w:t xml:space="preserve"> emlékeztet a Bizottság által a felülvizsgált kohéziós politikai csomag elfogadása során annak biztosítása érdekében tett kötelezettségvállalásra, hogy az új rugalmassági mechanizmusokat ne lehessen felhasználni a feltételrendszerről szóló rendelet vagy a közös rendelkezésekről szóló rendelet keretében elfogadott intézkedések megkerülésére; kéri a Bizottságot és a tagállamokat, hogy ezt a kötelezettségvállalást a gyakorlatban is teljes mértékben tartsák fenn a jogállamisági feltételrendszer visszatartó hatásának és integritásának megőrzése érdekében; hangsúlyozza, hogy az ilyen átcsoportosításokat jogilag megengedhetetlennek kell tekinteni; felhívja a Bizottságot annak biztosítására, hogy e célból jogi biztosítékok álljanak rendelkezésre, többek között a 2028–2034-es többéves pénzügyi keret keretében;</w:t>
            </w:r>
          </w:p>
        </w:tc>
      </w:tr>
    </w:tbl>
    <w:p>
      <w:r>
        <w:rPr>
          <w:rStyle w:val="HideTWBExt"/>
        </w:rPr>
        <w:t>&lt;/Amend&gt;</w:t>
      </w:r>
    </w:p>
    <w:p>
      <w:pPr>
        <w:pStyle w:val="AmNumberTabs"/>
      </w:pPr>
      <w:r>
        <w:rPr>
          <w:rStyle w:val="HideTWBExt"/>
        </w:rPr>
        <w:t>&lt;Amend&gt;</w:t>
      </w:r>
      <w:r>
        <w:t>Módosítás</w:t>
      </w:r>
      <w:r>
        <w:tab/>
      </w:r>
      <w:r>
        <w:tab/>
      </w:r>
      <w:r>
        <w:rPr>
          <w:rStyle w:val="HideTWBExt"/>
        </w:rPr>
        <w:t>&lt;NumAm&gt;</w:t>
      </w:r>
      <w:r>
        <w:t>43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üdvözli a Bizottság arra irányuló javaslatát, hogy erősítsék meg a jogállamisági jelentés ajánlásai és a 2028–2034-es többéves pénzügyi keret szerinti pénzügyi támogatás közötti kapcsolatot, és a jogállamiság tekintetében tegyék általánossá a Covid19-világjárvány utáni Helyreállítási és Rezilienciaépítési Eszköz keretében a nemzeti és regionális partnerségi tervekben kidolgozott, „reformok forrásokért” tervet; hangsúlyozza, hogy a 2028–2034-es időszakra vonatkozó többéves pénzügyi keretben a jogállamisági feltételek és referenciaértékek értékelésének nem politikai, hanem a témával kapcsolatos pártatlan szakértelmen kell alapulnia, és hogy ezt a célkitűzést biztosítani és garantálni kell az értékelés elvégzésére és az eredményéből levont megfelelő következtetésekre irányuló eljárás során; ezzel összefüggésben megjegyzi, hogy a tagállamoknak címzett, a jogállamisági elveknek és az alapvető jogoknak való megfelelésről szóló határozatokat a Tanács helyett a Bizottságnak a Szerződések őreként kell elfogadnia, mivel a Tanács esetleg vonakodik attól, hogy olyan intézkedéseket hozzon, amelyek hátrányosan érintenék a tagállamokat; rámutat, hogy a felhatalmazáson alapuló jogi aktus eljárása lehetővé teszi a Bizottság gyors fellépését, miközben biztosítja a Parlament és a Tanács általi politikai ellenőrzést;</w:t>
            </w:r>
          </w:p>
        </w:tc>
      </w:tr>
    </w:tbl>
    <w:p>
      <w:r>
        <w:rPr>
          <w:rStyle w:val="HideTWBExt"/>
        </w:rPr>
        <w:t>&lt;/Amend&gt;</w:t>
      </w:r>
    </w:p>
    <w:p>
      <w:pPr>
        <w:pStyle w:val="AmNumberTabs"/>
      </w:pPr>
      <w:r>
        <w:rPr>
          <w:rStyle w:val="HideTWBExt"/>
        </w:rPr>
        <w:t>&lt;Amend&gt;</w:t>
      </w:r>
      <w:r>
        <w:t>Módosítás</w:t>
      </w:r>
      <w:r>
        <w:tab/>
      </w:r>
      <w:r>
        <w:tab/>
      </w:r>
      <w:r>
        <w:rPr>
          <w:rStyle w:val="HideTWBExt"/>
        </w:rPr>
        <w:t>&lt;NumAm&gt;</w:t>
      </w:r>
      <w:r>
        <w:t>44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megismétli, hogy a Parlament nagyon komolyan veszi a feltételrendszerről szóló rendelet végrehajtásával kapcsolatos ellenőrző szerepét; elismeri, hogy a Bizottság eleget tett azon jogi kötelezettségének, hogy haladéktalanul tájékoztassa a Parlamentet a javasolt, elfogadott vagy megszüntetett intézkedésekről; sajnálja, hogy a Bizottság csak a lecsupaszított minimális információkat adta meg, kulcsfontosságú részletek nélkül, és még a Parlament kérésére sem osztotta meg a teljes dokumentációt; hangsúlyozza, hogy az időben történő, átfogó és proaktív információmegosztás elengedhetetlen ahhoz, hogy a Parlament hatékonyan gyakorolja költségvetési és felügyeleti feladatait;</w:t>
            </w:r>
          </w:p>
        </w:tc>
        <w:tc>
          <w:tcPr>
            <w:tcW w:w="4876" w:type="dxa"/>
            <w:tcBorders>
              <w:top w:val="nil"/>
              <w:left w:val="nil"/>
              <w:bottom w:val="nil"/>
              <w:right w:val="nil"/>
            </w:tcBorders>
          </w:tcPr>
          <w:p>
            <w:pPr>
              <w:pStyle w:val="Normal6a"/>
            </w:pPr>
            <w:r>
              <w:t>25.</w:t>
            </w:r>
            <w:r>
              <w:tab/>
            </w:r>
            <w:r>
              <w:t>megismétli, hogy a Parlament nagyon komolyan veszi a feltételrendszerről szóló rendelet végrehajtásával kapcsolatos ellenőrző szerepét</w:t>
            </w:r>
            <w:r>
              <w:rPr>
                <w:b/>
                <w:i/>
              </w:rPr>
              <w:t>, és emlékeztet arra, hogy a rendelet 8. cikke értelmében a Bizottság haladéktalanul tájékoztatja a Parlamentet a rendelet 5., 6. és 7. cikke alapján javasolt, elfogadott vagy megszüntetett intézkedésekről</w:t>
            </w:r>
            <w:r>
              <w:t>; elismeri, hogy a Bizottság eleget tett azon jogi kötelezettségének, hogy haladéktalanul tájékoztassa a Parlamentet a javasolt, elfogadott vagy megszüntetett intézkedésekről; sajnálja, hogy a Bizottság csak a lecsupaszított minimális információkat adta meg, kulcsfontosságú részletek nélkül, és még a Parlament kérésére sem osztotta meg a teljes dokumentációt; hangsúlyozza, hogy az időben történő, átfogó és proaktív információmegosztás elengedhetetlen ahhoz, hogy a Parlament hatékonyan gyakorolja költségvetési és felügyeleti feladatait;</w:t>
            </w:r>
          </w:p>
        </w:tc>
      </w:tr>
    </w:tbl>
    <w:p>
      <w:r>
        <w:rPr>
          <w:rStyle w:val="HideTWBExt"/>
        </w:rPr>
        <w:t>&lt;/Amend&gt;</w:t>
      </w:r>
    </w:p>
    <w:p>
      <w:pPr>
        <w:pStyle w:val="AmNumberTabs"/>
      </w:pPr>
      <w:r>
        <w:rPr>
          <w:rStyle w:val="HideTWBExt"/>
        </w:rPr>
        <w:t>&lt;Amend&gt;</w:t>
      </w:r>
      <w:r>
        <w:t>Módosítás</w:t>
      </w:r>
      <w:r>
        <w:tab/>
      </w:r>
      <w:r>
        <w:tab/>
      </w:r>
      <w:r>
        <w:rPr>
          <w:rStyle w:val="HideTWBExt"/>
        </w:rPr>
        <w:t>&lt;NumAm&gt;</w:t>
      </w:r>
      <w:r>
        <w:t>45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sürgeti a Bizottságot, hogy állapodjon meg egy biztonságos kommunikációs csatornáról, amely biztosítja a hozzáférést ezekhez az információkhoz a Parlament illetékes szervei számára, megőrizve ugyanakkor azok bizalmas jellegét;</w:t>
            </w:r>
          </w:p>
        </w:tc>
        <w:tc>
          <w:tcPr>
            <w:tcW w:w="4876" w:type="dxa"/>
            <w:tcBorders>
              <w:top w:val="nil"/>
              <w:left w:val="nil"/>
              <w:bottom w:val="nil"/>
              <w:right w:val="nil"/>
            </w:tcBorders>
          </w:tcPr>
          <w:p>
            <w:pPr>
              <w:pStyle w:val="Normal6a"/>
            </w:pPr>
            <w:r>
              <w:rPr>
                <w:b/>
                <w:i/>
              </w:rPr>
              <w:t>törölve</w:t>
            </w:r>
          </w:p>
        </w:tc>
      </w:tr>
    </w:tbl>
    <w:p>
      <w:r>
        <w:rPr>
          <w:rStyle w:val="HideTWBExt"/>
        </w:rPr>
        <w:t>&lt;/Amend&gt;</w:t>
      </w:r>
    </w:p>
    <w:p>
      <w:pPr>
        <w:pStyle w:val="AmNumberTabs"/>
      </w:pPr>
      <w:r>
        <w:rPr>
          <w:rStyle w:val="HideTWBExt"/>
        </w:rPr>
        <w:t>&lt;Amend&gt;</w:t>
      </w:r>
      <w:r>
        <w:t>Módosítás</w:t>
      </w:r>
      <w:r>
        <w:tab/>
      </w:r>
      <w:r>
        <w:tab/>
      </w:r>
      <w:r>
        <w:rPr>
          <w:rStyle w:val="HideTWBExt"/>
        </w:rPr>
        <w:t>&lt;NumAm&gt;</w:t>
      </w:r>
      <w:r>
        <w:t>46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a.</w:t>
            </w:r>
            <w:r>
              <w:tab/>
            </w:r>
            <w:r>
              <w:rPr>
                <w:b/>
                <w:i/>
              </w:rPr>
              <w:t>általánosabban úgy véli, hogy meg kell erősíteni a jogállamisággal kapcsolatos uniós szintű intézményközi párbeszédet és együttműködést; sajnálja, hogy a Bizottság és a Tanács eddig elutasította azon ajánlatát, hogy intézményközi megállapodást kössenek a demokráciáról, a jogállamiságról és az alapvető jogokról; megerősíti hajlandóságát a fenti megállapodásról szóló tárgyalások folytatására;</w:t>
            </w:r>
          </w:p>
        </w:tc>
      </w:tr>
    </w:tbl>
    <w:p>
      <w:r>
        <w:rPr>
          <w:rStyle w:val="HideTWBExt"/>
        </w:rPr>
        <w:t>&lt;/Amend&gt;</w:t>
      </w:r>
    </w:p>
    <w:p>
      <w:pPr>
        <w:pStyle w:val="AmNumberTabs"/>
      </w:pPr>
      <w:r>
        <w:rPr>
          <w:rStyle w:val="HideTWBExt"/>
        </w:rPr>
        <w:t>&lt;Amend&gt;</w:t>
      </w:r>
      <w:r>
        <w:t>Módosítás</w:t>
      </w:r>
      <w:r>
        <w:tab/>
      </w:r>
      <w:r>
        <w:tab/>
      </w:r>
      <w:r>
        <w:rPr>
          <w:rStyle w:val="HideTWBExt"/>
        </w:rPr>
        <w:t>&lt;NumAm&gt;</w:t>
      </w:r>
      <w:r>
        <w:t>47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28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w:t>
            </w:r>
            <w:r>
              <w:tab/>
            </w:r>
            <w:r>
              <w:rPr>
                <w:b/>
                <w:i/>
              </w:rPr>
              <w:t>emlékeztet arra, hogy a feltételrendszerről szóló rendelet 9. cikke értelmében a Bizottság 2024. január 12-ig jelentést tesz a Parlamentnek és a Tanácsnak annak alkalmazásáról, különösen az elfogadott intézkedések hatékonyságáról; megjegyzi, hogy a Bizottság megfelelően elvégezte ezt a jelentéstételi feladatot; sürgeti, hogy a Bizottság – tekintettel arra, hogy a rendelet időbeli korlátozás nélkül alkalmazandó – évente egyszer nyújtson be ilyen jelentést;</w:t>
            </w:r>
          </w:p>
        </w:tc>
      </w:tr>
    </w:tbl>
    <w:p>
      <w:r>
        <w:rPr>
          <w:rStyle w:val="HideTWBExt"/>
        </w:rPr>
        <w:t>&lt;/Amend&gt;</w:t>
      </w:r>
    </w:p>
    <w:p>
      <w:pPr>
        <w:pStyle w:val="AmNumberTabs"/>
      </w:pPr>
      <w:r>
        <w:rPr>
          <w:rStyle w:val="HideTWBExt"/>
        </w:rPr>
        <w:t>&lt;Amend&gt;</w:t>
      </w:r>
      <w:r>
        <w:t>Módosítás</w:t>
      </w:r>
      <w:r>
        <w:tab/>
      </w:r>
      <w:r>
        <w:tab/>
      </w:r>
      <w:r>
        <w:rPr>
          <w:rStyle w:val="HideTWBExt"/>
        </w:rPr>
        <w:t>&lt;NumAm&gt;</w:t>
      </w:r>
      <w:r>
        <w:t>48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emlékeztet a feltételrendszerről szóló rendelet és a 2022. évi iránymutatás konkrét rendelkezéseire, amelyek arra kötelezik az EU-t, hogy védje meg a végső címzettek és kedvezményezettek jogos érdekeit a kormányaikra kiszabott szankciók pénzügyi következményeivel szemben; emlékeztet különösen a rendelet szerinti intézkedések hatálya alá tartozó tagállamok azon kötelezettségére, hogy továbbra is teljesítsék a végső címzettekkel és kedvezményezettekkel szembeni valamennyi kötelezettségvállalást;</w:t>
            </w:r>
          </w:p>
        </w:tc>
        <w:tc>
          <w:tcPr>
            <w:tcW w:w="4876" w:type="dxa"/>
            <w:tcBorders>
              <w:top w:val="nil"/>
              <w:left w:val="nil"/>
              <w:bottom w:val="nil"/>
              <w:right w:val="nil"/>
            </w:tcBorders>
          </w:tcPr>
          <w:p>
            <w:pPr>
              <w:pStyle w:val="Normal6a"/>
            </w:pPr>
            <w:r>
              <w:t>29.</w:t>
            </w:r>
            <w:r>
              <w:tab/>
            </w:r>
            <w:r>
              <w:t xml:space="preserve">emlékeztet a feltételrendszerről szóló rendelet és a 2022. évi iránymutatás konkrét rendelkezéseire, amelyek arra kötelezik az EU-t, hogy védje meg a végső címzettek és kedvezményezettek jogos érdekeit a kormányaikra kiszabott szankciók pénzügyi következményeivel szemben; </w:t>
            </w:r>
            <w:r>
              <w:rPr>
                <w:b/>
                <w:i/>
              </w:rPr>
              <w:t>aggodalmát fejezi ki amiatt, hogy az uniós források felfüggesztését politikai fegyverként lehet felhasználni a civil társadalom és a helyi önkormányzatok ellen;</w:t>
            </w:r>
            <w:r>
              <w:t xml:space="preserve"> emlékeztet különösen a rendelet szerinti intézkedések hatálya alá tartozó tagállamok azon kötelezettségére, hogy továbbra is teljesítsék a végső címzettekkel és kedvezményezettekkel szembeni valamennyi kötelezettségvállalást;</w:t>
            </w:r>
          </w:p>
        </w:tc>
      </w:tr>
    </w:tbl>
    <w:p>
      <w:r>
        <w:rPr>
          <w:rStyle w:val="HideTWBExt"/>
        </w:rPr>
        <w:t>&lt;/Amend&gt;</w:t>
      </w:r>
    </w:p>
    <w:p>
      <w:pPr>
        <w:pStyle w:val="AmNumberTabs"/>
      </w:pPr>
      <w:r>
        <w:rPr>
          <w:rStyle w:val="HideTWBExt"/>
        </w:rPr>
        <w:t>&lt;Amend&gt;</w:t>
      </w:r>
      <w:r>
        <w:t>Módosítás</w:t>
      </w:r>
      <w:r>
        <w:tab/>
      </w:r>
      <w:r>
        <w:tab/>
      </w:r>
      <w:r>
        <w:rPr>
          <w:rStyle w:val="HideTWBExt"/>
        </w:rPr>
        <w:t>&lt;NumAm&gt;</w:t>
      </w:r>
      <w:r>
        <w:t>49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30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sajnálja, hogy a gyakorlatban az előirányzott biztosítékok nagyrészt elméletiek maradnak, mivel a közvetlen kifizetésekre vagy a források átirányítására vonatkozó eljárások nehézkesek, a végső címzettekkel és kedvezményezettekkel folytatott kommunikáció pedig szórványos jellegű; elismeri, hogy uniós szinten többet kell tenni a végső címzettek és kedvezményezettek jogos érdekei védelmének javítása és az uniós finanszírozáshoz való hozzáférésük biztosítása érdekében;</w:t>
            </w:r>
          </w:p>
        </w:tc>
        <w:tc>
          <w:tcPr>
            <w:tcW w:w="4876" w:type="dxa"/>
            <w:tcBorders>
              <w:top w:val="nil"/>
              <w:left w:val="nil"/>
              <w:bottom w:val="nil"/>
              <w:right w:val="nil"/>
            </w:tcBorders>
          </w:tcPr>
          <w:p>
            <w:pPr>
              <w:pStyle w:val="Normal6a"/>
            </w:pPr>
            <w:r>
              <w:t>30.</w:t>
            </w:r>
            <w:r>
              <w:tab/>
            </w:r>
            <w:r>
              <w:t xml:space="preserve">sajnálja, hogy a gyakorlatban az előirányzott biztosítékok nagyrészt elméletiek maradnak, mivel a közvetlen kifizetésekre vagy a források átirányítására vonatkozó eljárások nehézkesek, a végső címzettekkel és kedvezményezettekkel folytatott kommunikáció pedig szórványos jellegű; </w:t>
            </w:r>
            <w:r>
              <w:rPr>
                <w:b/>
                <w:i/>
              </w:rPr>
              <w:t xml:space="preserve">üdvözli, hogy a Bizottság a 2028–2034 közötti időszakra vonatkozó többéves pénzügyi keretre irányuló javaslatában kinyilvánította a végső címzettek és kedvezményezettek védelmének megerősítésére irányuló szándékát; hangsúlyozza azonban, hogy ennek a kötelezettségvállalásnak a gyakorlatban hatékony biztosítékokban kell megnyilvánulnia, és hangsúlyozza, hogy a jelenlegi keretben megfigyelt hiányosságokra tekintettel egyértelmű és konkrét mechanizmusokat kell meghatározni a kedvezményezettek valódi védelmének biztosítása érdekében; aggodalmát fejezi ki amiatt, hogy a 2028–2034 közötti időszakra vonatkozó többéves pénzügyi keret javasolt struktúrája még nehezebbé teheti a végső kedvezményezettek és a kedvezményezettek védelmét azáltal, hogy nagyobb ellenőrzést biztosítana a tagállamok kormányai számára az uniós források kezelése felett; </w:t>
            </w:r>
            <w:r>
              <w:t>elismeri, hogy uniós szinten többet kell tenni a végső címzettek és kedvezményezettek jogos érdekei védelmének javítása és az uniós finanszírozáshoz való hozzáférésük biztosítása érdekében;</w:t>
            </w:r>
            <w:r>
              <w:rPr>
                <w:b/>
                <w:i/>
              </w:rPr>
              <w:t xml:space="preserve"> tudomásul veszi a Nemzeti és Regionális Partnerségi Alapról szóló rendelettervezet 15. cikkének (4) bekezdését, és hangsúlyozza, hogy kötelezővé kell tenni a feltételrendszer keretében visszavont kötelezettségvállalásoknak megfelelő előirányzatok rendelkezésre bocsátását más, közvetlen vagy közvetett irányítással végrehajtott uniós eszközök vagy programok keretében történő felhasználásra, különös tekintettel azokra, amelyek hozzájárulnak az európai demokrácia, a civil társadalom, az uniós értékek vagy a korrupció elleni küzdelem támogatásához, és legalább részben abban a tagállamban, ahol a jogállamiság megsértéseire sor került;</w:t>
            </w:r>
          </w:p>
        </w:tc>
      </w:tr>
    </w:tbl>
    <w:p>
      <w:r>
        <w:rPr>
          <w:rStyle w:val="HideTWBExt"/>
        </w:rPr>
        <w:t>&lt;/Amend&gt;</w:t>
      </w:r>
    </w:p>
    <w:p>
      <w:pPr>
        <w:pStyle w:val="AmNumberTabs"/>
      </w:pPr>
      <w:r>
        <w:rPr>
          <w:rStyle w:val="HideTWBExt"/>
        </w:rPr>
        <w:t>&lt;Amend&gt;</w:t>
      </w:r>
      <w:r>
        <w:t>Módosítás</w:t>
      </w:r>
      <w:r>
        <w:tab/>
      </w:r>
      <w:r>
        <w:tab/>
      </w:r>
      <w:r>
        <w:rPr>
          <w:rStyle w:val="HideTWBExt"/>
        </w:rPr>
        <w:t>&lt;NumAm&gt;</w:t>
      </w:r>
      <w:r>
        <w:t>50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31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aggodalommal állapítja meg, hogy egyes tagállamokban a kleptokratikus oligarchikus struktúrák szisztematikusan átveszik a stratégiailag fontos ágazatokat, például a bankszektort, a kiskereskedelmet, az élelmiszeripart, a gyógyszeripart, az építőipart és a technológiát, ami kockázatot jelenthet az uniós költségvetés védelmére nézve, például amikor ezek a struktúrák uniós forrásokra pályáznak; hangsúlyozza annak fontosságát, hogy minden pályázó számára egyenlő esélyeket biztosítsanak az uniós finanszírozáshoz, valamint a pártatlan és hatékony panasztételi mechanizmusokhoz való hozzáférés során;</w:t>
            </w:r>
          </w:p>
        </w:tc>
        <w:tc>
          <w:tcPr>
            <w:tcW w:w="4876" w:type="dxa"/>
            <w:tcBorders>
              <w:top w:val="nil"/>
              <w:left w:val="nil"/>
              <w:bottom w:val="nil"/>
              <w:right w:val="nil"/>
            </w:tcBorders>
          </w:tcPr>
          <w:p>
            <w:pPr>
              <w:pStyle w:val="Normal6a"/>
            </w:pPr>
            <w:r>
              <w:t>31.</w:t>
            </w:r>
            <w:r>
              <w:tab/>
            </w:r>
            <w:r>
              <w:t>aggodalommal állapítja meg, hogy egyes tagállamokban a kleptokratikus oligarchikus struktúrák szisztematikusan átveszik a stratégiailag fontos ágazatokat, például a bankszektort, a kiskereskedelmet, az élelmiszeripart, a gyógyszeripart, az építőipart és a technológiát, ami kockázatot jelenthet az uniós költségvetés védelmére nézve, például amikor ezek a struktúrák uniós forrásokra pályáznak; hangsúlyozza annak fontosságát, hogy minden pályázó számára egyenlő esélyeket biztosítsanak az uniós finanszírozáshoz, valamint a pártatlan és hatékony panasztételi mechanizmusokhoz való hozzáférés során;</w:t>
            </w:r>
            <w:r>
              <w:rPr>
                <w:b/>
                <w:i/>
              </w:rPr>
              <w:t xml:space="preserve"> sürgeti a Bizottságot, hogy az az összeférhetetlenség, a politikai eszközként való felhasználás vagy az átláthatatlanság megelőzése érdekében rendszeresen ellenőrizze az uniós források nemzeti szintű elosztását;</w:t>
            </w:r>
          </w:p>
        </w:tc>
      </w:tr>
    </w:tbl>
    <w:p>
      <w:r>
        <w:rPr>
          <w:rStyle w:val="HideTWBExt"/>
        </w:rPr>
        <w:t>&lt;/Amend&gt;</w:t>
      </w:r>
    </w:p>
    <w:p>
      <w:pPr>
        <w:pStyle w:val="AmNumberTabs"/>
      </w:pPr>
      <w:r>
        <w:rPr>
          <w:rStyle w:val="HideTWBExt"/>
        </w:rPr>
        <w:t>&lt;Amend&gt;</w:t>
      </w:r>
      <w:r>
        <w:t>Módosítás</w:t>
      </w:r>
      <w:r>
        <w:tab/>
      </w:r>
      <w:r>
        <w:tab/>
      </w:r>
      <w:r>
        <w:rPr>
          <w:rStyle w:val="HideTWBExt"/>
        </w:rPr>
        <w:t>&lt;NumAm&gt;</w:t>
      </w:r>
      <w:r>
        <w:t>51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32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rPr>
                <w:b/>
                <w:i/>
              </w:rPr>
              <w:t>a korlátozott tapasztalatok alapján</w:t>
            </w:r>
            <w:r>
              <w:t xml:space="preserve"> úgy véli, hogy </w:t>
            </w:r>
            <w:r>
              <w:rPr>
                <w:b/>
                <w:i/>
              </w:rPr>
              <w:t>a feltételrendszer hatékony eszköz volt</w:t>
            </w:r>
            <w:r>
              <w:t xml:space="preserve"> az EU pénzügyi érdekeinek a jogállamiság megsértéséből eredő kockázatokkal szembeni védelmére; </w:t>
            </w:r>
            <w:r>
              <w:rPr>
                <w:b/>
                <w:i/>
              </w:rPr>
              <w:t>ezért ragaszkodik</w:t>
            </w:r>
            <w:r>
              <w:t xml:space="preserve"> ahhoz, hogy a rendszert továbbra is alkalmazzák a teljes uniós költségvetésre, beleértve a teljesítményalapú eszközöket is, hogy egyetlen uniós kiadási sor se kerülhessen ki a hatékony jogállamisági ellenőrzés alól; sürgeti a Bizottságot annak biztosítására, hogy a feltételrendszerről szóló rendeletet következetesen alkalmazzák az uniós költségvetésre, függetlenül annak finanszírozási modelljétől;</w:t>
            </w:r>
          </w:p>
        </w:tc>
        <w:tc>
          <w:tcPr>
            <w:tcW w:w="4876" w:type="dxa"/>
            <w:tcBorders>
              <w:top w:val="nil"/>
              <w:left w:val="nil"/>
              <w:bottom w:val="nil"/>
              <w:right w:val="nil"/>
            </w:tcBorders>
          </w:tcPr>
          <w:p>
            <w:pPr>
              <w:pStyle w:val="Normal6a"/>
            </w:pPr>
            <w:r>
              <w:t>32.</w:t>
            </w:r>
            <w:r>
              <w:tab/>
            </w:r>
            <w:r>
              <w:t xml:space="preserve">úgy véli, hogy </w:t>
            </w:r>
            <w:r>
              <w:rPr>
                <w:b/>
                <w:i/>
              </w:rPr>
              <w:t>feltételezhetően túl korai lenne kimerítően állást foglalni</w:t>
            </w:r>
            <w:r>
              <w:t xml:space="preserve"> az EU pénzügyi érdekeinek a jogállamiság megsértéséből eredő kockázatokkal szembeni védelmére </w:t>
            </w:r>
            <w:r>
              <w:rPr>
                <w:b/>
                <w:i/>
              </w:rPr>
              <w:t>szolgáló eszköz hatékonyságáról, és hangsúlyozza, hogy mint bármely más eszköz esetében, itt is adott fejlesztés lehetősége</w:t>
            </w:r>
            <w:r>
              <w:t xml:space="preserve">; </w:t>
            </w:r>
            <w:r>
              <w:rPr>
                <w:b/>
                <w:i/>
              </w:rPr>
              <w:t>ragaszkodik azonban</w:t>
            </w:r>
            <w:r>
              <w:t xml:space="preserve"> ahhoz, hogy a rendszert továbbra is alkalmazzák a teljes uniós költségvetésre, beleértve a teljesítményalapú eszközöket is, hogy egyetlen uniós kiadási sor se kerülhessen ki a hatékony jogállamisági ellenőrzés alól; sürgeti a Bizottságot annak biztosítására, hogy a feltételrendszerről szóló rendeletet következetesen alkalmazzák az uniós költségvetésre, függetlenül annak finanszírozási modelljétől;</w:t>
            </w:r>
          </w:p>
        </w:tc>
      </w:tr>
    </w:tbl>
    <w:p>
      <w:r>
        <w:rPr>
          <w:rStyle w:val="HideTWBExt"/>
        </w:rPr>
        <w:t>&lt;/Amend&gt;</w:t>
      </w:r>
    </w:p>
    <w:p>
      <w:pPr>
        <w:pStyle w:val="AmNumberTabs"/>
      </w:pPr>
      <w:r>
        <w:rPr>
          <w:rStyle w:val="HideTWBExt"/>
        </w:rPr>
        <w:t>&lt;Amend&gt;</w:t>
      </w:r>
      <w:r>
        <w:t>Módosítás</w:t>
      </w:r>
      <w:r>
        <w:tab/>
      </w:r>
      <w:r>
        <w:tab/>
      </w:r>
      <w:r>
        <w:rPr>
          <w:rStyle w:val="HideTWBExt"/>
        </w:rPr>
        <w:t>&lt;NumAm&gt;</w:t>
      </w:r>
      <w:r>
        <w:t>52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felhívja a Bizottságot, hogy sürgősen vizsgálja felül a 2022. évi iránymutatást annak érdekében, hogy: közvetlenebb módon kezelje a pénzeszközök eltérítésével vagy átcsoportosításával kapcsolatos kockázatot; egy lépésről lépésre haladó módszertant tegyen közzé, amely bemutatja az arányosság kiszámításának módját; meghatározza a jogállamiság megsértése és a költségvetési kockázat közötti „kellően közvetlen kapcsolatot”; egyértelműbb kapcsolatot követeljen meg a jogsértések és az elfogadott intézkedések között, többek között az ilyen jogsértésekre vonatkozó pontosabb előírások révén; valamint egyértelmű megoldásokat és gyakorlati lépéseket adjon arra az esetre, ha az intézkedéseket visszavonják;</w:t>
            </w:r>
          </w:p>
        </w:tc>
        <w:tc>
          <w:tcPr>
            <w:tcW w:w="4876" w:type="dxa"/>
            <w:tcBorders>
              <w:top w:val="nil"/>
              <w:left w:val="nil"/>
              <w:bottom w:val="nil"/>
              <w:right w:val="nil"/>
            </w:tcBorders>
          </w:tcPr>
          <w:p>
            <w:pPr>
              <w:pStyle w:val="Normal6a"/>
            </w:pPr>
            <w:r>
              <w:t>34.</w:t>
            </w:r>
            <w:r>
              <w:tab/>
            </w:r>
            <w:r>
              <w:t>felhívja a Bizottságot, hogy sürgősen vizsgálja felül a 2022. évi iránymutatást annak érdekében, hogy: közvetlenebb módon kezelje a pénzeszközök eltérítésével vagy átcsoportosításával kapcsolatos kockázatot; egy lépésről lépésre haladó módszertant tegyen közzé, amely bemutatja az arányosság</w:t>
            </w:r>
            <w:r>
              <w:rPr>
                <w:b/>
                <w:i/>
              </w:rPr>
              <w:t>, valamint a korrekciós intézkedések hatékonysága megbecslésének vagy</w:t>
            </w:r>
            <w:r>
              <w:t xml:space="preserve"> kiszámításának módját; meghatározza a jogállamiság megsértése és a költségvetési kockázat közötti „kellően közvetlen kapcsolatot”</w:t>
            </w:r>
            <w:r>
              <w:rPr>
                <w:b/>
                <w:i/>
              </w:rPr>
              <w:t>, gyakorlati példákkal illusztrálva</w:t>
            </w:r>
            <w:r>
              <w:t xml:space="preserve">; egyértelműbb kapcsolatot követeljen meg a jogsértések és az elfogadott intézkedések között, többek között az ilyen jogsértésekre vonatkozó pontosabb előírások </w:t>
            </w:r>
            <w:r>
              <w:rPr>
                <w:b/>
                <w:i/>
              </w:rPr>
              <w:t>és annak tisztázása</w:t>
            </w:r>
            <w:r>
              <w:t xml:space="preserve"> révén</w:t>
            </w:r>
            <w:r>
              <w:rPr>
                <w:b/>
                <w:i/>
              </w:rPr>
              <w:t>, hogy mit igényel a proaktív nyomon követés</w:t>
            </w:r>
            <w:r>
              <w:t>; valamint egyértelmű megoldásokat és gyakorlati lépéseket adjon arra az esetre, ha az intézkedéseket visszavonják;</w:t>
            </w:r>
          </w:p>
        </w:tc>
      </w:tr>
    </w:tbl>
    <w:p>
      <w:r>
        <w:rPr>
          <w:rStyle w:val="HideTWBExt"/>
        </w:rPr>
        <w:t>&lt;/Amend&gt;</w:t>
      </w:r>
    </w:p>
    <w:p>
      <w:pPr>
        <w:pStyle w:val="AmNumberTabs"/>
      </w:pPr>
      <w:r>
        <w:rPr>
          <w:rStyle w:val="HideTWBExt"/>
        </w:rPr>
        <w:t>&lt;Amend&gt;</w:t>
      </w:r>
      <w:r>
        <w:t>Módosítás</w:t>
      </w:r>
      <w:r>
        <w:tab/>
      </w:r>
      <w:r>
        <w:tab/>
      </w:r>
      <w:r>
        <w:rPr>
          <w:rStyle w:val="HideTWBExt"/>
        </w:rPr>
        <w:t>&lt;NumAm&gt;</w:t>
      </w:r>
      <w:r>
        <w:t>53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35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ezzel összefüggésben felkéri a Bizottságot, hogy vizsgálja felül a feltételrendszerről szóló rendeletre mint végső eszközre vonatkozó értelmezését, és legyen proaktívabb annak alkalmazása során, beleértve a 6. cikk (4) bekezdésének alkalmazását is, az arányosság elvének tiszteletben tartása mellett;</w:t>
            </w:r>
          </w:p>
        </w:tc>
        <w:tc>
          <w:tcPr>
            <w:tcW w:w="4876" w:type="dxa"/>
            <w:tcBorders>
              <w:top w:val="nil"/>
              <w:left w:val="nil"/>
              <w:bottom w:val="nil"/>
              <w:right w:val="nil"/>
            </w:tcBorders>
          </w:tcPr>
          <w:p>
            <w:pPr>
              <w:pStyle w:val="Normal6a"/>
            </w:pPr>
            <w:r>
              <w:t>35.</w:t>
            </w:r>
            <w:r>
              <w:tab/>
            </w:r>
            <w:r>
              <w:t xml:space="preserve">ezzel összefüggésben felkéri a Bizottságot, hogy </w:t>
            </w:r>
            <w:r>
              <w:rPr>
                <w:b/>
                <w:i/>
              </w:rPr>
              <w:t>dolgozza ki a különböző költségvetési feltételekhez kötött eszközök hozzáadott értékének és korlátainak értékelését, hogy</w:t>
            </w:r>
            <w:r>
              <w:t xml:space="preserve"> vizsgálja felül a feltételrendszerről szóló rendeletre mint végső eszközre vonatkozó értelmezését, és </w:t>
            </w:r>
            <w:r>
              <w:rPr>
                <w:b/>
                <w:i/>
              </w:rPr>
              <w:t>hogy</w:t>
            </w:r>
            <w:r>
              <w:t xml:space="preserve"> legyen proaktívabb annak alkalmazása során, beleértve a 6. cikk (4) bekezdésének alkalmazását is, az arányosság elvének tiszteletben tartása mellett;</w:t>
            </w:r>
          </w:p>
        </w:tc>
      </w:tr>
    </w:tbl>
    <w:p>
      <w:r>
        <w:rPr>
          <w:rStyle w:val="HideTWBExt"/>
        </w:rPr>
        <w:t>&lt;/Amend&gt;</w:t>
      </w:r>
    </w:p>
    <w:p>
      <w:pPr>
        <w:pStyle w:val="AmNumberTabs"/>
      </w:pPr>
      <w:r>
        <w:rPr>
          <w:rStyle w:val="HideTWBExt"/>
        </w:rPr>
        <w:t>&lt;Amend&gt;</w:t>
      </w:r>
      <w:r>
        <w:t>Módosítás</w:t>
      </w:r>
      <w:r>
        <w:tab/>
      </w:r>
      <w:r>
        <w:tab/>
      </w:r>
      <w:r>
        <w:rPr>
          <w:rStyle w:val="HideTWBExt"/>
        </w:rPr>
        <w:t>&lt;NumAm&gt;</w:t>
      </w:r>
      <w:r>
        <w:t>54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kéri a Bizottságot, hogy arányossági értékelésében rendszerszinten vegye figyelembe a végső kedvezményezetteket, különösen a kisebb kedvezményezetteket, például – de nem kizárólag – az egyetemeket, a kis- és középvállalkozásokat és a civil társadalmi szervezeteket érintő következményeket, és ezt az elemzést emelje be a feltételrendszerről szóló rendelet 8. cikke alapján a Parlamentnek továbbított dossziéba;</w:t>
            </w:r>
          </w:p>
        </w:tc>
        <w:tc>
          <w:tcPr>
            <w:tcW w:w="4876" w:type="dxa"/>
            <w:tcBorders>
              <w:top w:val="nil"/>
              <w:left w:val="nil"/>
              <w:bottom w:val="nil"/>
              <w:right w:val="nil"/>
            </w:tcBorders>
          </w:tcPr>
          <w:p>
            <w:pPr>
              <w:pStyle w:val="Normal6a"/>
            </w:pPr>
            <w:r>
              <w:t>36.</w:t>
            </w:r>
            <w:r>
              <w:tab/>
            </w:r>
            <w:r>
              <w:t>kéri a Bizottságot, hogy arányossági értékelésében rendszerszinten vegye figyelembe a végső kedvezményezetteket, különösen a kisebb kedvezményezetteket, például – de nem kizárólag – az egyetemeket, a kis- és középvállalkozásokat és a civil társadalmi szervezeteket érintő következményeket, és ezt az elemzést emelje be a feltételrendszerről szóló rendelet 8. cikke alapján a Parlamentnek továbbított dossziéba</w:t>
            </w:r>
            <w:r>
              <w:rPr>
                <w:b/>
                <w:i/>
              </w:rPr>
              <w:t>, és emellett biztosítsa, hogy a szükséges változtatásokat nem csak elméleti síkon, hanem a gyakorlatban is hatékonyan végrehajtják</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55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felkéri a Bizottságot, hogy vizsgálja felül, hogyan tudja hatékonyan teljesíteni a végső címzettek és kedvezményezettek – különösen a jogállamiság hiányosságainak következményeit elszenvedő kedvezményezettek – jogos pénzügyi érdekeinek védelmére vonatkozó kötelezettségét, többek között azzal, hogy érvényesíti a feltételrendszerről szóló rendelet vonatkozó rendelkezéseit a tagállamok kifizetési kötelezettségei tekintetében; hangsúlyozza, hogy a jogszerű végső címzettek és kedvezményezettek uniós finanszírozáshoz való folyamatos hozzáférésének biztosítására irányuló intézkedések nem gyengíthetik a feltételrendszerről szóló rendelet alkalmazását; elvárja, hogy teljeskörűen bevonják ebbe a folyamatba.</w:t>
            </w:r>
          </w:p>
        </w:tc>
        <w:tc>
          <w:tcPr>
            <w:tcW w:w="4876" w:type="dxa"/>
            <w:tcBorders>
              <w:top w:val="nil"/>
              <w:left w:val="nil"/>
              <w:bottom w:val="nil"/>
              <w:right w:val="nil"/>
            </w:tcBorders>
          </w:tcPr>
          <w:p>
            <w:pPr>
              <w:pStyle w:val="Normal6a"/>
            </w:pPr>
            <w:r>
              <w:t>37.</w:t>
            </w:r>
            <w:r>
              <w:tab/>
            </w:r>
            <w:r>
              <w:t xml:space="preserve">felkéri a Bizottságot, hogy vizsgálja felül, hogyan tudja hatékonyan teljesíteni a végső címzettek és kedvezményezettek – különösen a jogállamiság hiányosságainak következményeit elszenvedő kedvezményezettek – jogos pénzügyi érdekeinek védelmére vonatkozó kötelezettségét, többek között azzal, hogy érvényesíti a feltételrendszerről szóló rendelet vonatkozó rendelkezéseit a tagállamok kifizetési kötelezettségei tekintetében; </w:t>
            </w:r>
            <w:r>
              <w:rPr>
                <w:b/>
                <w:i/>
              </w:rPr>
              <w:t xml:space="preserve">felkéri a Bizottságot, hogy találjon módot az érintett alapok közvetlen irányítás alá vonására vagy más, közvetlen vagy közvetett irányítással végrehajtott uniós eszközök vagy programok keretében történő rendelkezésre bocsátására, minden esetben biztosítva, hogy a helyi önkormányzatokat, a civil társadalmi szervezeteket és a kis- és középvállalkozásokat ne szenvedjék el a nemzeti kormányuk intézkedései miatti finanszírozás-felfüggesztések következményeit, és amennyiben arra a következtetésre jut, hogy ez a lehetőség nem megvalósítható, azt egyértelműen indokolja meg; </w:t>
            </w:r>
            <w:r>
              <w:t>hangsúlyozza, hogy a jogszerű végső címzettek és kedvezményezettek uniós finanszírozáshoz való folyamatos hozzáférésének biztosítására irányuló intézkedések nem gyengíthetik a feltételrendszerről szóló rendelet alkalmazását; elvárja, hogy teljeskörűen bevonják ebbe a folyamatba.</w:t>
            </w:r>
          </w:p>
        </w:tc>
      </w:tr>
    </w:tbl>
    <w:p>
      <w:r>
        <w:rPr>
          <w:rStyle w:val="HideTWBExt"/>
        </w:rPr>
        <w:t>&lt;/Amend&gt;</w:t>
      </w:r>
    </w:p>
    <w:p>
      <w:pPr>
        <w:pStyle w:val="AmNumberTabs"/>
      </w:pPr>
      <w:r>
        <w:rPr>
          <w:rStyle w:val="HideTWBExt"/>
        </w:rPr>
        <w:t>&lt;Amend&gt;</w:t>
      </w:r>
      <w:r>
        <w:t>Módosítás</w:t>
      </w:r>
      <w:r>
        <w:tab/>
      </w:r>
      <w:r>
        <w:tab/>
      </w:r>
      <w:r>
        <w:rPr>
          <w:rStyle w:val="HideTWBExt"/>
        </w:rPr>
        <w:t>&lt;NumAm&gt;</w:t>
      </w:r>
      <w:r>
        <w:t>56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felszólítja a Bizottságot, hogy szisztematikusan hozzon létre kereszthivatkozásokat a kötelezettségszegési eljárások és a költségvetési rendelet 6. cikke alapján elfogadott intézkedések, valamint a </w:t>
            </w:r>
            <w:r>
              <w:rPr>
                <w:b/>
                <w:i/>
              </w:rPr>
              <w:t>feltételrendszer alapján végzett</w:t>
            </w:r>
            <w:r>
              <w:t xml:space="preserve">, </w:t>
            </w:r>
            <w:r>
              <w:rPr>
                <w:b/>
                <w:i/>
              </w:rPr>
              <w:t>függőben lévő átvilágítások</w:t>
            </w:r>
            <w:r>
              <w:t xml:space="preserve"> között annak érdekében, hogy a tagállamok ne tudják kihasználni az egymástól elkülönülő eljárásokat, és hogy az EU pénzügyi érdekei az alkalmazott jogi eszköztől függetlenül védelemben részesüljenek;</w:t>
            </w:r>
          </w:p>
        </w:tc>
        <w:tc>
          <w:tcPr>
            <w:tcW w:w="4876" w:type="dxa"/>
            <w:tcBorders>
              <w:top w:val="nil"/>
              <w:left w:val="nil"/>
              <w:bottom w:val="nil"/>
              <w:right w:val="nil"/>
            </w:tcBorders>
          </w:tcPr>
          <w:p>
            <w:pPr>
              <w:pStyle w:val="Normal6a"/>
            </w:pPr>
            <w:r>
              <w:t>38.</w:t>
            </w:r>
            <w:r>
              <w:tab/>
            </w:r>
            <w:r>
              <w:t xml:space="preserve">felszólítja a Bizottságot, hogy szisztematikusan hozzon létre kereszthivatkozásokat a kötelezettségszegési eljárások és a költségvetési rendelet 6. cikke alapján elfogadott intézkedések, valamint a </w:t>
            </w:r>
            <w:r>
              <w:rPr>
                <w:b/>
                <w:i/>
              </w:rPr>
              <w:t>feltételrendszerről szóló rendelet</w:t>
            </w:r>
            <w:r>
              <w:t xml:space="preserve">, </w:t>
            </w:r>
            <w:r>
              <w:rPr>
                <w:b/>
                <w:i/>
              </w:rPr>
              <w:t>a közös rendelkezésekről szóló rendelet, a Helyreállítási és Rezilienciaépítési Eszközről szóló rendelet és a 2028–2034-es többéves pénzügyi keret jövőbeli feltételrendszere, valamint bármely más releváns eszköz alapján elfogadott intézkedések</w:t>
            </w:r>
            <w:r>
              <w:t xml:space="preserve"> között annak érdekében, hogy a tagállamok ne tudják kihasználni az egymástól elkülönülő eljárásokat, és hogy az EU pénzügyi érdekei az alkalmazott jogi eszköztől függetlenül védelemben részesüljenek;</w:t>
            </w:r>
          </w:p>
        </w:tc>
      </w:tr>
    </w:tbl>
    <w:p>
      <w:r>
        <w:rPr>
          <w:rStyle w:val="HideTWBExt"/>
        </w:rPr>
        <w:t>&lt;/Amend&gt;</w:t>
      </w:r>
    </w:p>
    <w:p>
      <w:pPr>
        <w:pStyle w:val="AmNumberTabs"/>
      </w:pPr>
      <w:r>
        <w:rPr>
          <w:rStyle w:val="HideTWBExt"/>
        </w:rPr>
        <w:t>&lt;Amend&gt;</w:t>
      </w:r>
      <w:r>
        <w:t>Módosítás</w:t>
      </w:r>
      <w:r>
        <w:tab/>
      </w:r>
      <w:r>
        <w:tab/>
      </w:r>
      <w:r>
        <w:rPr>
          <w:rStyle w:val="HideTWBExt"/>
        </w:rPr>
        <w:t>&lt;NumAm&gt;</w:t>
      </w:r>
      <w:r>
        <w:t>57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39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úgy véli, hogy a korrekciós intézkedéseket biztosítékoknak kell kísérniük annak érdekében, hogy adott esetben megelőzzék a hasonló helyzetek előfordulását a jövőben;</w:t>
            </w:r>
          </w:p>
        </w:tc>
        <w:tc>
          <w:tcPr>
            <w:tcW w:w="4876" w:type="dxa"/>
            <w:tcBorders>
              <w:top w:val="nil"/>
              <w:left w:val="nil"/>
              <w:bottom w:val="nil"/>
              <w:right w:val="nil"/>
            </w:tcBorders>
          </w:tcPr>
          <w:p>
            <w:pPr>
              <w:pStyle w:val="Normal6a"/>
            </w:pPr>
            <w:r>
              <w:t>39.</w:t>
            </w:r>
            <w:r>
              <w:tab/>
            </w:r>
            <w:r>
              <w:t xml:space="preserve">úgy véli, hogy a korrekciós intézkedéseket biztosítékoknak kell kísérniük annak érdekében, hogy adott esetben megelőzzék a hasonló helyzetek előfordulását </w:t>
            </w:r>
            <w:r>
              <w:rPr>
                <w:b/>
                <w:i/>
              </w:rPr>
              <w:t>vagy a jogállamiságot érintő további visszaesést</w:t>
            </w:r>
            <w:r>
              <w:t xml:space="preserve"> a jövőben;</w:t>
            </w:r>
          </w:p>
        </w:tc>
      </w:tr>
    </w:tbl>
    <w:p>
      <w:r>
        <w:rPr>
          <w:rStyle w:val="HideTWBExt"/>
        </w:rPr>
        <w:t>&lt;/Amend&gt;</w:t>
      </w:r>
    </w:p>
    <w:p>
      <w:pPr>
        <w:pStyle w:val="AmNumberTabs"/>
      </w:pPr>
      <w:r>
        <w:rPr>
          <w:rStyle w:val="HideTWBExt"/>
        </w:rPr>
        <w:t>&lt;Amend&gt;</w:t>
      </w:r>
      <w:r>
        <w:t>Módosítás</w:t>
      </w:r>
      <w:r>
        <w:tab/>
      </w:r>
      <w:r>
        <w:tab/>
      </w:r>
      <w:r>
        <w:rPr>
          <w:rStyle w:val="HideTWBExt"/>
        </w:rPr>
        <w:t>&lt;NumAm&gt;</w:t>
      </w:r>
      <w:r>
        <w:t>58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40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elvárja, hogy a Bizottság tegyen konkrét lépéseket az éves jogállamisági jelentéseiben foglalt ajánlások és az uniós költségvetésből nyújtott pénzügyi támogatás közötti kapcsolatok megerősítése érdekében, a költségvetésért és a jogállamiságért felelős biztosoknak címzett 2024. évi megbízólevelekben foglaltaknak megfelelően; felkéri a Bizottságot, hogy az éves jogállamisági jelentéseiben foglalt országspecifikus ajánlásokat fordítsa le konkrét mérföldkövekre, amelyek alapján a tagállamoknak szisztematikusan cselekedniük kell, és amelyek adott esetben bizonyítékként szolgálnak a feltételrendszerről szóló rendelet aktiválásának megindokolásához;</w:t>
            </w:r>
          </w:p>
        </w:tc>
        <w:tc>
          <w:tcPr>
            <w:tcW w:w="4876" w:type="dxa"/>
            <w:tcBorders>
              <w:top w:val="nil"/>
              <w:left w:val="nil"/>
              <w:bottom w:val="nil"/>
              <w:right w:val="nil"/>
            </w:tcBorders>
          </w:tcPr>
          <w:p>
            <w:pPr>
              <w:pStyle w:val="Normal6a"/>
            </w:pPr>
            <w:r>
              <w:t>40.</w:t>
            </w:r>
            <w:r>
              <w:tab/>
            </w:r>
            <w:r>
              <w:t xml:space="preserve">elvárja, hogy a Bizottság tegyen konkrét lépéseket az éves jogállamisági jelentéseiben foglalt ajánlások és az uniós költségvetésből nyújtott pénzügyi támogatás közötti kapcsolatok megerősítése érdekében, a költségvetésért és a jogállamiságért felelős biztosoknak címzett 2024. évi megbízólevelekben foglaltaknak megfelelően; felkéri a Bizottságot, hogy az éves jogállamisági jelentéseiben foglalt országspecifikus ajánlásokat fordítsa le konkrét mérföldkövekre, amelyek alapján a tagállamoknak szisztematikusan cselekedniük kell, és amelyek adott esetben bizonyítékként szolgálnak a feltételrendszerről szóló rendelet </w:t>
            </w:r>
            <w:r>
              <w:rPr>
                <w:b/>
                <w:i/>
              </w:rPr>
              <w:t>és más eszközök</w:t>
            </w:r>
            <w:r>
              <w:t xml:space="preserve"> aktiválásának megindokolásához;</w:t>
            </w:r>
            <w:r>
              <w:rPr>
                <w:b/>
                <w:i/>
              </w:rPr>
              <w:t xml:space="preserve"> </w:t>
            </w:r>
            <w:r>
              <w:rPr>
                <w:b/>
                <w:i/>
              </w:rPr>
              <w:t>hangsúlyozza, hogy az ilyen mérföldkövekhez egyértelmű határidőket kell kijelölni, és szorgalmazza kapcsolódó mutatók kidolgozását;</w:t>
            </w:r>
          </w:p>
        </w:tc>
      </w:tr>
    </w:tbl>
    <w:p>
      <w:r>
        <w:rPr>
          <w:rStyle w:val="HideTWBExt"/>
        </w:rPr>
        <w:t>&lt;/Amend&gt;</w:t>
      </w:r>
    </w:p>
    <w:p>
      <w:pPr>
        <w:pStyle w:val="AmNumberTabs"/>
      </w:pPr>
      <w:r>
        <w:rPr>
          <w:rStyle w:val="HideTWBExt"/>
        </w:rPr>
        <w:t>&lt;Amend&gt;</w:t>
      </w:r>
      <w:r>
        <w:t>Módosítás</w:t>
      </w:r>
      <w:r>
        <w:tab/>
      </w:r>
      <w:r>
        <w:tab/>
      </w:r>
      <w:r>
        <w:rPr>
          <w:rStyle w:val="HideTWBExt"/>
        </w:rPr>
        <w:t>&lt;NumAm&gt;</w:t>
      </w:r>
      <w:r>
        <w:t>59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41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hangsúlyozza, hogy az éves jogállamisági jelentés jelenleg négy pillérre épül, nevezetesen: az igazságszolgáltatási rendszer, a korrupcióellenes keret, a médiapluralizmus, valamint a fékekkel és ellensúlyokkal kapcsolatos egyéb intézményi kérdések; </w:t>
            </w:r>
            <w:r>
              <w:rPr>
                <w:b/>
                <w:i/>
              </w:rPr>
              <w:t>elismeri</w:t>
            </w:r>
            <w:r>
              <w:t>, hogy a 2025. évi jogállamisági jelentésbe belefoglalták az egységes piaci dimenziót, hogy kezeljék a vállalatokat és a munkavállalókat érintő jogállamisági kérdéseket; hangsúlyozza, hogy a működő igazságszolgáltatási rendszer, az erős korrupcióellenes keret, a médiapluralizmus, a fékek és ellensúlyok megfelelő rendszere</w:t>
            </w:r>
            <w:r>
              <w:rPr>
                <w:b/>
                <w:i/>
              </w:rPr>
              <w:t>, valamint a működő</w:t>
            </w:r>
            <w:r>
              <w:t xml:space="preserve"> egységes piac </w:t>
            </w:r>
            <w:r>
              <w:rPr>
                <w:b/>
                <w:i/>
              </w:rPr>
              <w:t>szervesen összefügg</w:t>
            </w:r>
            <w:r>
              <w:t xml:space="preserve"> a </w:t>
            </w:r>
            <w:r>
              <w:rPr>
                <w:b/>
                <w:i/>
              </w:rPr>
              <w:t>jogállamisággal</w:t>
            </w:r>
            <w:r>
              <w:t>;</w:t>
            </w:r>
          </w:p>
        </w:tc>
        <w:tc>
          <w:tcPr>
            <w:tcW w:w="4876" w:type="dxa"/>
            <w:tcBorders>
              <w:top w:val="nil"/>
              <w:left w:val="nil"/>
              <w:bottom w:val="nil"/>
              <w:right w:val="nil"/>
            </w:tcBorders>
          </w:tcPr>
          <w:p>
            <w:pPr>
              <w:pStyle w:val="Normal6a"/>
            </w:pPr>
            <w:r>
              <w:t>41.</w:t>
            </w:r>
            <w:r>
              <w:tab/>
            </w:r>
            <w:r>
              <w:t xml:space="preserve">hangsúlyozza, hogy az éves jogállamisági jelentés jelenleg négy pillérre épül, nevezetesen: az igazságszolgáltatási rendszer, a korrupcióellenes keret, a médiapluralizmus, valamint a fékekkel és ellensúlyokkal kapcsolatos egyéb intézményi kérdések; </w:t>
            </w:r>
            <w:r>
              <w:rPr>
                <w:b/>
                <w:i/>
              </w:rPr>
              <w:t>üdvözli azt</w:t>
            </w:r>
            <w:r>
              <w:t xml:space="preserve">, hogy a 2025. évi jogállamisági jelentésbe belefoglalták az egységes piaci dimenziót, hogy kezeljék a vállalatokat és a munkavállalókat érintő jogállamisági kérdéseket; hangsúlyozza, hogy a működő igazságszolgáltatási rendszer, az erős korrupcióellenes keret, a médiapluralizmus, </w:t>
            </w:r>
            <w:r>
              <w:rPr>
                <w:b/>
                <w:i/>
              </w:rPr>
              <w:t>valamint</w:t>
            </w:r>
            <w:r>
              <w:t xml:space="preserve"> a fékek és ellensúlyok megfelelő rendszere </w:t>
            </w:r>
            <w:r>
              <w:rPr>
                <w:b/>
                <w:i/>
              </w:rPr>
              <w:t>mind az</w:t>
            </w:r>
            <w:r>
              <w:t xml:space="preserve"> egységes piac </w:t>
            </w:r>
            <w:r>
              <w:rPr>
                <w:b/>
                <w:i/>
              </w:rPr>
              <w:t>működésének előfeltételei;</w:t>
            </w:r>
            <w:r>
              <w:rPr>
                <w:b/>
                <w:i/>
              </w:rPr>
              <w:t xml:space="preserve"> </w:t>
            </w:r>
            <w:r>
              <w:rPr>
                <w:b/>
                <w:i/>
              </w:rPr>
              <w:t>hangsúlyozza, hogy ezeket</w:t>
            </w:r>
            <w:r>
              <w:t xml:space="preserve"> a </w:t>
            </w:r>
            <w:r>
              <w:rPr>
                <w:b/>
                <w:i/>
              </w:rPr>
              <w:t>pilléreket alpillérek egészítik ki, amelyeket szükség esetén tovább kell fejleszteni</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60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41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 a.</w:t>
            </w:r>
            <w:r>
              <w:tab/>
            </w:r>
            <w:r>
              <w:rPr>
                <w:b/>
                <w:i/>
              </w:rPr>
              <w:t>hangsúlyozza, hogy az éves jogállamisági jelentést – és különösen annak ajánlásait – úgy kell elkészíteni, hogy az teljes mértékben működőképes és közvetlenül felhasználható legyen annak meghatározására, hogy indokolt-e a feltételrendszerről szóló rendelet aktiválása; felhívja továbbá a Bizottságot, hogy tisztázza azt a küszöbértéket, amelynél a jelentésben és a kapcsolódó ajánlásokban azonosított hiányosságok kellően súlyosnak tekinthetők ahhoz, hogy indokolják egy olyan pénzügyi eszköz igénybevételét, mint a feltételrendszerről szóló rendelet;</w:t>
            </w:r>
          </w:p>
        </w:tc>
      </w:tr>
    </w:tbl>
    <w:p>
      <w:r>
        <w:rPr>
          <w:rStyle w:val="HideTWBExt"/>
        </w:rPr>
        <w:t>&lt;/Amend&gt;</w:t>
      </w:r>
    </w:p>
    <w:p>
      <w:pPr>
        <w:pStyle w:val="AmNumberTabs"/>
      </w:pPr>
      <w:r>
        <w:rPr>
          <w:rStyle w:val="HideTWBExt"/>
        </w:rPr>
        <w:t>&lt;Amend&gt;</w:t>
      </w:r>
      <w:r>
        <w:t>Módosítás</w:t>
      </w:r>
      <w:r>
        <w:tab/>
      </w:r>
      <w:r>
        <w:tab/>
      </w:r>
      <w:r>
        <w:rPr>
          <w:rStyle w:val="HideTWBExt"/>
        </w:rPr>
        <w:t>&lt;NumAm&gt;</w:t>
      </w:r>
      <w:r>
        <w:t>61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42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megjegyzi, hogy a jogállamiság rendszerszintű megsértésének eseteiben, amelyeket az éves jogállamisági jelentés pillérei keretében azonosítottak, és amelyek kellően közvetlen kapcsolatban állnak az uniós költségvetés védelmével, aktiválni kell a feltételrendszer mechanizmusát, különösen olyan esetekben, mint az uniós finanszírozással járó ajánlati felhívásokban és pályázatokban elkövetett jogsértés, manipuláció vagy előnyben részesítés, valamint a helyi és regionális önkormányzatokkal, vállalatokkal vagy más végső címzettekkel és kedvezményezettekkel szembeni egyenlő bánásmódot és az uniós forrásokhoz való hozzáférésüket sértő adminisztratív zaklatás;</w:t>
            </w:r>
          </w:p>
        </w:tc>
        <w:tc>
          <w:tcPr>
            <w:tcW w:w="4876" w:type="dxa"/>
            <w:tcBorders>
              <w:top w:val="nil"/>
              <w:left w:val="nil"/>
              <w:bottom w:val="nil"/>
              <w:right w:val="nil"/>
            </w:tcBorders>
          </w:tcPr>
          <w:p>
            <w:pPr>
              <w:pStyle w:val="Normal6a"/>
            </w:pPr>
            <w:r>
              <w:t>42.</w:t>
            </w:r>
            <w:r>
              <w:tab/>
            </w:r>
            <w:r>
              <w:t xml:space="preserve">megjegyzi, hogy a jogállamiság rendszerszintű megsértésének eseteiben, amelyeket az éves jogállamisági jelentés pillérei keretében azonosítottak, és amelyek kellően közvetlen kapcsolatban állnak az uniós költségvetés védelmével, aktiválni kell a feltételrendszer mechanizmusát, különösen olyan esetekben, mint </w:t>
            </w:r>
            <w:r>
              <w:rPr>
                <w:b/>
                <w:i/>
              </w:rPr>
              <w:t>a bírói függetlenség rendszerszintű megsértése, a hatástalan korrupcióellenes keret, többek között az ügyészi szolgálatok vagy a legfőbb ellenőrző intézmények politikai befolyás alá vonása, az ítéletek végrehajtásának hiánya vagy</w:t>
            </w:r>
            <w:r>
              <w:t xml:space="preserve"> az uniós finanszírozással járó ajánlati felhívásokban és pályázatokban elkövetett jogsértés, manipuláció vagy előnyben részesítés, valamint a helyi és regionális önkormányzatokkal, vállalatokkal vagy más végső címzettekkel és kedvezményezettekkel szembeni egyenlő bánásmódot és az uniós forrásokhoz való hozzáférésüket sértő adminisztratív zaklatás;</w:t>
            </w:r>
          </w:p>
        </w:tc>
      </w:tr>
    </w:tbl>
    <w:p>
      <w:r>
        <w:rPr>
          <w:rStyle w:val="HideTWBExt"/>
        </w:rPr>
        <w:t>&lt;/Amend&gt;</w:t>
      </w:r>
    </w:p>
    <w:p>
      <w:pPr>
        <w:pStyle w:val="AmNumberTabs"/>
      </w:pPr>
      <w:r>
        <w:rPr>
          <w:rStyle w:val="HideTWBExt"/>
        </w:rPr>
        <w:t>&lt;Amend&gt;</w:t>
      </w:r>
      <w:r>
        <w:t>Módosítás</w:t>
      </w:r>
      <w:r>
        <w:tab/>
      </w:r>
      <w:r>
        <w:tab/>
      </w:r>
      <w:r>
        <w:rPr>
          <w:rStyle w:val="HideTWBExt"/>
        </w:rPr>
        <w:t>&lt;NumAm&gt;</w:t>
      </w:r>
      <w:r>
        <w:t>62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44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ragaszkodik ahhoz, hogy meg kell őrizni a Parlament ellenőrzési előjogait azáltal, hogy felhatalmazzák arra, hogy nyomon kövesse a feltételrendszer következetes alkalmazását (vagy annak elmaradását), ezáltal megakadályozva a politikai eszközként való felhasználását vagy az átláthatatlan helyzeteket; felkéri a Bizottságot, hogy az éves költségvetési eljárás keretében továbbítsa a Parlamentnek a feltételrendszerrel kapcsolatban hozott összes döntés összesített éves leltárát költségvetési fejezetek szerint;</w:t>
            </w:r>
          </w:p>
        </w:tc>
        <w:tc>
          <w:tcPr>
            <w:tcW w:w="4876" w:type="dxa"/>
            <w:tcBorders>
              <w:top w:val="nil"/>
              <w:left w:val="nil"/>
              <w:bottom w:val="nil"/>
              <w:right w:val="nil"/>
            </w:tcBorders>
          </w:tcPr>
          <w:p>
            <w:pPr>
              <w:pStyle w:val="Normal6a"/>
            </w:pPr>
            <w:r>
              <w:t>44.</w:t>
            </w:r>
            <w:r>
              <w:tab/>
            </w:r>
            <w:r>
              <w:t xml:space="preserve">ragaszkodik ahhoz, hogy meg kell őrizni a Parlament ellenőrzési előjogait azáltal, hogy felhatalmazzák arra, hogy </w:t>
            </w:r>
            <w:r>
              <w:rPr>
                <w:b/>
                <w:i/>
              </w:rPr>
              <w:t>a jelenlegi és jövőbeli eszközök keretében</w:t>
            </w:r>
            <w:r>
              <w:t xml:space="preserve"> nyomon kövesse a feltételrendszer következetes alkalmazását (vagy annak elmaradását), ezáltal megakadályozva a politikai eszközként való felhasználását vagy az átláthatatlan helyzeteket; felkéri a Bizottságot, hogy az éves költségvetési eljárás keretében továbbítsa a Parlamentnek a feltételrendszerrel kapcsolatban hozott összes döntés összesített éves leltárát költségvetési fejezetek szerint;</w:t>
            </w:r>
          </w:p>
        </w:tc>
      </w:tr>
    </w:tbl>
    <w:p>
      <w:r>
        <w:rPr>
          <w:rStyle w:val="HideTWBExt"/>
        </w:rPr>
        <w:t>&lt;/Amend&gt;</w:t>
      </w:r>
    </w:p>
    <w:p>
      <w:pPr>
        <w:pStyle w:val="AmNumberTabs"/>
      </w:pPr>
      <w:r>
        <w:rPr>
          <w:rStyle w:val="HideTWBExt"/>
        </w:rPr>
        <w:t>&lt;Amend&gt;</w:t>
      </w:r>
      <w:r>
        <w:t>Módosítás</w:t>
      </w:r>
      <w:r>
        <w:tab/>
      </w:r>
      <w:r>
        <w:tab/>
      </w:r>
      <w:r>
        <w:rPr>
          <w:rStyle w:val="HideTWBExt"/>
        </w:rPr>
        <w:t>&lt;NumAm&gt;</w:t>
      </w:r>
      <w:r>
        <w:t>63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45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 a.</w:t>
            </w:r>
            <w:r>
              <w:tab/>
            </w:r>
            <w:r>
              <w:rPr>
                <w:b/>
                <w:i/>
              </w:rPr>
              <w:t>sürgeti a Bizottságot, hogy állapodjon meg egy biztonságos kommunikációs csatornáról a Parlament illetékes szerveivel a dokumentumokhoz való teljes körű hozzáférés biztosítása érdekében – beleértve az írásbeli értesítések teljes szövegét, valamint a Bizottság szolgálatai és az érintett tagállam közötti információcserét – kellő időben, átfogóan és proaktív módon, de megőrizve azok bizalmas jellegét;</w:t>
            </w:r>
          </w:p>
        </w:tc>
      </w:tr>
    </w:tbl>
    <w:p>
      <w:r>
        <w:rPr>
          <w:rStyle w:val="HideTWBExt"/>
        </w:rPr>
        <w:t>&lt;/Amend&gt;</w:t>
      </w:r>
    </w:p>
    <w:p>
      <w:pPr>
        <w:pStyle w:val="AmNumberTabs"/>
      </w:pPr>
      <w:r>
        <w:rPr>
          <w:rStyle w:val="HideTWBExt"/>
        </w:rPr>
        <w:t>&lt;Amend&gt;</w:t>
      </w:r>
      <w:r>
        <w:t>Módosítás</w:t>
      </w:r>
      <w:r>
        <w:tab/>
      </w:r>
      <w:r>
        <w:tab/>
      </w:r>
      <w:r>
        <w:rPr>
          <w:rStyle w:val="HideTWBExt"/>
        </w:rPr>
        <w:t>&lt;NumAm&gt;</w:t>
      </w:r>
      <w:r>
        <w:t>64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46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felszólítja a Tanácsot, hogy őrizze meg a folyamat tényeken alapuló és objektív jellegét, és a lehető legszorosabban tartsa magát a Bizottság javaslataihoz; sürgeti továbbá a Tanácsot, hogy az intézkedések elfogadásához vezető folyamatot ne </w:t>
            </w:r>
            <w:r>
              <w:rPr>
                <w:b/>
                <w:i/>
              </w:rPr>
              <w:t>fordítsa</w:t>
            </w:r>
            <w:r>
              <w:t xml:space="preserve"> át </w:t>
            </w:r>
            <w:r>
              <w:rPr>
                <w:b/>
                <w:i/>
              </w:rPr>
              <w:t>tárgyalási előnnyé</w:t>
            </w:r>
            <w:r>
              <w:t>;</w:t>
            </w:r>
          </w:p>
        </w:tc>
        <w:tc>
          <w:tcPr>
            <w:tcW w:w="4876" w:type="dxa"/>
            <w:tcBorders>
              <w:top w:val="nil"/>
              <w:left w:val="nil"/>
              <w:bottom w:val="nil"/>
              <w:right w:val="nil"/>
            </w:tcBorders>
          </w:tcPr>
          <w:p>
            <w:pPr>
              <w:pStyle w:val="Normal6a"/>
            </w:pPr>
            <w:r>
              <w:t>46.</w:t>
            </w:r>
            <w:r>
              <w:tab/>
            </w:r>
            <w:r>
              <w:t>felszólítja a Tanácsot, hogy őrizze meg a folyamat tényeken alapuló és objektív jellegét, és a lehető legszorosabban tartsa magát a Bizottság javaslataihoz</w:t>
            </w:r>
            <w:r>
              <w:rPr>
                <w:b/>
                <w:i/>
              </w:rPr>
              <w:t>, és az azoktól való esetleges eltérés esetén azt megfelelően indokolja meg</w:t>
            </w:r>
            <w:r>
              <w:t xml:space="preserve">; sürgeti továbbá a Tanácsot, hogy az intézkedések elfogadásához vezető folyamatot ne </w:t>
            </w:r>
            <w:r>
              <w:rPr>
                <w:b/>
                <w:i/>
              </w:rPr>
              <w:t>alakítsa</w:t>
            </w:r>
            <w:r>
              <w:t xml:space="preserve"> át </w:t>
            </w:r>
            <w:r>
              <w:rPr>
                <w:b/>
                <w:i/>
              </w:rPr>
              <w:t>a politikai megegyezés gyakorlatává, amely lehetővé tenné az e folyamat által érintett tagállamok számára, hogy érvényesítsék vétójogukat az Európai Tanács egyhangú döntését igénylő sürgős határozatokkal szemben;</w:t>
            </w:r>
            <w:r>
              <w:rPr>
                <w:b/>
                <w:i/>
              </w:rPr>
              <w:t xml:space="preserve"> </w:t>
            </w:r>
            <w:r>
              <w:rPr>
                <w:b/>
                <w:i/>
              </w:rPr>
              <w:t>úgy véli, hogy a jelenlegi rendelet keretében lehetővé kell tenni az uniós költségvetés védelmét szolgáló új intézkedések egyszerűsített elfogadását ugyanazon eljárás keretében, ha az intézkedések elfogadásához vezető helyzetet nem orvosolták, vagy az romlott, biztosítva, hogy továbbra is ugyanazok a tartalmi kritériumok és biztosítékok alkalmazandók</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65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47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kéri a Bizottságot, hogy hozzon létre egy interaktív portált, amely lehetővé tenné a polgárok, a végső címzettek és kedvezményezettek, valamint a gazdasági szereplők számára, hogy az átláthatóság fokozása és a félretájékoztatás megelőzése érdekében nyomon kövessék a feltételrendszerrel kapcsolatos esetek teljes életciklusát az értesítéstől kezdve az intézkedések esetleges megszüntetéséig; e tekintetben felszólítja a Bizottságot, hogy tegyen közzé tájékoztatókat, amelyek tartalmazzák a feltételrendszerről szóló rendelet szerinti valamennyi jövőbeli fellépést, bemutatva a jogsértések típusát és értékelését, az uniós költségvetésre gyakorolt hatást, valamint adott esetben a javasolt intézkedések arányosságát; felkéri a Bizottságot annak biztosítására, hogy terjesszék az idevágó információkat az érintett végső címzettek és kedvezményezettek, valamint a szélesebb nyilvánosság körében;</w:t>
            </w:r>
          </w:p>
        </w:tc>
        <w:tc>
          <w:tcPr>
            <w:tcW w:w="4876" w:type="dxa"/>
            <w:tcBorders>
              <w:top w:val="nil"/>
              <w:left w:val="nil"/>
              <w:bottom w:val="nil"/>
              <w:right w:val="nil"/>
            </w:tcBorders>
          </w:tcPr>
          <w:p>
            <w:pPr>
              <w:pStyle w:val="Normal6a"/>
            </w:pPr>
            <w:r>
              <w:t>47.</w:t>
            </w:r>
            <w:r>
              <w:tab/>
            </w:r>
            <w:r>
              <w:t xml:space="preserve">kéri a Bizottságot, hogy hozzon létre egy interaktív portált, amely lehetővé tenné a polgárok, a </w:t>
            </w:r>
            <w:r>
              <w:rPr>
                <w:b/>
                <w:i/>
              </w:rPr>
              <w:t>civil társadalmi szervezetek, a</w:t>
            </w:r>
            <w:r>
              <w:t xml:space="preserve"> végső címzettek és kedvezményezettek, valamint a gazdasági szereplők számára, hogy az átláthatóság fokozása és a félretájékoztatás megelőzése érdekében nyomon kövessék a feltételrendszerrel kapcsolatos esetek teljes életciklusát az értesítéstől kezdve az intézkedések esetleges megszüntetéséig; e tekintetben felszólítja a Bizottságot, hogy tegyen közzé tájékoztatókat, amelyek tartalmazzák a feltételrendszerről szóló rendelet szerinti valamennyi jövőbeli fellépést, bemutatva a jogsértések típusát és értékelését, az uniós költségvetésre gyakorolt hatást, valamint adott esetben a javasolt intézkedések arányosságát; felkéri a Bizottságot annak biztosítására, hogy terjesszék az idevágó információkat az érintett végső címzettek és kedvezményezettek, valamint a szélesebb nyilvánosság körében;</w:t>
            </w:r>
          </w:p>
        </w:tc>
      </w:tr>
    </w:tbl>
    <w:p>
      <w:r>
        <w:rPr>
          <w:rStyle w:val="HideTWBExt"/>
        </w:rPr>
        <w:t>&lt;/Amend&gt;</w:t>
      </w:r>
    </w:p>
    <w:p>
      <w:pPr>
        <w:pStyle w:val="AmNumberTabs"/>
      </w:pPr>
      <w:r>
        <w:rPr>
          <w:rStyle w:val="HideTWBExt"/>
        </w:rPr>
        <w:t>&lt;Amend&gt;</w:t>
      </w:r>
      <w:r>
        <w:t>Módosítás</w:t>
      </w:r>
      <w:r>
        <w:tab/>
      </w:r>
      <w:r>
        <w:tab/>
      </w:r>
      <w:r>
        <w:rPr>
          <w:rStyle w:val="HideTWBExt"/>
        </w:rPr>
        <w:t>&lt;NumAm&gt;</w:t>
      </w:r>
      <w:r>
        <w:t>66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49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felszólítja a Bizottságot, hogy erősítse meg vizsgálati kapacitását egy olyan szakosodott szakértőkből álló állandó jegyzék létrehozásával, akik képesek értékelni a jogállamiság megsértésének bonyolult eseteit, ezáltal biztosítva a gyorsabb, technikailag megalapozott döntéseket, és dolgozzon ki egy olyan informatikai rendszert, amely lehetővé teszi a beérkezett jelentések mintázatainak vagy hasonlóságainak felderítését;</w:t>
            </w:r>
          </w:p>
        </w:tc>
        <w:tc>
          <w:tcPr>
            <w:tcW w:w="4876" w:type="dxa"/>
            <w:tcBorders>
              <w:top w:val="nil"/>
              <w:left w:val="nil"/>
              <w:bottom w:val="nil"/>
              <w:right w:val="nil"/>
            </w:tcBorders>
          </w:tcPr>
          <w:p>
            <w:pPr>
              <w:pStyle w:val="Normal6a"/>
            </w:pPr>
            <w:r>
              <w:t>49.</w:t>
            </w:r>
            <w:r>
              <w:tab/>
            </w:r>
            <w:r>
              <w:rPr>
                <w:b/>
                <w:i/>
              </w:rPr>
              <w:t xml:space="preserve">úgy véli, hogy a Bizottság még nem alakította ki teljes mértékben a rendelet végrehajtásához szükséges igazgatási kapacitást; hangsúlyozza, hogy az uniós intézményeknek biztosítaniuk kell, hogy a Bizottság megfelelő eszközökkel rendelkezzen annak hatékony érvényesítéséhez; </w:t>
            </w:r>
            <w:r>
              <w:rPr>
                <w:b/>
                <w:i/>
              </w:rPr>
              <w:t>ennek alapján</w:t>
            </w:r>
            <w:r>
              <w:t xml:space="preserve"> felszólítja a Bizottságot, hogy </w:t>
            </w:r>
            <w:r>
              <w:rPr>
                <w:b/>
                <w:i/>
              </w:rPr>
              <w:t>következésképpen rendeljen megfelelő emberi erőforrásokat a rendelet végrehajtásához, és hogy</w:t>
            </w:r>
            <w:r>
              <w:t xml:space="preserve"> erősítse meg vizsgálati kapacitását egy olyan szakosodott szakértőkből álló állandó jegyzék létrehozásával, akik képesek értékelni a jogállamiság megsértésének bonyolult eseteit, ezáltal biztosítva a gyorsabb, technikailag megalapozott döntéseket, és dolgozzon ki egy olyan informatikai rendszert, amely lehetővé teszi a beérkezett jelentések mintázatainak vagy hasonlóságainak felderítését;</w:t>
            </w:r>
            <w:r>
              <w:rPr>
                <w:b/>
                <w:i/>
              </w:rPr>
              <w:t xml:space="preserve"> hangsúlyozza, hogy szoros és strukturált együttműködésre van szükség a Bizottság érintett főigazgatóságai, különösen a Költségvetési Főigazgatóság és a Jogérvényesülési és Fogyasztópolitikai Főigazgatóság között a rendelet alkalmazása során a koherencia és a kiegészítő jelleg biztosítása érdekében;</w:t>
            </w:r>
          </w:p>
        </w:tc>
      </w:tr>
    </w:tbl>
    <w:p>
      <w:r>
        <w:rPr>
          <w:rStyle w:val="HideTWBExt"/>
        </w:rPr>
        <w:t>&lt;/Amend&gt;</w:t>
      </w:r>
    </w:p>
    <w:p>
      <w:pPr>
        <w:pStyle w:val="AmNumberTabs"/>
      </w:pPr>
      <w:r>
        <w:rPr>
          <w:rStyle w:val="HideTWBExt"/>
        </w:rPr>
        <w:t>&lt;Amend&gt;</w:t>
      </w:r>
      <w:r>
        <w:t>Módosítás</w:t>
      </w:r>
      <w:r>
        <w:tab/>
      </w:r>
      <w:r>
        <w:tab/>
      </w:r>
      <w:r>
        <w:rPr>
          <w:rStyle w:val="HideTWBExt"/>
        </w:rPr>
        <w:t>&lt;NumAm&gt;</w:t>
      </w:r>
      <w:r>
        <w:t>67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51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a.</w:t>
            </w:r>
            <w:r>
              <w:tab/>
            </w:r>
            <w:r>
              <w:rPr>
                <w:b/>
                <w:i/>
              </w:rPr>
              <w:t>megismétli a demokráciával, a jogállamisággal és az alapvető jogokkal foglalkozó uniós mechanizmus létrehozására irányuló javaslatát, amely a Parlament 2020. évi javaslatán alapul; hangsúlyozza, hogy ezt a mechanizmust a Parlament, a Bizottság és a Tanács közötti intézményközi megállapodásnak kell szabályoznia, amely az EUSZ 2. cikkének valamennyi aspektusára kiterjedő, az uniós értékekre vonatkozó éves ellenőrzési ciklusból áll, és amely egyenlő, objektív és méltányos módon alkalmazandó valamennyi tagállamra és az uniós tagjelölt országra, és amelyet egy független szakértőkből álló testület támogat, amely ajánlásokat készít, és összekapcsolja azokat a költségvetési és egyéb végrehajtási eszközökkel, valamint növeli a parlamenti felügyeletet; hangsúlyozza, hogy bár az EU rendelkezésére álló jogállamisági eszköztárat jelentősen kibővítették, annak hatékonysága az összes uniós intézmény által való koherens és következetes alkalmazástól függ; hangsúlyozza, hogy eközben létre kell hozni az európai jogállamisági szemesztert, egyértelmű struktúrával, rögzített mérföldkövekkel, és ahhoz valamennyi uniós intézménynek aktívan hozzá kell járulnia; hangsúlyozza, hogy bár kezdetben a jogállamiságra kell összpontosítania, az európai jogállamisági szemesztert úgy kell kialakítani, hogy lehetséges legyen fokozatos kiterjesztése az EUSZ 2. cikkében foglalt valamennyi értékre, biztosítva az uniós értékek védelmének átfogó és koherens megközelítését; hangsúlyozza, hogy ennek az éves ciklusnak szilárd, objektív mutatókon kell alapulnia, és egyértelművé kell tennie, hogy a jogállamiság megsértése soha nem lényegtelen, továbbá a megállapításoknak valós következményekkel kell járniuk, tükrözve az európai szemeszternek az államháztartás területén alkalmazott mechanizmusát;</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MELLÉKLET: NYILATKOZAT AZ ÉSZREVÉTELEKRŐL</w:t>
      </w:r>
    </w:p>
    <w:p>
      <w:pPr>
        <w:pStyle w:val="Normal12a"/>
      </w:pPr>
      <w:r>
        <w:rPr>
          <w:rStyle w:val="HideTWBExt"/>
        </w:rPr>
        <w:t>&lt;FootprintIntro&gt;</w:t>
      </w:r>
      <w:r>
        <w:rPr>
          <w:rStyle w:val="HideTWBExt"/>
        </w:rPr>
        <w:t>&lt;/FootprintIntro&gt;</w:t>
      </w:r>
    </w:p>
    <w:p>
      <w:pPr>
        <w:pStyle w:val="Normal12a"/>
      </w:pPr>
      <w:r>
        <w:t>A vélemény előadója kizárólagos felelősségi körében kijelenti, hogy véleményébe nem foglalt bele a kötelező átláthatósági nyilvántartásról szóló intézményközi megállapodás</w:t>
      </w:r>
      <w:r>
        <w:rPr>
          <w:rStyle w:val="FootnoteReference"/>
        </w:rPr>
        <w:footnoteReference w:customMarkFollows="1" w:id="2"/>
        <w:t xml:space="preserve">1</w:t>
      </w:r>
      <w:r>
        <w:t xml:space="preserve"> hatálya alá tartozó olyan érdekképviselőktől vagy harmadik országok hatóságainak – többek között ezen országok diplomáciai képviseleteinek és nagykövetségeinek – olyan képviselőitől kapott észrevételeket, akiket vagy amelyeket az eljárási szabályzat I. mellékletének 8. cikke értelmében fel kell tüntetni ebben a mellékletben.</w:t>
      </w:r>
    </w:p>
    <w:p>
      <w:pPr>
        <w:sectPr>
          <w:footnotePr>
            <w:numRestart w:val="eachSect"/>
          </w:footnotePr>
          <w:type w:val="nextPage"/>
          <w:pgSz w:w="11909" w:h="16834"/>
          <w:pgMar w:top="1134" w:right="1417" w:bottom="1417" w:left="1417" w:header="1134" w:footer="567"/>
          <w:cols w:space="720"/>
        </w:sectPr>
      </w:pPr>
    </w:p>
    <w:p>
      <w:pPr>
        <w:pStyle w:val="PageHeading"/>
      </w:pPr>
      <w:r>
        <w:t>INFORMÁCIÓ A VÉLEMÉNYNYILVÁNÍTÁSRA FELKÉRT BIZOTTSÁG ÁLTALI ELFOGADÁSRÓL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Az elfogadás dátuma</w:t>
            </w:r>
          </w:p>
        </w:tc>
        <w:tc>
          <w:tcPr>
            <w:tcW w:w="6400" w:type="dxa"/>
            <w:tcBorders>
              <w:left w:val="dotted" w:sz="4" w:space="0" w:color="auto"/>
            </w:tcBorders>
          </w:tcPr>
          <w:p>
            <w:pPr>
              <w:pStyle w:val="ProcedureTable"/>
            </w:pPr>
            <w:r>
              <w:t>5.11.2025</w:t>
            </w:r>
          </w:p>
        </w:tc>
      </w:tr>
      <w:tr>
        <w:tblPrEx>
          <w:tblW w:w="0" w:type="auto"/>
          <w:tblLayout w:type="fixed"/>
          <w:tblCellMar>
            <w:left w:w="140" w:type="dxa"/>
            <w:right w:w="140" w:type="dxa"/>
          </w:tblCellMar>
        </w:tblPrEx>
        <w:tc>
          <w:tcPr>
            <w:tcW w:w="3600" w:type="dxa"/>
          </w:tcPr>
          <w:p>
            <w:pPr>
              <w:pStyle w:val="ProcedureTableBold"/>
            </w:pPr>
            <w:r>
              <w:t>A zárószavazás eredménye</w:t>
            </w:r>
          </w:p>
        </w:tc>
        <w:tc>
          <w:tcPr>
            <w:tcW w:w="6400" w:type="dxa"/>
            <w:tcBorders>
              <w:left w:val="dotted" w:sz="4" w:space="0" w:color="auto"/>
            </w:tcBorders>
          </w:tcPr>
          <w:p>
            <w:r>
              <w:t>+</w:t>
            </w:r>
            <w:r>
              <w:tab/>
            </w:r>
            <w:r>
              <w:t>:</w:t>
            </w:r>
            <w:r>
              <w:tab/>
            </w:r>
            <w:r>
              <w:t>52</w:t>
            </w:r>
          </w:p>
          <w:p>
            <w:r>
              <w:t>-</w:t>
            </w:r>
            <w:r>
              <w:tab/>
            </w:r>
            <w:r>
              <w:t>:</w:t>
            </w:r>
            <w:r>
              <w:tab/>
            </w:r>
            <w:r>
              <w:t>21</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A zárószavazáson jelen lévő tagok</w:t>
            </w:r>
          </w:p>
        </w:tc>
        <w:tc>
          <w:tcPr>
            <w:tcW w:w="6400" w:type="dxa"/>
            <w:tcBorders>
              <w:left w:val="dotted" w:sz="4" w:space="0" w:color="auto"/>
            </w:tcBorders>
          </w:tcPr>
          <w:p>
            <w:pPr>
              <w:pStyle w:val="ProcedureTable"/>
            </w:pPr>
            <w:r>
              <w:t>Abir Al-Sahlani, Giuseppe Antoci, Jaume Asens Llodrà, Malik Azmani, Pernando Barrena Arza, Nicolas Bay, Ioan-Rareş Bogdan, Krzysztof Brejza, Saskia Bricmont, Jorge Buxadé Villalba, Jaroslav Bžoch, Mélissa Camara, Susanna Ceccardi, Caterina Chinnici, Alessandro Ciriani, Paulo Cunha, Lena Düpont, Marieke Ehlers, Estrella Galán, Raquel García Hermida-Van Der Walle, Evin Incir, Paolo Inselvini, Marina Kaljurand, Mariusz Kamiński, Assita Kanko, Fabienne Keller, Mary Khan, Moritz Körner, András László, Murielle Laurent, Fabrice Leggeri, Jeroen Lenaers, Erik Marquardt, Michael McNamara, Ana Catarina Mendes, Verena Mertens, Nadine Morano, Matjaž Nemec, Ana Miguel Pedro, Emil Radev, Ilaria Salis, Birgit Sippel, Petra Steger, Cecilia Strada, Tineke Strik, Tomas Tobé, Milan Uhrík, Tom Vandendriessche, Kristian Vigenin, Charlie Weimers, Sophie Wilmès, Alessandro Zan, Javier Zarzalejos</w:t>
            </w:r>
          </w:p>
        </w:tc>
      </w:tr>
      <w:tr>
        <w:tblPrEx>
          <w:tblW w:w="0" w:type="auto"/>
          <w:tblLayout w:type="fixed"/>
          <w:tblCellMar>
            <w:left w:w="140" w:type="dxa"/>
            <w:right w:w="140" w:type="dxa"/>
          </w:tblCellMar>
        </w:tblPrEx>
        <w:tc>
          <w:tcPr>
            <w:tcW w:w="3600" w:type="dxa"/>
          </w:tcPr>
          <w:p>
            <w:pPr>
              <w:pStyle w:val="ProcedureTableBold"/>
            </w:pPr>
            <w:r>
              <w:t>A zárószavazáson jelen lévő póttagok</w:t>
            </w:r>
          </w:p>
        </w:tc>
        <w:tc>
          <w:tcPr>
            <w:tcW w:w="6400" w:type="dxa"/>
            <w:tcBorders>
              <w:left w:val="dotted" w:sz="4" w:space="0" w:color="auto"/>
            </w:tcBorders>
          </w:tcPr>
          <w:p>
            <w:pPr>
              <w:pStyle w:val="ProcedureTable"/>
            </w:pPr>
            <w:r>
              <w:t>Anja Arndt, Konstantinos Arvanitis, David Casa, Kinga Gál, Geadis Geadi, Nikola Minchev, Dolors Montserrat, Javier Moreno Sánchez, Leoluca Orlando, Maria Walsh, Maciej Wąsik</w:t>
            </w:r>
          </w:p>
        </w:tc>
      </w:tr>
      <w:tr>
        <w:tblPrEx>
          <w:tblW w:w="0" w:type="auto"/>
          <w:tblLayout w:type="fixed"/>
          <w:tblCellMar>
            <w:left w:w="140" w:type="dxa"/>
            <w:right w:w="140" w:type="dxa"/>
          </w:tblCellMar>
        </w:tblPrEx>
        <w:tc>
          <w:tcPr>
            <w:tcW w:w="3600" w:type="dxa"/>
          </w:tcPr>
          <w:p>
            <w:pPr>
              <w:pStyle w:val="ProcedureTableBold"/>
            </w:pPr>
            <w:r>
              <w:t>A zárószavazáson jelen lévő képviselők (216. cikk, (7) bekezdés)</w:t>
            </w:r>
          </w:p>
        </w:tc>
        <w:tc>
          <w:tcPr>
            <w:tcW w:w="6400" w:type="dxa"/>
            <w:tcBorders>
              <w:left w:val="dotted" w:sz="4" w:space="0" w:color="auto"/>
            </w:tcBorders>
          </w:tcPr>
          <w:p>
            <w:pPr>
              <w:pStyle w:val="ProcedureTable"/>
            </w:pPr>
            <w:r>
              <w:t>Isabel Benjumea Benjumea, Robert Biedroń, Henrik Dahl, Elisabetta Gualmini, Martine Kemp, Stefan Köhler, Judita Laššáková, Miriam Lexmann, André Rodrigues, Marjan Šarec</w:t>
            </w:r>
          </w:p>
        </w:tc>
      </w:tr>
    </w:tbl>
    <w:p>
      <w:pPr>
        <w:sectPr>
          <w:type w:val="nextPage"/>
          <w:pgSz w:w="11909" w:h="16834"/>
          <w:pgMar w:top="1134" w:right="1417" w:bottom="1417" w:left="1417" w:header="1134" w:footer="567"/>
          <w:cols w:space="720"/>
        </w:sectPr>
      </w:pPr>
    </w:p>
    <w:p>
      <w:pPr>
        <w:pStyle w:val="PageHeading"/>
      </w:pPr>
      <w:r>
        <w:t>NÉV SZERINTI ZÁRÓSZAVAZÁS A VÉLEMÉNYNYILVÁNÍTÁSRA FELKÉRT BIZOTTSÁGBAN</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Benjumea Benjumea Isabel, Bogdan Ioan-Rares, Brejza Krzysztof, Casa David, Chinnici Caterina, Cunha Paulo, Dahl Henrik, Düpont Lena, Kemp Martine, Köhler Stefan, Lenaers Jeroen, Mertens Verena, Montserrat Dolors, Morano Nadine, Pedro Ana Miguel, Radev Emil, Tobé Tomas, Walsh Maria, Zarzalejos Javier</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Al-Sahlani Abir, Azmani Malik, García Hermida-Van Der Walle Raquel, Keller Fabienne, Körner Moritz, McNamara Michael, Minchev Nikola, Sarec Marjan, Wilmès Sophie</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Biedron Robert, Gualmini Elisabetta, Incir Evin, Kaljurand Marina, Laurent Murielle, Mendes Ana Catarina, Moreno Sánchez Javier, Nemec Matjaz, Rodrigues André, Sippel Birgit, Strada Cecilia, Vigenin Kristian, Zan Alessandro</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Antoci Giuseppe, Arvanitis Konstantinos, Barrena Arza Pernando, Galán Estrella, Salis Ilaria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Asens Llodrà Jaume, Bricmont Saskia, Camara Mélissa, Marquardt Erik, Orlando Leoluca, Strik Tineke</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Bay Nicolas, Ciriani Alessandro, Geadi Geadis, Inselvini Paolo, Kaminski Mariusz, Kanko Assita, Wasik Maciej, Weimers Charlie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Arndt Anja, Khan Mary, Uhrík Milan</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Buxadé Villalba Jorge, Bzoch Jaroslav, Ceccardi Susanna, Ehlers Marieke, Gál Kinga, László András, Leggeri Fabrice, Steger Petra, Vandendriessche Tom</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Lexmann Miriam</w:t>
            </w:r>
          </w:p>
        </w:tc>
      </w:tr>
    </w:tbl>
    <w:p/>
    <w:p>
      <w:r>
        <w:t>Jelmagyarázat:</w:t>
      </w:r>
    </w:p>
    <w:p>
      <w:pPr>
        <w:pStyle w:val="NormalTab"/>
      </w:pPr>
      <w:r>
        <w:t>+</w:t>
      </w:r>
      <w:r>
        <w:t xml:space="preserve">  :  </w:t>
      </w:r>
      <w:r>
        <w:t>mellette</w:t>
      </w:r>
    </w:p>
    <w:p>
      <w:pPr>
        <w:pStyle w:val="NormalTab"/>
      </w:pPr>
      <w:r>
        <w:t>-</w:t>
      </w:r>
      <w:r>
        <w:t xml:space="preserve">  :  </w:t>
      </w:r>
      <w:r>
        <w:t>ellene</w:t>
      </w:r>
    </w:p>
    <w:p>
      <w:pPr>
        <w:pStyle w:val="NormalTab"/>
      </w:pPr>
      <w:r>
        <w:t>0</w:t>
      </w:r>
      <w:r>
        <w:t xml:space="preserve">  :  </w:t>
      </w:r>
      <w:r>
        <w:t>tartózkodás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776.885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45</w:t>
    </w:r>
    <w:r>
      <w:fldChar w:fldCharType="end"/>
    </w:r>
    <w:r>
      <w:tab/>
    </w:r>
    <w:r>
      <w:rPr>
        <w:rStyle w:val="HideTWBExt"/>
      </w:rPr>
      <w:t>&lt;PathFdR&gt;</w:t>
    </w:r>
    <w:r>
      <w:t>AD\1330371HU.docx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AD\1330371HU.docx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45</w:t>
    </w:r>
    <w:r>
      <w:fldChar w:fldCharType="end"/>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AD\1330371HU.docx</w:t>
    </w:r>
    <w:r>
      <w:rPr>
        <w:rStyle w:val="HideTWBExt"/>
      </w:rPr>
      <w:t>&lt;/PathFdR&gt;</w:t>
    </w:r>
    <w:r>
      <w:tab/>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HU</w:t>
    </w:r>
    <w:r>
      <w:tab/>
    </w:r>
    <w:r>
      <w:rPr>
        <w:rStyle w:val="EPFooter2Motto"/>
      </w:rPr>
      <w:t>Egyesülve a sokféleségben</w:t>
    </w:r>
    <w:r>
      <w:tab/>
    </w:r>
    <w:r>
      <w:t>HU</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Intézményközi megállapodás (2021. május 20.) az Európai Parlament, az Európai Unió Tanácsa és az Európai Bizottság között a kötelező átláthatósági nyilvántartásról (HL L 207., 2021.6.11., 1. o.,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12b">
    <w:name w:val="NormalBold12b"/>
    <w:basedOn w:val="Normal"/>
    <w:pPr>
      <w:widowControl/>
      <w:spacing w:before="240"/>
    </w:pPr>
    <w:rPr>
      <w:b/>
    </w:rPr>
  </w:style>
  <w:style w:type="paragraph" w:customStyle="1" w:styleId="Normal6a">
    <w:name w:val="Normal6a"/>
    <w:basedOn w:val="Normal"/>
    <w:pPr>
      <w:widowControl/>
      <w:spacing w:after="120"/>
    </w:p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45</Pages>
  <Words>10062</Words>
  <Characters>73677</Characters>
  <Application>Microsoft Office Word</Application>
  <DocSecurity>0</DocSecurity>
  <Lines>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1330371</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364916</vt:lpwstr>
  </property>
  <property fmtid="{D5CDD505-2E9C-101B-9397-08002B2CF9AE}" pid="7" name="dmxml.render.traceId">
    <vt:lpwstr>6984a96b8aa3a766fdd99cf9f6b0910b</vt:lpwstr>
  </property>
  <property fmtid="{D5CDD505-2E9C-101B-9397-08002B2CF9AE}" pid="8" name="FooterPath">
    <vt:lpwstr>AD\1330371HU.doc</vt:lpwstr>
  </property>
  <property fmtid="{D5CDD505-2E9C-101B-9397-08002B2CF9AE}" pid="9" name="PE Number">
    <vt:lpwstr>776.885</vt:lpwstr>
  </property>
  <property fmtid="{D5CDD505-2E9C-101B-9397-08002B2CF9AE}" pid="10" name="UID">
    <vt:lpwstr>eu.europa.europarl-DIN1-2025-0000199133_01.07-hu-02.00_text-xml</vt:lpwstr>
  </property>
</Properties>
</file>