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Kumitat għal-Libertajiet Ċivili, il-Ġustizzja u l-Intern</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06.11.2025</w:t>
      </w:r>
      <w:r>
        <w:rPr>
          <w:rStyle w:val="HideTWBExt"/>
        </w:rPr>
        <w:t>&lt;/Date&gt;</w:t>
      </w:r>
    </w:p>
    <w:p>
      <w:pPr>
        <w:pStyle w:val="CoverDocType24a"/>
      </w:pPr>
      <w:r>
        <w:rPr>
          <w:rStyle w:val="HideTWBExt"/>
        </w:rPr>
        <w:t>&lt;TitreType&gt;</w:t>
      </w:r>
      <w:r>
        <w:t>OPINJONI</w:t>
      </w:r>
      <w:r>
        <w:rPr>
          <w:rStyle w:val="HideTWBExt"/>
        </w:rPr>
        <w:t>&lt;/TitreType&gt;</w:t>
      </w:r>
    </w:p>
    <w:p>
      <w:pPr>
        <w:pStyle w:val="CoverNormal24a"/>
      </w:pPr>
      <w:r>
        <w:rPr>
          <w:rStyle w:val="HideTWBExt"/>
        </w:rPr>
        <w:t>&lt;CommissionResp&gt;</w:t>
      </w:r>
      <w:r>
        <w:t>tal-Kumitat għal-Libertajiet Ċivili, il-Ġustizzja u l-Intern</w:t>
      </w:r>
      <w:r>
        <w:rPr>
          <w:rStyle w:val="HideTWBExt"/>
        </w:rPr>
        <w:t>&lt;/CommissionResp&gt;</w:t>
      </w:r>
    </w:p>
    <w:p>
      <w:pPr>
        <w:pStyle w:val="CoverNormal24a"/>
      </w:pPr>
      <w:r>
        <w:rPr>
          <w:rStyle w:val="HideTWBExt"/>
        </w:rPr>
        <w:t>&lt;CommissionInt&gt;</w:t>
      </w:r>
      <w:r>
        <w:t>għall-Kumitat għall-Baġits u l-Kumitat għall-Kontroll tal-Baġit</w:t>
      </w:r>
      <w:r>
        <w:rPr>
          <w:rStyle w:val="HideTWBExt"/>
        </w:rPr>
        <w:t>&lt;/CommissionInt&gt;</w:t>
      </w:r>
    </w:p>
    <w:p>
      <w:pPr>
        <w:pStyle w:val="CoverNormal"/>
      </w:pPr>
      <w:r>
        <w:rPr>
          <w:rStyle w:val="HideTWBExt"/>
        </w:rPr>
        <w:t>&lt;Titre&gt;</w:t>
      </w:r>
      <w:r>
        <w:t>dwar l-implimentazzjoni tar-reġim ta’ kundizzjonalità tal-istat tad-dritt</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Rapporteur għal opinjoni</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EMENDI</w:t>
      </w:r>
    </w:p>
    <w:p>
      <w:pPr>
        <w:pStyle w:val="Normal12a"/>
      </w:pPr>
      <w:r>
        <w:t>Il-Kumitat għal-Libertajiet Ċivili, il-Ġustizzja u l-Intern</w:t>
      </w:r>
      <w:r>
        <w:t xml:space="preserve"> </w:t>
      </w:r>
      <w:r>
        <w:t>għandu jippreżenta dan li ġej lill-Kumitat għall-Baġits u lill-Kumitat għall-Kontroll tal-Baġit, bħala l-kumitati responsabbli</w:t>
      </w:r>
      <w:r>
        <w:t>:</w:t>
      </w:r>
    </w:p>
    <w:p>
      <w:pPr>
        <w:pStyle w:val="AmNumberTabs"/>
      </w:pPr>
      <w:r>
        <w:rPr>
          <w:rStyle w:val="HideTWBExt"/>
        </w:rPr>
        <w:t>&lt;RepeatBlock-Amend&gt;</w:t>
      </w:r>
      <w:r>
        <w:rPr>
          <w:rStyle w:val="HideTWBExt"/>
        </w:rPr>
        <w:t>&lt;Amend&gt;</w:t>
      </w:r>
      <w:r>
        <w:t>Emenda</w:t>
      </w:r>
      <w:r>
        <w:tab/>
      </w:r>
      <w:r>
        <w:tab/>
      </w:r>
      <w:r>
        <w:rPr>
          <w:rStyle w:val="HideTWBExt"/>
        </w:rPr>
        <w:t>&lt;NumAm&gt;</w:t>
      </w:r>
      <w:r>
        <w:t>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10a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l-proposta tal-Kummissjoni tas-16 ta’ Lulju 2025 għal regolament tal-Parlament Ewropew u tal-Kunsill li jistabbilixxi Fond Ewropew għal koeżjoni ekonomika, soċjali u territorjali kif ukoll għall-agrikoltura u l-qasam rurali, għas-sajd u l-affarijiet marittimi, għall-prosperità u għas-sigurtà għall-perjodu 2028-2034 u li jemenda r-Regolament (UE) 2023/955 u r-Regolament (UE, Euratom) 2024/2509 (COM(2025)0565) (abbozz ta’ regolament dwar il-Fond għas-Sħubijiet Nazzjonali u Reġjonali (FNSR)),</w:t>
            </w:r>
          </w:p>
        </w:tc>
      </w:tr>
    </w:tbl>
    <w:p>
      <w:r>
        <w:rPr>
          <w:rStyle w:val="HideTWBExt"/>
        </w:rPr>
        <w:t>&lt;/Amend&gt;</w:t>
      </w:r>
    </w:p>
    <w:p>
      <w:pPr>
        <w:pStyle w:val="AmNumberTabs"/>
      </w:pPr>
      <w:r>
        <w:rPr>
          <w:rStyle w:val="HideTWBExt"/>
        </w:rPr>
        <w:t>&lt;Amend&gt;</w:t>
      </w:r>
      <w:r>
        <w:t>Emenda</w:t>
      </w:r>
      <w:r>
        <w:tab/>
      </w:r>
      <w:r>
        <w:tab/>
      </w:r>
      <w:r>
        <w:rPr>
          <w:rStyle w:val="HideTWBExt"/>
        </w:rPr>
        <w:t>&lt;NumAm&gt;</w:t>
      </w:r>
      <w:r>
        <w:t>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12a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tal-24 ta’ April 2024 dwar is-seduti ta’ smigħ li għaddejjin skont l-Artikolu 7(1) tat-TUE rigward l-Ungerija biex jissaħħaħ l-istat tad-dritt u l-implikazzjonijiet baġitarji tiegħu</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C, C/2025/3705, 17.9.2025, ELI: </w:t>
            </w:r>
            <w:r>
              <w:rPr>
                <w:b/>
                <w:i/>
              </w:rPr>
              <w:t>http://data.europa.eu/eli/C/2025/3705/oj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12b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tat-18 ta’ Jannar 2024 dwar is-sitwazzjoni fl-Ungerija u l-fondi ffriżati tal-UE</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14a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tal-15 ta’ Settembru 2022 dwar il-proposta għal deċiżjoni tal-Kunsill li tiddetermina, skont l-Artikolu 7(1) tat-Trattat dwar l-Unjoni Ewropea, l-eżistenza ta’ riskju ċar ta’ ksur serju mill-Ungerija tal-valuri li fuqhom hija bbażata l-Unjoni</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125, 5.4.2023, p. 463.</w:t>
            </w:r>
          </w:p>
        </w:tc>
      </w:tr>
    </w:tbl>
    <w:p>
      <w:r>
        <w:rPr>
          <w:rStyle w:val="HideTWBExt"/>
        </w:rPr>
        <w:t>&lt;/Amend&gt;</w:t>
      </w:r>
    </w:p>
    <w:p>
      <w:pPr>
        <w:pStyle w:val="AmNumberTabs"/>
      </w:pPr>
      <w:r>
        <w:rPr>
          <w:rStyle w:val="HideTWBExt"/>
        </w:rPr>
        <w:t>&lt;Amend&gt;</w:t>
      </w:r>
      <w:r>
        <w:t>Emenda</w:t>
      </w:r>
      <w:r>
        <w:tab/>
      </w:r>
      <w:r>
        <w:tab/>
      </w:r>
      <w:r>
        <w:rPr>
          <w:rStyle w:val="HideTWBExt"/>
        </w:rPr>
        <w:t>&lt;NumAm&gt;</w:t>
      </w:r>
      <w:r>
        <w:t>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14b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tal-10 ta’ Marzu 2022 dwar l-istat tad-dritt u l-konsegwenzi tad-deċiżjoni tal-Qorti tal-Ġustizzja tal-Unjoni Ewropea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347, 9.9.2022, p. 168.</w:t>
            </w:r>
          </w:p>
        </w:tc>
      </w:tr>
    </w:tbl>
    <w:p>
      <w:r>
        <w:rPr>
          <w:rStyle w:val="HideTWBExt"/>
        </w:rPr>
        <w:t>&lt;/Amend&gt;</w:t>
      </w:r>
    </w:p>
    <w:p>
      <w:pPr>
        <w:pStyle w:val="AmNumberTabs"/>
      </w:pPr>
      <w:r>
        <w:rPr>
          <w:rStyle w:val="HideTWBExt"/>
        </w:rPr>
        <w:t>&lt;Amend&gt;</w:t>
      </w:r>
      <w:r>
        <w:t>Emenda</w:t>
      </w:r>
      <w:r>
        <w:tab/>
      </w:r>
      <w:r>
        <w:tab/>
      </w:r>
      <w:r>
        <w:rPr>
          <w:rStyle w:val="HideTWBExt"/>
        </w:rPr>
        <w:t>&lt;NumAm&gt;</w:t>
      </w:r>
      <w:r>
        <w:t>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tas-7 ta’ Ottubru 2020 dwar l-istabbiliment ta’ Mekkaniżmu tal-UE dwar id-Demokrazija, l-Istat tad-Dritt u d-Drittijiet Fundamentali</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395, 29.9.2021, p. 2.</w:t>
            </w:r>
          </w:p>
        </w:tc>
      </w:tr>
    </w:tbl>
    <w:p>
      <w:r>
        <w:rPr>
          <w:rStyle w:val="HideTWBExt"/>
        </w:rPr>
        <w:t>&lt;/Amend&gt;</w:t>
      </w:r>
    </w:p>
    <w:p>
      <w:pPr>
        <w:pStyle w:val="AmNumberTabs"/>
      </w:pPr>
      <w:r>
        <w:rPr>
          <w:rStyle w:val="HideTWBExt"/>
        </w:rPr>
        <w:t>&lt;Amend&gt;</w:t>
      </w:r>
      <w:r>
        <w:t>Emenda</w:t>
      </w:r>
      <w:r>
        <w:tab/>
      </w:r>
      <w:r>
        <w:tab/>
      </w:r>
      <w:r>
        <w:rPr>
          <w:rStyle w:val="HideTWBExt"/>
        </w:rPr>
        <w:t>&lt;NumAm&gt;</w:t>
      </w:r>
      <w:r>
        <w:t>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15b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tat-12 ta’ Settembru 2018 dwar proposta li titlob lill-Kunsill jiddetermina, skont l-Artikolu 7(1) tat-Trattat dwar l-Unjoni Ewropea, l-eżistenza ta’ riskju ċar ta’ ksur serju mill-Ungerija tal-valuri li fuqhom hija bbażata l-Unjoni</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433, 23.12.2019, p. 66.</w:t>
            </w:r>
          </w:p>
        </w:tc>
      </w:tr>
    </w:tbl>
    <w:p>
      <w:r>
        <w:rPr>
          <w:rStyle w:val="HideTWBExt"/>
        </w:rPr>
        <w:t>&lt;/Amend&gt;</w:t>
      </w:r>
    </w:p>
    <w:p>
      <w:pPr>
        <w:pStyle w:val="AmNumberTabs"/>
      </w:pPr>
      <w:r>
        <w:rPr>
          <w:rStyle w:val="HideTWBExt"/>
        </w:rPr>
        <w:t>&lt;Amend&gt;</w:t>
      </w:r>
      <w:r>
        <w:t>Emenda</w:t>
      </w:r>
      <w:r>
        <w:tab/>
      </w:r>
      <w:r>
        <w:tab/>
      </w:r>
      <w:r>
        <w:rPr>
          <w:rStyle w:val="HideTWBExt"/>
        </w:rPr>
        <w:t>&lt;NumAm&gt;</w:t>
      </w:r>
      <w:r>
        <w:t>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17a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tal-5 ta’ Mejju 2022 dwar is-seduti ta’ smigħ li għaddejjin bħalissa skont l-Artikolu 7(1) tat-TUE fir-rigward tal-Polonja u l-Ungerija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465, 6.12.2022, p. 147.</w:t>
            </w:r>
          </w:p>
        </w:tc>
      </w:tr>
    </w:tbl>
    <w:p>
      <w:r>
        <w:rPr>
          <w:rStyle w:val="HideTWBExt"/>
        </w:rPr>
        <w:t>&lt;/Amend&gt;</w:t>
      </w:r>
    </w:p>
    <w:p>
      <w:pPr>
        <w:pStyle w:val="AmNumberTabs"/>
      </w:pPr>
      <w:r>
        <w:rPr>
          <w:rStyle w:val="HideTWBExt"/>
        </w:rPr>
        <w:t>&lt;Amend&gt;</w:t>
      </w:r>
      <w:r>
        <w:t>Emenda</w:t>
      </w:r>
      <w:r>
        <w:tab/>
      </w:r>
      <w:r>
        <w:tab/>
      </w:r>
      <w:r>
        <w:rPr>
          <w:rStyle w:val="HideTWBExt"/>
        </w:rPr>
        <w:t>&lt;NumAm&gt;</w:t>
      </w:r>
      <w:r>
        <w:t>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17b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tal-1 ta’ Ġunju 2023 dwar il-ksur tal-Istat tad-Dritt u tad-drittijiet fundamentali fl-Ungerija u l-fondi tal-UE ffriżati tal-UE</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C, C/2023/1223, 21.12.2023, ELI: </w:t>
            </w:r>
            <w:r>
              <w:rPr>
                <w:b/>
                <w:i/>
              </w:rPr>
              <w:t>http://data.europa.eu/eli/C/2023/1223/oj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10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l-azzjoni mressqa mill-Parlament kontra l-Kummissjoni fil-25 ta’ Marzu 2024 fil-Kawża C-225/24 li titlob lill-Qorti tal-Ġustizzja tal-Unjoni Ewropea (QĠUE) tannulla d-Deċiżjoni ta’ Implimentazzjoni tal-Kummissjoni C(2023)9014 annwali tat-13 ta’ Diċembru 2023</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11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wara li kkunsidra l-osservazzjonijiet tal-missjonijiet ta’ tiftix tal-fatti tal-Kumitat għall-Kontroll tal-Baġit tiegħu fl-Ungerija mill-15 sas-17 ta’ Mejju 2023 u fis-Slovakkja mis-26 sat-28 ta’ Mejju 2025,</w:t>
            </w:r>
          </w:p>
        </w:tc>
        <w:tc>
          <w:tcPr>
            <w:tcW w:w="4876" w:type="dxa"/>
            <w:tcBorders>
              <w:top w:val="nil"/>
              <w:left w:val="nil"/>
              <w:bottom w:val="nil"/>
              <w:right w:val="nil"/>
            </w:tcBorders>
          </w:tcPr>
          <w:p>
            <w:pPr>
              <w:pStyle w:val="Normal6a"/>
            </w:pPr>
            <w:r>
              <w:t>–</w:t>
            </w:r>
            <w:r>
              <w:tab/>
            </w:r>
            <w:r>
              <w:t xml:space="preserve">wara li kkunsidra l-osservazzjonijiet tal-missjonijiet ta’ tiftix tal-fatti tal-Kumitat għall-Kontroll tal-Baġit tiegħu fl-Ungerija mill-15 sas-17 ta’ Mejju 2023 u fis-Slovakkja mis-26 sat-28 ta’ Mejju 2025 </w:t>
            </w:r>
            <w:r>
              <w:rPr>
                <w:b/>
                <w:i/>
              </w:rPr>
              <w:t>u tal-missjoni ta’ tiftix tal-fatti tal-Kumitat għal-Liberatjiet Ċivili</w:t>
            </w:r>
            <w:r>
              <w:t xml:space="preserve">, </w:t>
            </w:r>
            <w:r>
              <w:rPr>
                <w:b/>
                <w:i/>
              </w:rPr>
              <w:t>il-Ġustizzja u l-Intern fl-Ungerija mill-14 sas-16 ta’ April 2025 u tal-missjoni ta’ tiftix tal-fatti tal-Grupp ta’ Monitoraġġ dwar id-Demokrazija, l-Istat tad-Dritt u d-Drittijiet Fundamentali (DRFMG) fis-Slovakkja mit-2 sat-3 ta’ Ġunju 2025;</w:t>
            </w:r>
          </w:p>
        </w:tc>
      </w:tr>
    </w:tbl>
    <w:p>
      <w:r>
        <w:rPr>
          <w:rStyle w:val="HideTWBExt"/>
        </w:rPr>
        <w:t>&lt;/Amend&gt;</w:t>
      </w:r>
    </w:p>
    <w:p>
      <w:pPr>
        <w:pStyle w:val="AmNumberTabs"/>
      </w:pPr>
      <w:r>
        <w:rPr>
          <w:rStyle w:val="HideTWBExt"/>
        </w:rPr>
        <w:t>&lt;Amend&gt;</w:t>
      </w:r>
      <w:r>
        <w:t>Emenda</w:t>
      </w:r>
      <w:r>
        <w:tab/>
      </w:r>
      <w:r>
        <w:tab/>
      </w:r>
      <w:r>
        <w:rPr>
          <w:rStyle w:val="HideTWBExt"/>
        </w:rPr>
        <w:t>&lt;NumAm&gt;</w:t>
      </w:r>
      <w:r>
        <w:t>12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29a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l-istudju mitlub mill-Kumitat tiegħu għal-Libertajiet Ċivili, il-Ġustizzja u l-Intern intitolat “Enforcement of EU law in the Area of Freedom, Security and Justice” (L-infurzar tad-dritt tal-Unjoni fl-Ispazju ta’ Libertà, Sigurtà u Ġustizzja)</w:t>
            </w:r>
            <w:r>
              <w:rPr>
                <w:vertAlign w:val="superscript"/>
              </w:rPr>
              <w:t>1a</w:t>
            </w:r>
            <w:r>
              <w:rPr>
                <w:b/>
                <w:i/>
              </w:rPr>
              <w:t>, ippubblikat f’Jannar 2024 mid-Direttorat Ġenerali tiegħu għall-Politiki Interni,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Studju – “Enforcement of EU law in the Area of Freedom, Security and Justice” (L-infurzar tad-dritt tal-Unjoni fl-Ispazju ta’ Libertà, Sigurtà u Ġustizzja), Parlament Ewropew, Direttorat Ġenerali għall-Politiki Interni, Dipartiment Tematiku għad-Drittijiet taċ-Ċittadini u l-Affarijiet Kostituzzjonali, Jannar 2024.</w:t>
            </w:r>
          </w:p>
        </w:tc>
      </w:tr>
    </w:tbl>
    <w:p>
      <w:r>
        <w:rPr>
          <w:rStyle w:val="HideTWBExt"/>
        </w:rPr>
        <w:t>&lt;/Amend&gt;</w:t>
      </w:r>
    </w:p>
    <w:p>
      <w:pPr>
        <w:pStyle w:val="AmNumberTabs"/>
      </w:pPr>
      <w:r>
        <w:rPr>
          <w:rStyle w:val="HideTWBExt"/>
        </w:rPr>
        <w:t>&lt;Amend&gt;</w:t>
      </w:r>
      <w:r>
        <w:t>Emenda</w:t>
      </w:r>
      <w:r>
        <w:tab/>
      </w:r>
      <w:r>
        <w:tab/>
      </w:r>
      <w:r>
        <w:rPr>
          <w:rStyle w:val="HideTWBExt"/>
        </w:rPr>
        <w:t>&lt;NumAm&gt;</w:t>
      </w:r>
      <w:r>
        <w:t>13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billi l-Unjoni hija msejsa fuq il-valuri tar-rispett għad-dinjità tal-bniedem, il-libertà, id-demokrazija, l-ugwaljanza, l-istat tad-dritt u r-rispett għad-drittijiet tal-bniedem, inklużi d-drittijiet ta’ persuni li jagħmlu parti minn minoranzi, kif stipulat fl-Artikolu 2 tat-TUE; billi dawn il-valuri huma </w:t>
            </w:r>
            <w:r>
              <w:rPr>
                <w:b/>
                <w:i/>
              </w:rPr>
              <w:t>riflessi fid-drittijiet fundamentali spjegati fil-Karta, bħall-ugwaljanza bejn in-nisa</w:t>
            </w:r>
            <w:r>
              <w:t xml:space="preserve"> u </w:t>
            </w:r>
            <w:r>
              <w:rPr>
                <w:b/>
                <w:i/>
              </w:rPr>
              <w:t>l-irġiel, in-nondiskriminazzjoni,</w:t>
            </w:r>
            <w:r>
              <w:t xml:space="preserve"> u </w:t>
            </w:r>
            <w:r>
              <w:rPr>
                <w:b/>
                <w:i/>
              </w:rPr>
              <w:t>d-dritt ta’ negozjar u ta’ azzjoni kollettivi</w:t>
            </w:r>
            <w:r>
              <w:t xml:space="preserve">, </w:t>
            </w:r>
            <w:r>
              <w:rPr>
                <w:b/>
                <w:i/>
              </w:rPr>
              <w:t>f’konformità mad-dritt tal-Unjoni</w:t>
            </w:r>
            <w:r>
              <w:t xml:space="preserve"> u </w:t>
            </w:r>
            <w:r>
              <w:rPr>
                <w:b/>
                <w:i/>
              </w:rPr>
              <w:t>mal-liġijiet u l-prattiki nazzjonali, u inkorporati fit-trattati internazzjonali dwar id-drittijiet tal-bniedem;</w:t>
            </w:r>
            <w:r>
              <w:t xml:space="preserve"> </w:t>
            </w:r>
            <w:r>
              <w:rPr>
                <w:b/>
                <w:i/>
              </w:rPr>
              <w:t>billi l-aderenza ma’ dawn il-valuri kondiviżi tikkostitwixxi l-pedament tad-drittijiet li jgawdu dawk</w:t>
            </w:r>
            <w:r>
              <w:t xml:space="preserve"> li jgħixu fl-UE;</w:t>
            </w:r>
          </w:p>
        </w:tc>
        <w:tc>
          <w:tcPr>
            <w:tcW w:w="4876" w:type="dxa"/>
            <w:tcBorders>
              <w:top w:val="nil"/>
              <w:left w:val="nil"/>
              <w:bottom w:val="nil"/>
              <w:right w:val="nil"/>
            </w:tcBorders>
          </w:tcPr>
          <w:p>
            <w:pPr>
              <w:pStyle w:val="Normal6a"/>
            </w:pPr>
            <w:r>
              <w:t>A.</w:t>
            </w:r>
            <w:r>
              <w:tab/>
            </w:r>
            <w:r>
              <w:t xml:space="preserve">billi l-Unjoni hija msejsa fuq il-valuri tar-rispett għad-dinjità tal-bniedem, il-libertà, id-demokrazija, l-ugwaljanza, l-istat tad-dritt u r-rispett għad-drittijiet tal-bniedem, inklużi d-drittijiet ta’ persuni li jagħmlu parti minn minoranzi, kif stipulat fl-Artikolu 2 tat-TUE; billi dawn il-valuri huma </w:t>
            </w:r>
            <w:r>
              <w:rPr>
                <w:b/>
                <w:i/>
              </w:rPr>
              <w:t>komuni għall-Istati Membri</w:t>
            </w:r>
            <w:r>
              <w:t xml:space="preserve"> u </w:t>
            </w:r>
            <w:r>
              <w:rPr>
                <w:b/>
                <w:i/>
              </w:rPr>
              <w:t>huma riflessi</w:t>
            </w:r>
            <w:r>
              <w:t xml:space="preserve"> u </w:t>
            </w:r>
            <w:r>
              <w:rPr>
                <w:b/>
                <w:i/>
              </w:rPr>
              <w:t>inkorporati fit-trattati internazzjonali dwar id-drittijiet tal-bniedem;</w:t>
            </w:r>
            <w:r>
              <w:t xml:space="preserve"> </w:t>
            </w:r>
            <w:r>
              <w:rPr>
                <w:b/>
                <w:i/>
              </w:rPr>
              <w:t>billi d-demokrazija</w:t>
            </w:r>
            <w:r>
              <w:t xml:space="preserve">, </w:t>
            </w:r>
            <w:r>
              <w:rPr>
                <w:b/>
                <w:i/>
              </w:rPr>
              <w:t>l-istat tad-dritt</w:t>
            </w:r>
            <w:r>
              <w:t xml:space="preserve"> u </w:t>
            </w:r>
            <w:r>
              <w:rPr>
                <w:b/>
                <w:i/>
              </w:rPr>
              <w:t>d-drittijiet fundamentali huma valuri li jsaħħu lil xulxin, li, meta jiġu mminati, joħolqu theddida sistemika għad-drittijiet u l-libertajiet tan-nies</w:t>
            </w:r>
            <w:r>
              <w:t xml:space="preserve"> li jgħixu fl-UE;</w:t>
            </w:r>
          </w:p>
        </w:tc>
      </w:tr>
    </w:tbl>
    <w:p>
      <w:r>
        <w:rPr>
          <w:rStyle w:val="HideTWBExt"/>
        </w:rPr>
        <w:t>&lt;/Amend&gt;</w:t>
      </w:r>
    </w:p>
    <w:p>
      <w:pPr>
        <w:pStyle w:val="AmNumberTabs"/>
      </w:pPr>
      <w:r>
        <w:rPr>
          <w:rStyle w:val="HideTWBExt"/>
        </w:rPr>
        <w:t>&lt;Amend&gt;</w:t>
      </w:r>
      <w:r>
        <w:t>Emenda</w:t>
      </w:r>
      <w:r>
        <w:tab/>
      </w:r>
      <w:r>
        <w:tab/>
      </w:r>
      <w:r>
        <w:rPr>
          <w:rStyle w:val="HideTWBExt"/>
        </w:rPr>
        <w:t>&lt;NumAm&gt;</w:t>
      </w:r>
      <w:r>
        <w:t>14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billi r-Regolament dwar il-Kundizzjonalità jagħti s-setgħa </w:t>
            </w:r>
            <w:r>
              <w:rPr>
                <w:b/>
                <w:i/>
              </w:rPr>
              <w:t>lill-UE</w:t>
            </w:r>
            <w:r>
              <w:t xml:space="preserve"> li </w:t>
            </w:r>
            <w:r>
              <w:rPr>
                <w:b/>
                <w:i/>
              </w:rPr>
              <w:t>tadotta</w:t>
            </w:r>
            <w:r>
              <w:t xml:space="preserve"> miżuri finanzjarji proporzjonati biex </w:t>
            </w:r>
            <w:r>
              <w:rPr>
                <w:b/>
                <w:i/>
              </w:rPr>
              <w:t>tissalvagwardja l-interessi finanzjarji tagħha fejn il-ksur</w:t>
            </w:r>
            <w:r>
              <w:t xml:space="preserve"> tal-istat tad-dritt fi Stat Membru jaffettwa, jew jirriskja li jaffettwa serjament, il-ġestjoni finanzjarja tajba tal-baġit tal-UE; billi dan ġie adottat bħala parti mill-pakkett dwar il-qafas finanzjarju pluriennali (QFP) tal-2021-2027, wara negozjati twal u diffiċli bejn il-koleġiżlaturi, b’mod partikolari minħabba tentattivi minn xi Stati Membri biex jorbtu n-negozjati dwar il-QFP man-negozjati dwar il-mekkaniżmu tal-kundizzjonalità tal-istat tad-dritt; billi dan ilu vinkolanti għall-Istati Membri kollha mid-dħul fis-seħħ tiegħu fl-1 ta’ Jannar 2021;</w:t>
            </w:r>
          </w:p>
        </w:tc>
        <w:tc>
          <w:tcPr>
            <w:tcW w:w="4876" w:type="dxa"/>
            <w:tcBorders>
              <w:top w:val="nil"/>
              <w:left w:val="nil"/>
              <w:bottom w:val="nil"/>
              <w:right w:val="nil"/>
            </w:tcBorders>
          </w:tcPr>
          <w:p>
            <w:pPr>
              <w:pStyle w:val="Normal6a"/>
            </w:pPr>
            <w:r>
              <w:t>D.</w:t>
            </w:r>
            <w:r>
              <w:tab/>
            </w:r>
            <w:r>
              <w:t xml:space="preserve">billi r-Regolament dwar il-Kundizzjonalità jagħti s-setgħa </w:t>
            </w:r>
            <w:r>
              <w:rPr>
                <w:b/>
                <w:i/>
              </w:rPr>
              <w:t>lill-Kunsill li jadotta, abbażi ta’ proposta tal-Kummissjoni u filwaqt</w:t>
            </w:r>
            <w:r>
              <w:t xml:space="preserve"> li </w:t>
            </w:r>
            <w:r>
              <w:rPr>
                <w:b/>
                <w:i/>
              </w:rPr>
              <w:t>jinforma lill-Parlament,</w:t>
            </w:r>
            <w:r>
              <w:t xml:space="preserve"> miżuri finanzjarji proporzjonati biex </w:t>
            </w:r>
            <w:r>
              <w:rPr>
                <w:b/>
                <w:i/>
              </w:rPr>
              <w:t>jipproteġi l-baġit tal-UE kontra l-ksur tal-prinċipji</w:t>
            </w:r>
            <w:r>
              <w:t xml:space="preserve"> tal-istat tad-dritt fi Stat Membru jaffettwa, jew jirriskja li jaffettwa serjament, il-ġestjoni finanzjarja tajba tal-baġit tal-UE </w:t>
            </w:r>
            <w:r>
              <w:rPr>
                <w:b/>
                <w:i/>
              </w:rPr>
              <w:t>jew l-interessi finanzjari tal-UE</w:t>
            </w:r>
            <w:r>
              <w:t>; billi dan ġie adottat bħala parti mill-pakkett dwar il-qafas finanzjarju pluriennali (QFP) tal-2021-2027, wara negozjati twal u diffiċli bejn il-koleġiżlaturi, b’mod partikolari minħabba tentattivi minn xi Stati Membri biex jorbtu n-negozjati dwar il-QFP man-negozjati dwar il-mekkaniżmu tal-kundizzjonalità tal-istat tad-dritt; billi dan ilu vinkolanti għall-Istati Membri kollha mid-dħul fis-seħħ tiegħu fl-1 ta’ Jannar 2021;</w:t>
            </w:r>
            <w:r>
              <w:rPr>
                <w:b/>
                <w:i/>
              </w:rPr>
              <w:t xml:space="preserve"> billi l-QFP 2028-2024 għandu jiżgura li kwalunkwe mekkaniżmu ġdid jiġi mfassal b’tali mod li jkun konsistenti mal-kundizzjonalità tal-istat tad-dritt;</w:t>
            </w:r>
          </w:p>
        </w:tc>
      </w:tr>
    </w:tbl>
    <w:p>
      <w:r>
        <w:rPr>
          <w:rStyle w:val="HideTWBExt"/>
        </w:rPr>
        <w:t>&lt;/Amend&gt;</w:t>
      </w:r>
    </w:p>
    <w:p>
      <w:pPr>
        <w:pStyle w:val="AmNumberTabs"/>
      </w:pPr>
      <w:r>
        <w:rPr>
          <w:rStyle w:val="HideTWBExt"/>
        </w:rPr>
        <w:t>&lt;Amend&gt;</w:t>
      </w:r>
      <w:r>
        <w:t>Emenda</w:t>
      </w:r>
      <w:r>
        <w:tab/>
      </w:r>
      <w:r>
        <w:tab/>
      </w:r>
      <w:r>
        <w:rPr>
          <w:rStyle w:val="HideTWBExt"/>
        </w:rPr>
        <w:t>&lt;NumAm&gt;</w:t>
      </w:r>
      <w:r>
        <w:t>15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Fa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billi t-tibdil kostituzzjonali li jdgħajjef l-indipendenza tal-media jew il-libertà tal-espressjoni, u jnaqqar is-sistema ta’ kontrokontrolli, jikkostitwixxi theddida diretta għall-valuri stipulati fl-Artikolu 2 tat-TUE u għandu impatt konkret fuq il-protezzjoni tal-baġit tal-UE billi jħassar l-ambjent għal sorveljanza trasparenti tal-fondi tal-UE;</w:t>
            </w:r>
          </w:p>
        </w:tc>
      </w:tr>
    </w:tbl>
    <w:p>
      <w:r>
        <w:rPr>
          <w:rStyle w:val="HideTWBExt"/>
        </w:rPr>
        <w:t>&lt;/Amend&gt;</w:t>
      </w:r>
    </w:p>
    <w:p>
      <w:pPr>
        <w:pStyle w:val="AmNumberTabs"/>
      </w:pPr>
      <w:r>
        <w:rPr>
          <w:rStyle w:val="HideTWBExt"/>
        </w:rPr>
        <w:t>&lt;Amend&gt;</w:t>
      </w:r>
      <w:r>
        <w:t>Emenda</w:t>
      </w:r>
      <w:r>
        <w:tab/>
      </w:r>
      <w:r>
        <w:tab/>
      </w:r>
      <w:r>
        <w:rPr>
          <w:rStyle w:val="HideTWBExt"/>
        </w:rPr>
        <w:t>&lt;NumAm&gt;</w:t>
      </w:r>
      <w:r>
        <w:t>16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Fb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billi f’Diċembru 2022, ir-Regolament dwar il-Kundizzjonalità ġie skattat għall-ewwel darba fir-rigward tal-Ungerija, u dan wassal għal sospensjoni ta’ EUR 6,3 biljun f’fondi ta’ koeżjoni u għal projbizzjoni fuq id-dħul f’impenji legali ġodda ma’ trusts u entitajiet ta’ interess pubbliku Ungeriżi miżmuma minnhom, minħabba ksur sistemiku tal-istat tad-dritt li rriskja li jipperikola l-baġit tal-UE u l-interessi finanzjarji tal-UE, inklużi limitazzjonijiet għall-indipendenza tal-ġudikatura u l-prosekuzzjoni pubblika, u riskji relatati mal-korruzzjoni u nuqqasijiet fl-implimentazzjoni tal-fondi tal-UE, b’mod partikolari fir-rigward tal-akkwist pubbliku u r-rwol tat-trusts ta’ interess pubbliku msemmija hawn fuq;</w:t>
            </w:r>
          </w:p>
        </w:tc>
      </w:tr>
    </w:tbl>
    <w:p>
      <w:r>
        <w:rPr>
          <w:rStyle w:val="HideTWBExt"/>
        </w:rPr>
        <w:t>&lt;/Amend&gt;</w:t>
      </w:r>
    </w:p>
    <w:p>
      <w:pPr>
        <w:pStyle w:val="AmNumberTabs"/>
      </w:pPr>
      <w:r>
        <w:rPr>
          <w:rStyle w:val="HideTWBExt"/>
        </w:rPr>
        <w:t>&lt;Amend&gt;</w:t>
      </w:r>
      <w:r>
        <w:t>Emenda</w:t>
      </w:r>
      <w:r>
        <w:tab/>
      </w:r>
      <w:r>
        <w:tab/>
      </w:r>
      <w:r>
        <w:rPr>
          <w:rStyle w:val="HideTWBExt"/>
        </w:rPr>
        <w:t>&lt;NumAm&gt;</w:t>
      </w:r>
      <w:r>
        <w:t>17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billi l-Kummissjoni ħarġet rapport f’Jannar 2024, skont l-Artikolu 9 tar-Regolament dwar il-Kundizzjonalità, biex tevalwa l-applikazzjoni tal-leġiżlazzjoni; billi l-analiżi tal-Kummissjoni tal-uniku każ disponibbli kkonfermat l-effettività tal-miżuri protettivi adottati u l-potenzjal tagħhom ’il quddiem, iżda l-Kummissjoni sabet li kien kmieni wisq biex wieħed jasal għal konklużjonijiet definittivi, u li prattika ta’ każ aktar estensiva tippermetti li jiġi identifikat aħjar it-titjib possibbli;</w:t>
            </w:r>
          </w:p>
        </w:tc>
        <w:tc>
          <w:tcPr>
            <w:tcW w:w="4876" w:type="dxa"/>
            <w:tcBorders>
              <w:top w:val="nil"/>
              <w:left w:val="nil"/>
              <w:bottom w:val="nil"/>
              <w:right w:val="nil"/>
            </w:tcBorders>
          </w:tcPr>
          <w:p>
            <w:pPr>
              <w:pStyle w:val="Normal6a"/>
            </w:pPr>
            <w:r>
              <w:t>G.</w:t>
            </w:r>
            <w:r>
              <w:tab/>
            </w:r>
            <w:r>
              <w:t>billi l-Kummissjoni ħarġet rapport f’Jannar 2024, skont l-Artikolu 9 tar-Regolament dwar il-Kundizzjonalità, biex tevalwa l-applikazzjoni tal-leġiżlazzjoni; billi l-analiżi tal-Kummissjoni tal-uniku każ disponibbli kkonfermat l-effettività tal-miżuri protettivi adottati u l-potenzjal tagħhom ’il quddiem, iżda l-Kummissjoni sabet li kien kmieni wisq biex wieħed jasal għal konklużjonijiet definittivi, u li prattika ta’ każ aktar estensiva tippermetti li jiġi identifikat aħjar it-titjib possibbli;</w:t>
            </w:r>
            <w:r>
              <w:rPr>
                <w:b/>
                <w:i/>
              </w:rPr>
              <w:t xml:space="preserve"> billi l-evalwazzjoni mwettqa mill-Kummissjoni turi li, skont ir-Regolament dwar il-Kundizzjonalità, il-limiti ta’ żmien għall-Kummissjoni jippermettu ftit flessibbiltà u f’ċerti fażijiet huma ta’ sfida partikolari; billi, fil-każ tal-Ungerija, ir-rapport jilqa’ fit-tul il-progress li nkiseb skont ir-Regolament dwar il-Kundizzjonalità, iżda ma jissottolinjax b’mod suffiċjenti sa’ liema punt l-isfidi baqgħu mhux solvuti;</w:t>
            </w:r>
          </w:p>
        </w:tc>
      </w:tr>
    </w:tbl>
    <w:p>
      <w:r>
        <w:rPr>
          <w:rStyle w:val="HideTWBExt"/>
        </w:rPr>
        <w:t>&lt;/Amend&gt;</w:t>
      </w:r>
    </w:p>
    <w:p>
      <w:pPr>
        <w:pStyle w:val="AmNumberTabs"/>
      </w:pPr>
      <w:r>
        <w:rPr>
          <w:rStyle w:val="HideTWBExt"/>
        </w:rPr>
        <w:t>&lt;Amend&gt;</w:t>
      </w:r>
      <w:r>
        <w:t>Emenda</w:t>
      </w:r>
      <w:r>
        <w:tab/>
      </w:r>
      <w:r>
        <w:tab/>
      </w:r>
      <w:r>
        <w:rPr>
          <w:rStyle w:val="HideTWBExt"/>
        </w:rPr>
        <w:t>&lt;NumAm&gt;</w:t>
      </w:r>
      <w:r>
        <w:t>18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billi l-għan ta’ dan ir-rapport huwa li jiskrutinizza l-implimentazzjoni tar-Regolament dwar il-Kundizzjonalità, skont ir-rwol tal-Parlament kif stabbilit fir-Regolament, billi jindika l-benefiċċji u n-nuqqasijiet tal-applikazzjoni tiegħu, u billi joħroġ rakkomandazzjonijiet għall-implimentazzjoni futura tiegħu;</w:t>
            </w:r>
          </w:p>
        </w:tc>
        <w:tc>
          <w:tcPr>
            <w:tcW w:w="4876" w:type="dxa"/>
            <w:tcBorders>
              <w:top w:val="nil"/>
              <w:left w:val="nil"/>
              <w:bottom w:val="nil"/>
              <w:right w:val="nil"/>
            </w:tcBorders>
          </w:tcPr>
          <w:p>
            <w:pPr>
              <w:pStyle w:val="Normal6a"/>
            </w:pPr>
            <w:r>
              <w:t>I.</w:t>
            </w:r>
            <w:r>
              <w:tab/>
            </w:r>
            <w:r>
              <w:t>billi l-għan ta’ dan ir-rapport huwa li jiskrutinizza l-implimentazzjoni tar-Regolament dwar il-Kundizzjonalità, skont ir-rwol tal-Parlament kif stabbilit fir-Regolament, billi jindika l-benefiċċji u n-nuqqasijiet tal-applikazzjoni tiegħu, u billi joħroġ rakkomandazzjonijiet għall-implimentazzjoni futura tiegħu</w:t>
            </w:r>
            <w:r>
              <w:rPr>
                <w:b/>
                <w:i/>
              </w:rPr>
              <w:t>, kif ukoll jivvaluta l-koerenza u l-effettività tar-reġim ta’ kundizzjonalità flimkien ma’ strumenti oħra fis-sett ta’ għodod tal-istat tad-dritt, bħar-Regolament dwar Dispożizzjonijiet Komuni u s-“superstadji importanti” relatati mal-istat tad-dritt skont l-RRF</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19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Jilqa’ </w:t>
            </w:r>
            <w:r>
              <w:rPr>
                <w:b/>
                <w:i/>
              </w:rPr>
              <w:t>l-affermazzjoni</w:t>
            </w:r>
            <w:r>
              <w:t xml:space="preserve"> mill-QĠUE li r-rispett għall-valuri </w:t>
            </w:r>
            <w:r>
              <w:rPr>
                <w:b/>
                <w:i/>
              </w:rPr>
              <w:t>stabbiliti</w:t>
            </w:r>
            <w:r>
              <w:t xml:space="preserve"> fl-Artikolu 2 tat-TUE huwa obbligu kontinwu </w:t>
            </w:r>
            <w:r>
              <w:rPr>
                <w:b/>
                <w:i/>
              </w:rPr>
              <w:t>wara l-adeżjoni tal-UE</w:t>
            </w:r>
            <w:r>
              <w:t xml:space="preserve"> u prekundizzjoni biex wieħed igawdi d-drittijiet u l-benefiċċji kollha tat-Trattat li jirriżultaw mis-sħubija fl-UE, inkluż l-aċċess għall-fondi tal-UE; jagħti istruzzjonijiet lill-Kummissjoni biex tenfasizza dan il-punt fl-attivitajiet ta’ komunikazzjoni u ta’ infurzar tagħha;</w:t>
            </w:r>
          </w:p>
        </w:tc>
        <w:tc>
          <w:tcPr>
            <w:tcW w:w="4876" w:type="dxa"/>
            <w:tcBorders>
              <w:top w:val="nil"/>
              <w:left w:val="nil"/>
              <w:bottom w:val="nil"/>
              <w:right w:val="nil"/>
            </w:tcBorders>
          </w:tcPr>
          <w:p>
            <w:pPr>
              <w:pStyle w:val="Normal6a"/>
            </w:pPr>
            <w:r>
              <w:t>3.</w:t>
            </w:r>
            <w:r>
              <w:tab/>
            </w:r>
            <w:r>
              <w:t xml:space="preserve">Jilqa’ </w:t>
            </w:r>
            <w:r>
              <w:rPr>
                <w:b/>
                <w:i/>
              </w:rPr>
              <w:t>l-konferma</w:t>
            </w:r>
            <w:r>
              <w:t xml:space="preserve"> mill-QĠUE li r-rispett għall-valuri </w:t>
            </w:r>
            <w:r>
              <w:rPr>
                <w:b/>
                <w:i/>
              </w:rPr>
              <w:t>minquxa</w:t>
            </w:r>
            <w:r>
              <w:t xml:space="preserve"> fl-Artikolu 2 tat-TUE huwa obbligu kontinwu </w:t>
            </w:r>
            <w:r>
              <w:rPr>
                <w:b/>
                <w:i/>
              </w:rPr>
              <w:t>għall-Istati Membri kollha</w:t>
            </w:r>
            <w:r>
              <w:t xml:space="preserve"> u prekundizzjoni biex wieħed igawdi d-drittijiet u l-benefiċċji kollha tat-Trattat li jirriżultaw mis-sħubija fl-UE, inkluż l-aċċess għall-fondi tal-UE; jagħti istruzzjonijiet lill-Kummissjoni biex tenfasizza dan il-punt fl-attivitajiet ta’ komunikazzjoni u ta’ infurzar tagħha</w:t>
            </w:r>
            <w:r>
              <w:rPr>
                <w:b/>
                <w:i/>
                <w:vertAlign w:val="superscript"/>
              </w:rPr>
              <w:t>1a</w:t>
            </w:r>
            <w:r>
              <w:t>;</w:t>
            </w:r>
            <w:r>
              <w:rPr>
                <w:b/>
                <w:i/>
              </w:rPr>
              <w:t xml:space="preserve"> </w:t>
            </w:r>
            <w:r>
              <w:rPr>
                <w:b/>
                <w:i/>
              </w:rPr>
              <w:t>jissottolinja li dan għandu jiġi mfakkar b’mod aktar frekwenti, minħabba li jsaħħaħ il-kredibbiltà tal-UE, u jisħaq li l-impatti tan-nuqqas ta’ konformità jridu wkoll jiġu ssottolinjati b’mod konsistenti;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Il-prinċipju ta’ nonrigressjoni; opinjoni tal-Avukat Ġenerali Campos Sánchez-Bordona, mogħtija fit-2 ta’ Diċembru 2021 fil-Kawża C-156/21, L-Ungerija vs Il-Parlament Ewropew u l-Kunsill tal-Unjoni Ewropea, ECLI:EU:C:2021:974, punt 214.</w:t>
            </w:r>
          </w:p>
        </w:tc>
      </w:tr>
    </w:tbl>
    <w:p>
      <w:r>
        <w:rPr>
          <w:rStyle w:val="HideTWBExt"/>
        </w:rPr>
        <w:t>&lt;/Amend&gt;</w:t>
      </w:r>
    </w:p>
    <w:p>
      <w:pPr>
        <w:pStyle w:val="AmNumberTabs"/>
      </w:pPr>
      <w:r>
        <w:rPr>
          <w:rStyle w:val="HideTWBExt"/>
        </w:rPr>
        <w:t>&lt;Amend&gt;</w:t>
      </w:r>
      <w:r>
        <w:t>Emenda</w:t>
      </w:r>
      <w:r>
        <w:tab/>
      </w:r>
      <w:r>
        <w:tab/>
      </w:r>
      <w:r>
        <w:rPr>
          <w:rStyle w:val="HideTWBExt"/>
        </w:rPr>
        <w:t>&lt;NumAm&gt;</w:t>
      </w:r>
      <w:r>
        <w:t>20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Jilqa’ l-fatt li l-QĠUE enfasizzat li l-baġit tal-UE huwa għodda ewlenija għat-twettiq tal-prinċipju tas-solidarjetà minqux fl-Artikolu 2 tat-TUE – wieħed mill-prinċipji fundamentali tal-UE</w:t>
            </w:r>
            <w:r>
              <w:rPr>
                <w:vertAlign w:val="superscript"/>
              </w:rPr>
              <w:t>1a</w:t>
            </w:r>
            <w:r>
              <w:rPr>
                <w:b/>
                <w:i/>
              </w:rPr>
              <w:t>; itenni li s-solidarjetà tinkiseb permezz tal-kondiviżjoni tar-riżorsi finanzjarji u tibbaża fuq il-fiduċja reċiproka fost l-Istati Membri, li tippresupponi li kull Stat Membru juża fondi komuni b’mod responsabbli u jibqa’ impenjat li jissodisfa l-obbligi tiegħu skont id-dritt tal-UE, inkluż ir-rispett tal-valuri minquxa fl-Artikolu 2 tat-TUE, b’mod partikolari l-istat tad-dritt;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Il-Kawża C-156/21 tal-QĠUE, ikkwotata hawn fuq, punt 129.</w:t>
            </w:r>
          </w:p>
        </w:tc>
      </w:tr>
    </w:tbl>
    <w:p>
      <w:r>
        <w:rPr>
          <w:rStyle w:val="HideTWBExt"/>
        </w:rPr>
        <w:t>&lt;/Amend&gt;</w:t>
      </w:r>
    </w:p>
    <w:p>
      <w:pPr>
        <w:pStyle w:val="AmNumberTabs"/>
      </w:pPr>
      <w:r>
        <w:rPr>
          <w:rStyle w:val="HideTWBExt"/>
        </w:rPr>
        <w:t>&lt;Amend&gt;</w:t>
      </w:r>
      <w:r>
        <w:t>Emenda</w:t>
      </w:r>
      <w:r>
        <w:tab/>
      </w:r>
      <w:r>
        <w:tab/>
      </w:r>
      <w:r>
        <w:rPr>
          <w:rStyle w:val="HideTWBExt"/>
        </w:rPr>
        <w:t>&lt;NumAm&gt;</w:t>
      </w:r>
      <w:r>
        <w:t>21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Jisħaq li </w:t>
            </w:r>
            <w:r>
              <w:rPr>
                <w:b/>
                <w:i/>
              </w:rPr>
              <w:t>dawn l-istrumenti ta’ finanzjament</w:t>
            </w:r>
            <w:r>
              <w:t xml:space="preserve"> ma </w:t>
            </w:r>
            <w:r>
              <w:rPr>
                <w:b/>
                <w:i/>
              </w:rPr>
              <w:t>għandhomx</w:t>
            </w:r>
            <w:r>
              <w:t xml:space="preserve"> jitqiesu bħala sostituti għall-mekkaniżmi bbażati fuq it-Trattat għas-salvagwardja tal-valuri </w:t>
            </w:r>
            <w:r>
              <w:rPr>
                <w:b/>
                <w:i/>
              </w:rPr>
              <w:t>stabbiliti</w:t>
            </w:r>
            <w:r>
              <w:t xml:space="preserve"> fl-Artikolu 2 tat-TUE, u jfakkar li s-sospensjoni tad-drittijiet tal-vot skont l-Artikolu 7(2) tat-TUE tibqa’ għażla f’każijiet ta’ ksur persistenti u serju tal-istat tad-dritt;</w:t>
            </w:r>
          </w:p>
        </w:tc>
        <w:tc>
          <w:tcPr>
            <w:tcW w:w="4876" w:type="dxa"/>
            <w:tcBorders>
              <w:top w:val="nil"/>
              <w:left w:val="nil"/>
              <w:bottom w:val="nil"/>
              <w:right w:val="nil"/>
            </w:tcBorders>
          </w:tcPr>
          <w:p>
            <w:pPr>
              <w:pStyle w:val="Normal6a"/>
            </w:pPr>
            <w:r>
              <w:t>4.</w:t>
            </w:r>
            <w:r>
              <w:tab/>
            </w:r>
            <w:r>
              <w:t xml:space="preserve">Jisħaq li </w:t>
            </w:r>
            <w:r>
              <w:rPr>
                <w:b/>
                <w:i/>
              </w:rPr>
              <w:t>r-Regolament dwar il-Kundizzjonalità u strumenti baġitarji oħra</w:t>
            </w:r>
            <w:r>
              <w:t xml:space="preserve"> ma </w:t>
            </w:r>
            <w:r>
              <w:rPr>
                <w:b/>
                <w:i/>
              </w:rPr>
              <w:t>jridux</w:t>
            </w:r>
            <w:r>
              <w:t xml:space="preserve"> jitqiesu bħala sostituti għall-mekkaniżmi bbażati fuq it-Trattat għas-salvagwardja tal-valuri </w:t>
            </w:r>
            <w:r>
              <w:rPr>
                <w:b/>
                <w:i/>
              </w:rPr>
              <w:t>minquxa</w:t>
            </w:r>
            <w:r>
              <w:t xml:space="preserve"> fl-Artikolu 2 tat-TUE, u jfakkar li s-sospensjoni tad-drittijiet </w:t>
            </w:r>
            <w:r>
              <w:rPr>
                <w:b/>
                <w:i/>
              </w:rPr>
              <w:t>li jiġu mill-applikazzjoni tat-Trattati, inklużi iżda mhux limitati għad-drittijiet</w:t>
            </w:r>
            <w:r>
              <w:t xml:space="preserve"> tal-vot</w:t>
            </w:r>
            <w:r>
              <w:rPr>
                <w:b/>
                <w:i/>
              </w:rPr>
              <w:t>,</w:t>
            </w:r>
            <w:r>
              <w:t xml:space="preserve"> skont l-Artikolu 7(2) tat-TUE tibqa’ għażla f’każijiet ta’ ksur persistenti u serju tal-istat tad-dritt</w:t>
            </w:r>
            <w:r>
              <w:rPr>
                <w:b/>
                <w:i/>
              </w:rPr>
              <w:t>, u li dan il-mekkaniżmu, għaldaqstant, ma “jevitax” il-proċedura tal-Artikolu 7 tat-TUE, iżda għandu jitqies bħala element li jikkomplementaha</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22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Ifakkar li s-“sett ta’ għodod tal-istat tad-dritt” tal-Kummissjoni evolva b’mod konsiderevoli matul l-aħħar għaxar snin, bl-inklużjoni ta’ strumenti multipli għall-protezzjoni tal-istat tad-dritt, inkluż ir-rapport annwali dwar l-istat tad-dritt li jkopri s-27 Stat Membru kollha, il-kundizzjoni abilitanti orizzontali fuq il-Karta skont ir-Regolament dwar id-Dispożizzjonijiet Komuni, u l-hekk imsejħa superstadji importanti relatati mal-istat tad-dritt skont l-RRF;</w:t>
            </w:r>
          </w:p>
        </w:tc>
        <w:tc>
          <w:tcPr>
            <w:tcW w:w="4876" w:type="dxa"/>
            <w:tcBorders>
              <w:top w:val="nil"/>
              <w:left w:val="nil"/>
              <w:bottom w:val="nil"/>
              <w:right w:val="nil"/>
            </w:tcBorders>
          </w:tcPr>
          <w:p>
            <w:pPr>
              <w:pStyle w:val="Normal6a"/>
            </w:pPr>
            <w:r>
              <w:t>5.</w:t>
            </w:r>
            <w:r>
              <w:tab/>
            </w:r>
            <w:r>
              <w:t>Ifakkar li s-“sett ta’ għodod tal-istat tad-dritt” tal-Kummissjoni evolva b’mod konsiderevoli matul l-aħħar għaxar snin, bl-inklużjoni ta’ strumenti multipli għall-protezzjoni tal-istat tad-dritt, inkluż ir-rapport annwali dwar l-istat tad-dritt li jkopri s-27 Stat Membru kollha, il-kundizzjoni abilitanti orizzontali fuq il-Karta skont ir-Regolament dwar id-Dispożizzjonijiet Komuni, u l-hekk imsejħa superstadji importanti relatati mal-istat tad-dritt skont l-RRF;</w:t>
            </w:r>
            <w:r>
              <w:rPr>
                <w:b/>
                <w:i/>
              </w:rPr>
              <w:t xml:space="preserve"> jissottolinja li, filwaqt li l-evoluzzjoni tas-sett ta’ għodod ġabet magħha xi progress, għadha ma wasslitx għal riżultati tanġibbli biżżejjed, l-aktar minħabba r-rieda politika limitata li jintuża kemm jista’ jkun;</w:t>
            </w:r>
          </w:p>
        </w:tc>
      </w:tr>
    </w:tbl>
    <w:p>
      <w:r>
        <w:rPr>
          <w:rStyle w:val="HideTWBExt"/>
        </w:rPr>
        <w:t>&lt;/Amend&gt;</w:t>
      </w:r>
    </w:p>
    <w:p>
      <w:pPr>
        <w:pStyle w:val="AmNumberTabs"/>
      </w:pPr>
      <w:r>
        <w:rPr>
          <w:rStyle w:val="HideTWBExt"/>
        </w:rPr>
        <w:t>&lt;Amend&gt;</w:t>
      </w:r>
      <w:r>
        <w:t>Emenda</w:t>
      </w:r>
      <w:r>
        <w:tab/>
      </w:r>
      <w:r>
        <w:tab/>
      </w:r>
      <w:r>
        <w:rPr>
          <w:rStyle w:val="HideTWBExt"/>
        </w:rPr>
        <w:t>&lt;NumAm&gt;</w:t>
      </w:r>
      <w:r>
        <w:t>23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Jisħaq li r-reġim ta’ kundizzjonalità huwa ta’ natura baġitarja, peress li għandu l-għan li jissalvagwardja l-ġestjoni finanzjarja tajba tal-fondi tal-UE u l-interessi finanzjarji tal-UE, u japplika biss meta ksur tal-istat tad-dritt jaffettwa jew jirriskja li jaffettwa b’mod serju l-baġit tal-UE; jenfasizza li </w:t>
            </w:r>
            <w:r>
              <w:rPr>
                <w:b/>
                <w:i/>
              </w:rPr>
              <w:t>dan</w:t>
            </w:r>
            <w:r>
              <w:t xml:space="preserve"> huwa differenti </w:t>
            </w:r>
            <w:r>
              <w:rPr>
                <w:b/>
                <w:i/>
              </w:rPr>
              <w:t>mill-proċedura tal-Artikolu 7</w:t>
            </w:r>
            <w:r>
              <w:t xml:space="preserve"> tat-TUE, li </w:t>
            </w:r>
            <w:r>
              <w:rPr>
                <w:b/>
                <w:i/>
              </w:rPr>
              <w:t>jippenalizza</w:t>
            </w:r>
            <w:r>
              <w:t xml:space="preserve"> ksur serju u persistenti tal-valuri stabbiliti fl-Artikolu 2 tat-TUE;</w:t>
            </w:r>
          </w:p>
        </w:tc>
        <w:tc>
          <w:tcPr>
            <w:tcW w:w="4876" w:type="dxa"/>
            <w:tcBorders>
              <w:top w:val="nil"/>
              <w:left w:val="nil"/>
              <w:bottom w:val="nil"/>
              <w:right w:val="nil"/>
            </w:tcBorders>
          </w:tcPr>
          <w:p>
            <w:pPr>
              <w:pStyle w:val="Normal6a"/>
            </w:pPr>
            <w:r>
              <w:t>6.</w:t>
            </w:r>
            <w:r>
              <w:tab/>
            </w:r>
            <w:r>
              <w:t xml:space="preserve">Jisħaq li r-reġim ta’ kundizzjonalità huwa ta’ natura baġitarja, peress li għandu l-għan li jissalvagwardja l-ġestjoni finanzjarja tajba tal-fondi tal-UE u l-interessi finanzjarji tal-UE, u japplika biss meta ksur tal-istat tad-dritt jaffettwa jew jirriskja li jaffettwa b’mod serju l-baġit tal-UE; jenfasizza li huwa differenti </w:t>
            </w:r>
            <w:r>
              <w:rPr>
                <w:b/>
                <w:i/>
              </w:rPr>
              <w:t>mill-Artikoli 7(1) u (2)</w:t>
            </w:r>
            <w:r>
              <w:t xml:space="preserve"> tat-TUE, li </w:t>
            </w:r>
            <w:r>
              <w:rPr>
                <w:b/>
                <w:i/>
              </w:rPr>
              <w:t>jindirizzaw sitwazzjonijiet fejn hemm riskju ċar ta’ ksur serju jew</w:t>
            </w:r>
            <w:r>
              <w:t xml:space="preserve"> ksur serju u persistenti tal-valuri stabbiliti fl-Artikolu </w:t>
            </w:r>
            <w:r>
              <w:rPr>
                <w:b/>
                <w:i/>
              </w:rPr>
              <w:t>2 tat-TUE, jippermettu lill-UE tidentifika u tirrispondi għal tali riskji, inkluż billi tindirizza rakkomandazzjonijiet lill-Istat Membru kkonċernat skont l-Artikolu 7(1) tat-TUE u, fejn xieraq, billi tadotta sanzjonijiet skont l-Artikolu 7(</w:t>
            </w:r>
            <w:r>
              <w:t>2</w:t>
            </w:r>
            <w:r>
              <w:rPr>
                <w:b/>
                <w:i/>
              </w:rPr>
              <w:t>) u (3)</w:t>
            </w:r>
            <w:r>
              <w:t xml:space="preserve"> tat-TUE;</w:t>
            </w:r>
          </w:p>
        </w:tc>
      </w:tr>
    </w:tbl>
    <w:p>
      <w:r>
        <w:rPr>
          <w:rStyle w:val="HideTWBExt"/>
        </w:rPr>
        <w:t>&lt;/Amend&gt;</w:t>
      </w:r>
    </w:p>
    <w:p>
      <w:pPr>
        <w:pStyle w:val="AmNumberTabs"/>
      </w:pPr>
      <w:r>
        <w:rPr>
          <w:rStyle w:val="HideTWBExt"/>
        </w:rPr>
        <w:t>&lt;Amend&gt;</w:t>
      </w:r>
      <w:r>
        <w:t>Emenda</w:t>
      </w:r>
      <w:r>
        <w:tab/>
      </w:r>
      <w:r>
        <w:tab/>
      </w:r>
      <w:r>
        <w:rPr>
          <w:rStyle w:val="HideTWBExt"/>
        </w:rPr>
        <w:t>&lt;NumAm&gt;</w:t>
      </w:r>
      <w:r>
        <w:t>24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Jissottolinja li l-azzjonijiet ta’ ksur skont </w:t>
            </w:r>
            <w:r>
              <w:rPr>
                <w:b/>
                <w:i/>
              </w:rPr>
              <w:t>l-Artikolu</w:t>
            </w:r>
            <w:r>
              <w:t xml:space="preserve"> 258 tat-TFUE u l-Artikolu 6 tar-Regolament Finanzjarju jibqgħu għodod komplementari għal ksur sistemiku tal-valuri tal-Artikolu 2 tat-TUE;</w:t>
            </w:r>
          </w:p>
        </w:tc>
        <w:tc>
          <w:tcPr>
            <w:tcW w:w="4876" w:type="dxa"/>
            <w:tcBorders>
              <w:top w:val="nil"/>
              <w:left w:val="nil"/>
              <w:bottom w:val="nil"/>
              <w:right w:val="nil"/>
            </w:tcBorders>
          </w:tcPr>
          <w:p>
            <w:pPr>
              <w:pStyle w:val="Normal6a"/>
            </w:pPr>
            <w:r>
              <w:t>7.</w:t>
            </w:r>
            <w:r>
              <w:tab/>
            </w:r>
            <w:r>
              <w:t xml:space="preserve">Jissottolinja li l-azzjonijiet ta’ ksur skont </w:t>
            </w:r>
            <w:r>
              <w:rPr>
                <w:b/>
                <w:i/>
              </w:rPr>
              <w:t>l-Artikoli</w:t>
            </w:r>
            <w:r>
              <w:t xml:space="preserve"> 258 </w:t>
            </w:r>
            <w:r>
              <w:rPr>
                <w:b/>
                <w:i/>
              </w:rPr>
              <w:t>u 260</w:t>
            </w:r>
            <w:r>
              <w:t xml:space="preserve"> tat-TFUE u l-Artikolu 6 tar-Regolament Finanzjarju jibqgħu għodod komplementari għal ksur sistemiku tal-valuri tal-Artikolu 2 tat-TUE;</w:t>
            </w:r>
            <w:r>
              <w:rPr>
                <w:b/>
                <w:i/>
              </w:rPr>
              <w:t xml:space="preserve"> jinnota, barra minn hekk, li s-sentenza pendenti tal-QĠUE fil-Kawża C-769/22, Il-Kummissjoni vs l-Ungerija (valuri tal-Unjoni), tista’ tistabbilixxi l-Artikolu 2 tat-TUE bħala bażi legali awtonoma, u b’hekk issaħħaħ il-proċeduri ta’ ksur;</w:t>
            </w:r>
          </w:p>
        </w:tc>
      </w:tr>
    </w:tbl>
    <w:p>
      <w:r>
        <w:rPr>
          <w:rStyle w:val="HideTWBExt"/>
        </w:rPr>
        <w:t>&lt;/Amend&gt;</w:t>
      </w:r>
    </w:p>
    <w:p>
      <w:pPr>
        <w:pStyle w:val="AmNumberTabs"/>
      </w:pPr>
      <w:r>
        <w:rPr>
          <w:rStyle w:val="HideTWBExt"/>
        </w:rPr>
        <w:t>&lt;Amend&gt;</w:t>
      </w:r>
      <w:r>
        <w:t>Emenda</w:t>
      </w:r>
      <w:r>
        <w:tab/>
      </w:r>
      <w:r>
        <w:tab/>
      </w:r>
      <w:r>
        <w:rPr>
          <w:rStyle w:val="HideTWBExt"/>
        </w:rPr>
        <w:t>&lt;NumAm&gt;</w:t>
      </w:r>
      <w:r>
        <w:t>25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Jilqa’</w:t>
            </w:r>
            <w:r>
              <w:t xml:space="preserve"> s-sentenzi tal-QĠUE tas-16 ta’ Frar 2022 fil-Kawżi C-156/21 u C-157/21, </w:t>
            </w:r>
            <w:r>
              <w:rPr>
                <w:b/>
                <w:i/>
              </w:rPr>
              <w:t>li</w:t>
            </w:r>
            <w:r>
              <w:t xml:space="preserve"> fl-intier tagħhom ċaħdu l-azzjonijiet mill-Ungerija u mill-Polonja għall-annullament tar-Regolament dwar il-Kundizzjonalità u kkonfermaw b’mod inekwivoku l-validità, il-bażi legali u l-kompatibbiltà mat-Trattat tar-Regolament, kif ukoll il-kompetenzi tal-UE dwar l-istat tad-dritt fl-Istati Membri;</w:t>
            </w:r>
          </w:p>
        </w:tc>
        <w:tc>
          <w:tcPr>
            <w:tcW w:w="4876" w:type="dxa"/>
            <w:tcBorders>
              <w:top w:val="nil"/>
              <w:left w:val="nil"/>
              <w:bottom w:val="nil"/>
              <w:right w:val="nil"/>
            </w:tcBorders>
          </w:tcPr>
          <w:p>
            <w:pPr>
              <w:pStyle w:val="Normal6a"/>
            </w:pPr>
            <w:r>
              <w:t>8.</w:t>
            </w:r>
            <w:r>
              <w:tab/>
            </w:r>
            <w:r>
              <w:rPr>
                <w:b/>
                <w:i/>
              </w:rPr>
              <w:t>Jieħu nota tal-fatt li</w:t>
            </w:r>
            <w:r>
              <w:t xml:space="preserve"> s-sentenzi tal-QĠUE tas-16 ta’ Frar 2022 fil-Kawżi C-156/21 u C-157/21, fl-intier tagħhom</w:t>
            </w:r>
            <w:r>
              <w:rPr>
                <w:b/>
                <w:i/>
              </w:rPr>
              <w:t>,</w:t>
            </w:r>
            <w:r>
              <w:t xml:space="preserve"> ċaħdu l-azzjonijiet mill-Ungerija u mill-Polonja għall-annullament tar-Regolament dwar il-Kundizzjonalità u kkonfermaw b’mod inekwivoku l-validità, il-bażi legali u l-kompatibbiltà mat-Trattat tar-Regolament, kif ukoll il-kompetenzi tal-UE dwar l-istat tad-dritt fl-Istati Membri;</w:t>
            </w:r>
            <w:r>
              <w:rPr>
                <w:b/>
                <w:i/>
              </w:rPr>
              <w:t xml:space="preserve"> jinnota wkoll li f’dawk l-istess sentenzi, il-QĠUE kkonfermat li l-valuri espressi fl-Artikolu 2 tat-TUE fihom obbligi legalment vinkolanti għall-Istati Membri;</w:t>
            </w:r>
          </w:p>
        </w:tc>
      </w:tr>
    </w:tbl>
    <w:p>
      <w:r>
        <w:rPr>
          <w:rStyle w:val="HideTWBExt"/>
        </w:rPr>
        <w:t>&lt;/Amend&gt;</w:t>
      </w:r>
    </w:p>
    <w:p>
      <w:pPr>
        <w:pStyle w:val="AmNumberTabs"/>
      </w:pPr>
      <w:r>
        <w:rPr>
          <w:rStyle w:val="HideTWBExt"/>
        </w:rPr>
        <w:t>&lt;Amend&gt;</w:t>
      </w:r>
      <w:r>
        <w:t>Emenda</w:t>
      </w:r>
      <w:r>
        <w:tab/>
      </w:r>
      <w:r>
        <w:tab/>
      </w:r>
      <w:r>
        <w:rPr>
          <w:rStyle w:val="HideTWBExt"/>
        </w:rPr>
        <w:t>&lt;NumAm&gt;</w:t>
      </w:r>
      <w:r>
        <w:t>26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Jieħu nota tal-kjarifiki addizzjonali dwar il-proċess ipprovduti mill-Kummissjoni fil-Linji Gwida tal-2022 dwar ir-Regolament dwar il-Kundizzjonalità, u r-rieżami tal-applikazzjoni prattika tiegħu fir-rapport ta’ applikazzjoni tal-Kummissjoni tal-2024; </w:t>
            </w:r>
            <w:r>
              <w:rPr>
                <w:b/>
                <w:i/>
              </w:rPr>
              <w:t>jesprimi dispjaċir</w:t>
            </w:r>
            <w:r>
              <w:t xml:space="preserve">, madankollu, </w:t>
            </w:r>
            <w:r>
              <w:rPr>
                <w:b/>
                <w:i/>
              </w:rPr>
              <w:t>għall-fatt</w:t>
            </w:r>
            <w:r>
              <w:t xml:space="preserve"> li </w:t>
            </w:r>
            <w:r>
              <w:rPr>
                <w:b/>
                <w:i/>
              </w:rPr>
              <w:t>l-Linji Gwida ġew adottati fuq</w:t>
            </w:r>
            <w:r>
              <w:t xml:space="preserve"> sena wara </w:t>
            </w:r>
            <w:r>
              <w:rPr>
                <w:b/>
                <w:i/>
              </w:rPr>
              <w:t>d-dħul</w:t>
            </w:r>
            <w:r>
              <w:t xml:space="preserve"> fis-seħħ </w:t>
            </w:r>
            <w:r>
              <w:rPr>
                <w:b/>
                <w:i/>
              </w:rPr>
              <w:t>tar-Regolament</w:t>
            </w:r>
            <w:r>
              <w:t xml:space="preserve">, u li </w:t>
            </w:r>
            <w:r>
              <w:rPr>
                <w:b/>
                <w:i/>
              </w:rPr>
              <w:t>dan ikkontribwixxa għal dewmien de facto fl-applikazzjoni</w:t>
            </w:r>
            <w:r>
              <w:t xml:space="preserve"> tiegħu;</w:t>
            </w:r>
          </w:p>
        </w:tc>
        <w:tc>
          <w:tcPr>
            <w:tcW w:w="4876" w:type="dxa"/>
            <w:tcBorders>
              <w:top w:val="nil"/>
              <w:left w:val="nil"/>
              <w:bottom w:val="nil"/>
              <w:right w:val="nil"/>
            </w:tcBorders>
          </w:tcPr>
          <w:p>
            <w:pPr>
              <w:pStyle w:val="Normal6a"/>
            </w:pPr>
            <w:r>
              <w:t>9.</w:t>
            </w:r>
            <w:r>
              <w:tab/>
            </w:r>
            <w:r>
              <w:t xml:space="preserve">Jieħu nota tal-kjarifiki addizzjonali dwar il-proċess ipprovduti mill-Kummissjoni fil-Linji Gwida tal-2022 dwar ir-Regolament dwar il-Kundizzjonalità, u r-rieżami tal-applikazzjoni prattika tiegħu fir-rapport ta’ applikazzjoni tal-Kummissjoni tal-2024; </w:t>
            </w:r>
            <w:r>
              <w:rPr>
                <w:b/>
                <w:i/>
              </w:rPr>
              <w:t>jiddispjaċih</w:t>
            </w:r>
            <w:r>
              <w:t xml:space="preserve">, madankollu, li </w:t>
            </w:r>
            <w:r>
              <w:rPr>
                <w:b/>
                <w:i/>
              </w:rPr>
              <w:t>l-Kummissjoni illegalment waqqfet l-applikazzjoni tar-Regolament dwar il-Kundizzjonalità għal aktar minn</w:t>
            </w:r>
            <w:r>
              <w:t xml:space="preserve"> sena wara </w:t>
            </w:r>
            <w:r>
              <w:rPr>
                <w:b/>
                <w:i/>
              </w:rPr>
              <w:t>li kien daħal</w:t>
            </w:r>
            <w:r>
              <w:t xml:space="preserve"> fis-seħħ, u </w:t>
            </w:r>
            <w:r>
              <w:rPr>
                <w:b/>
                <w:i/>
              </w:rPr>
              <w:t>b’hekk segwiet il-konklużjonijiet tal-Kunsill Ewropew</w:t>
            </w:r>
            <w:r>
              <w:t xml:space="preserve"> li </w:t>
            </w:r>
            <w:r>
              <w:rPr>
                <w:b/>
                <w:i/>
              </w:rPr>
              <w:t>kienu inkompatibbli mar-Regolament dwar il-Kundizzjonalità u li ma kinux vinkolanti fuq il-Kummissjoni;</w:t>
            </w:r>
            <w:r>
              <w:rPr>
                <w:b/>
                <w:i/>
              </w:rPr>
              <w:t xml:space="preserve"> </w:t>
            </w:r>
            <w:r>
              <w:rPr>
                <w:b/>
                <w:i/>
              </w:rPr>
              <w:t>itenni d-dispjaċir</w:t>
            </w:r>
            <w:r>
              <w:t xml:space="preserve"> tiegħu </w:t>
            </w:r>
            <w:r>
              <w:rPr>
                <w:b/>
                <w:i/>
              </w:rPr>
              <w:t>li l-Kummissjoni adottat linji gwida għall-applikazzjoni tar-Regolament dwar il-Kundizzjonalità meta ma tkunx intweriet il-ħtieġa ta’ tali linji gwida</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27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Jinnota li r-Regolament dwar il-Kundizzjonalità huwa l-uniku strument li jirrikjedi valutazzjoni ta’ jekk għodod oħra jistgħux jipproteġu b’mod aktar effettiv l-interessi finanzjarji tal-UE fil-każijiet ta’ ksur tal-istat tad-dritt; iqis li jista’ jkun utli li ssir riflessjoni dwar ir-rilevanza prattika u l-proporzjonalità ta’ dan ir-rekwiżit fl-implimentazzjoni tiegħu;</w:t>
            </w:r>
          </w:p>
        </w:tc>
      </w:tr>
    </w:tbl>
    <w:p>
      <w:r>
        <w:rPr>
          <w:rStyle w:val="HideTWBExt"/>
        </w:rPr>
        <w:t>&lt;/Amend&gt;</w:t>
      </w:r>
    </w:p>
    <w:p>
      <w:pPr>
        <w:pStyle w:val="AmNumberTabs"/>
      </w:pPr>
      <w:r>
        <w:rPr>
          <w:rStyle w:val="HideTWBExt"/>
        </w:rPr>
        <w:t>&lt;Amend&gt;</w:t>
      </w:r>
      <w:r>
        <w:t>Emenda</w:t>
      </w:r>
      <w:r>
        <w:tab/>
      </w:r>
      <w:r>
        <w:tab/>
      </w:r>
      <w:r>
        <w:rPr>
          <w:rStyle w:val="HideTWBExt"/>
        </w:rPr>
        <w:t>&lt;NumAm&gt;</w:t>
      </w:r>
      <w:r>
        <w:t>28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Jinnota li, filwaqt li l-Istati Membri għandhom identitajiet u tradizzjonijiet nazzjonali differenti, l-istat tad-dritt huwa valur komuni għall-UE u għall-Istati Membri, u jifforma parti mill-pedamenti proprji tal-UE u tal-ordni ġuridiku tagħha</w:t>
            </w:r>
            <w:r>
              <w:rPr>
                <w:vertAlign w:val="superscript"/>
              </w:rPr>
              <w:t>1a</w:t>
            </w:r>
            <w:r>
              <w:rPr>
                <w:b/>
                <w:i/>
              </w:rPr>
              <w:t>; jinnota li l-istat tad-dritt jista’ jiġi ddefinit permezz ta’ sitt prinċipji, kif rikonoxxuti mill-QĠUE u mill-Qorti Ewropea tad-Drittijiet tal-Bniedem u żviluppati mill-Kunsill tal-Ewropa, jiġifieri: (i) il-legalità, li timplika proċess trasparenti, b’obbligu ta’ rendikont, demokratiku u pluralistiku għall-promulgazzjoni tal-liġijiet, (ii) iċ-ċertezza legali, (iii) il-projbizzjoni tal-eżerċitar arbitrarju tal-poter eżekuttiv, (iv) il-protezzjoni ġudizzjarja effettiva mill-qrati indipendenti u imparzjali, b’rimedju ġudizzjarju effettiv, inkluż ir-rispett għad-drittijiet fundamentali, (v) is-separazzjoni tal-poteri u (vi) l-ugwaljanza quddiem il-liġi;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Il-Kawża C-156/21 tal-QĠUE, ikkwotata hawn fuq, punt 128.</w:t>
            </w:r>
          </w:p>
        </w:tc>
      </w:tr>
    </w:tbl>
    <w:p>
      <w:r>
        <w:rPr>
          <w:rStyle w:val="HideTWBExt"/>
        </w:rPr>
        <w:t>&lt;/Amend&gt;</w:t>
      </w:r>
    </w:p>
    <w:p>
      <w:pPr>
        <w:pStyle w:val="AmNumberTabs"/>
      </w:pPr>
      <w:r>
        <w:rPr>
          <w:rStyle w:val="HideTWBExt"/>
        </w:rPr>
        <w:t>&lt;Amend&gt;</w:t>
      </w:r>
      <w:r>
        <w:t>Emenda</w:t>
      </w:r>
      <w:r>
        <w:tab/>
      </w:r>
      <w:r>
        <w:tab/>
      </w:r>
      <w:r>
        <w:rPr>
          <w:rStyle w:val="HideTWBExt"/>
        </w:rPr>
        <w:t>&lt;NumAm&gt;</w:t>
      </w:r>
      <w:r>
        <w:t>29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Jinnota li ksur potenzjali tal-istat tad-dritt jinġieb għall-attenzjoni tal-Kummissjoni permezz ta’ bażi ta’ evidenza wiesgħa, inklużi rapporti mill-Uffiċċju Ewropew kontra l-Frodi (OLAF), mill-Uffiċċju tal-Prosekutur Pubbliku Ewropew (UPPE) u mill-QEA, kif ukoll sottomissjonijiet minn organizzazzjonijiet tas-soċjetà ċivili, minn negozji u minn informaturi; jesprimi dispjaċir kbir għan-nuqqas ta’ trasparenza fir-rigward tal-valutazzjonijiet tal-Kummissjoni li ma jwasslux għall-proposta ta’ miżuri, jew li jwasslu għall-għażla ta’ strument ieħor;</w:t>
            </w:r>
          </w:p>
        </w:tc>
        <w:tc>
          <w:tcPr>
            <w:tcW w:w="4876" w:type="dxa"/>
            <w:tcBorders>
              <w:top w:val="nil"/>
              <w:left w:val="nil"/>
              <w:bottom w:val="nil"/>
              <w:right w:val="nil"/>
            </w:tcBorders>
          </w:tcPr>
          <w:p>
            <w:pPr>
              <w:pStyle w:val="Normal6a"/>
            </w:pPr>
            <w:r>
              <w:t>11.</w:t>
            </w:r>
            <w:r>
              <w:tab/>
            </w:r>
            <w:r>
              <w:t xml:space="preserve">Jinnota li ksur potenzjali tal-istat tad-dritt jinġieb għall-attenzjoni tal-Kummissjoni permezz ta’ bażi ta’ evidenza wiesgħa, inklużi </w:t>
            </w:r>
            <w:r>
              <w:rPr>
                <w:b/>
                <w:i/>
              </w:rPr>
              <w:t>riżoluzzjonijiet tal-Parlament,</w:t>
            </w:r>
            <w:r>
              <w:t xml:space="preserve"> rapporti mill-Uffiċċju Ewropew kontra l-Frodi (OLAF), mill-Uffiċċju tal-Prosekutur Pubbliku Ewropew (UPPE) u mill-QEA, kif ukoll sottomissjonijiet minn organizzazzjonijiet tas-soċjetà ċivili, minn negozji u minn informaturi; jesprimi dispjaċir kbir għan-nuqqas ta’ trasparenza fir-rigward tal-valutazzjonijiet tal-Kummissjoni li ma jwasslux għall-proposta ta’ miżuri, jew li jwasslu għall-għażla ta’ strument ieħor;</w:t>
            </w:r>
          </w:p>
        </w:tc>
      </w:tr>
    </w:tbl>
    <w:p>
      <w:r>
        <w:rPr>
          <w:rStyle w:val="HideTWBExt"/>
        </w:rPr>
        <w:t>&lt;/Amend&gt;</w:t>
      </w:r>
    </w:p>
    <w:p>
      <w:pPr>
        <w:pStyle w:val="AmNumberTabs"/>
      </w:pPr>
      <w:r>
        <w:rPr>
          <w:rStyle w:val="HideTWBExt"/>
        </w:rPr>
        <w:t>&lt;Amend&gt;</w:t>
      </w:r>
      <w:r>
        <w:t>Emenda</w:t>
      </w:r>
      <w:r>
        <w:tab/>
      </w:r>
      <w:r>
        <w:tab/>
      </w:r>
      <w:r>
        <w:rPr>
          <w:rStyle w:val="HideTWBExt"/>
        </w:rPr>
        <w:t>&lt;NumAm&gt;</w:t>
      </w:r>
      <w:r>
        <w:t>30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Jinnota li, sal-lum, għadd limitat ħafna biss ta’ partijiet ikkonċernati użaw il-formola standard tal-ilmenti tal-Kummissjoni annessa mal-Linji Gwida tal-2022; jirrakkomanda li l-Kummissjoni taċċetta </w:t>
            </w:r>
            <w:r>
              <w:rPr>
                <w:b/>
                <w:i/>
              </w:rPr>
              <w:t>l-ilmenti</w:t>
            </w:r>
            <w:r>
              <w:t xml:space="preserve"> fi kwalunkwe forma bil-miktub; jitlob, barra minn hekk, li jiġi stabbilit portal ta’ rapportar kunfidenzjali li permezz tiegħu l-partijiet ikkonċernati jistgħu jindikaw nuqqas ta’ konformità, u b’hekk jippermettu azzjoni ta’ rimedju rapida;</w:t>
            </w:r>
          </w:p>
        </w:tc>
        <w:tc>
          <w:tcPr>
            <w:tcW w:w="4876" w:type="dxa"/>
            <w:tcBorders>
              <w:top w:val="nil"/>
              <w:left w:val="nil"/>
              <w:bottom w:val="nil"/>
              <w:right w:val="nil"/>
            </w:tcBorders>
          </w:tcPr>
          <w:p>
            <w:pPr>
              <w:pStyle w:val="Normal6a"/>
            </w:pPr>
            <w:r>
              <w:t>12.</w:t>
            </w:r>
            <w:r>
              <w:tab/>
            </w:r>
            <w:r>
              <w:t xml:space="preserve">Jinnota li, sal-lum, għadd limitat ħafna biss ta’ partijiet ikkonċernati użaw il-formola standard tal-ilmenti tal-Kummissjoni annessa mal-Linji Gwida tal-2022; jirrakkomanda li l-Kummissjoni taċċetta </w:t>
            </w:r>
            <w:r>
              <w:rPr>
                <w:b/>
                <w:i/>
              </w:rPr>
              <w:t>lmenti</w:t>
            </w:r>
            <w:r>
              <w:t xml:space="preserve"> fi kwalunkwe forma bil-miktub</w:t>
            </w:r>
            <w:r>
              <w:rPr>
                <w:b/>
                <w:i/>
              </w:rPr>
              <w:t>, tirrikonoxxi minnufih il-wasla ta’ kwalunkwe lment bħal dan filwaqt li tattribwixxi numru ta’ referenza ċar għalih, u tipprovdi lill-ilmentatur aġġornament dwar is-segwitu mhux aktar tard minn sena wara s-sottomissjoni tal-ilment</w:t>
            </w:r>
            <w:r>
              <w:t xml:space="preserve">; jitlob, barra minn hekk, li jiġi stabbilit portal ta’ rapportar kunfidenzjali li permezz tiegħu l-partijiet ikkonċernati jistgħu jindikaw nuqqas ta’ konformità, u b’hekk jippermettu azzjoni ta’ rimedju rapida; </w:t>
            </w:r>
            <w:r>
              <w:rPr>
                <w:b/>
                <w:i/>
              </w:rPr>
              <w:t>jissottolinja l-importanza li jiżdiedu s-sensibilizzazzjoni u l-viżibbiltà tal-mekkaniżmu; iqis, barra minn hekk, li meta tirċievi lment, il-Kummissjoni tista’ tieħu approċċ li jkun aktar ta’ appoġġ u faċilitattiv biex tgħin tiżgura li l-ilment ikun fih l-elementi meħtieġa għall-valutazzjoni xierqa tiegħu;</w:t>
            </w:r>
          </w:p>
        </w:tc>
      </w:tr>
    </w:tbl>
    <w:p>
      <w:r>
        <w:rPr>
          <w:rStyle w:val="HideTWBExt"/>
        </w:rPr>
        <w:t>&lt;/Amend&gt;</w:t>
      </w:r>
    </w:p>
    <w:p>
      <w:pPr>
        <w:pStyle w:val="AmNumberTabs"/>
      </w:pPr>
      <w:r>
        <w:rPr>
          <w:rStyle w:val="HideTWBExt"/>
        </w:rPr>
        <w:t>&lt;Amend&gt;</w:t>
      </w:r>
      <w:r>
        <w:t>Emenda</w:t>
      </w:r>
      <w:r>
        <w:tab/>
      </w:r>
      <w:r>
        <w:tab/>
      </w:r>
      <w:r>
        <w:rPr>
          <w:rStyle w:val="HideTWBExt"/>
        </w:rPr>
        <w:t>&lt;NumAm&gt;</w:t>
      </w:r>
      <w:r>
        <w:t>31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Jesprimi dispjaċir li, minkejja sejbiet inkwetanti suċċessivi fir-rapporti annwali tal-Kummissjoni dwar l-istat tad-dritt, u mill-OLAF u mill-UPPE, li indikaw riskji baġitarji f’diversi Stati Membri, intbagħtu biss żewġ notifiki formali u l-miżuri deċiżi f’każ wieħed skont ir-Regolament dwar il-Kundizzjonalità;</w:t>
            </w:r>
          </w:p>
        </w:tc>
        <w:tc>
          <w:tcPr>
            <w:tcW w:w="4876" w:type="dxa"/>
            <w:tcBorders>
              <w:top w:val="nil"/>
              <w:left w:val="nil"/>
              <w:bottom w:val="nil"/>
              <w:right w:val="nil"/>
            </w:tcBorders>
          </w:tcPr>
          <w:p>
            <w:pPr>
              <w:pStyle w:val="Normal6a"/>
            </w:pPr>
            <w:r>
              <w:t>13.</w:t>
            </w:r>
            <w:r>
              <w:tab/>
            </w:r>
            <w:r>
              <w:t xml:space="preserve">Jesprimi dispjaċir li, minkejja sejbiet inkwetanti suċċessivi fir-rapporti annwali tal-Kummissjoni dwar l-istat tad-dritt </w:t>
            </w:r>
            <w:r>
              <w:rPr>
                <w:b/>
                <w:i/>
              </w:rPr>
              <w:t>kif ukoll sottomissjonijiet minn organizzazzjonijiet tas-soċjetà ċivili</w:t>
            </w:r>
            <w:r>
              <w:t xml:space="preserve">, u mill-OLAF u mill-UPPE, li indikaw riskji baġitarji f’diversi Stati Membri, intbagħtu biss żewġ notifiki formali u l-miżuri deċiżi f’każ wieħed skont ir-Regolament dwar il-Kundizzjonalità; </w:t>
            </w:r>
            <w:r>
              <w:rPr>
                <w:b/>
                <w:i/>
              </w:rPr>
              <w:t>jisħaq fuq il-ħtieġa ta’ kooperazzjoni aktar istituzzjonalizzata u strutturata bejn il-korpi rilevanti f’dan ir-rigward, sabiex jiġi żgurat l-użu effettiv tar-Regolament dwar il-Kundizzjonalità; jinnota b’mod partikolari, f’dan il-kuntest, il-fatt li sejbiet serji — li l-UPPE ta informazzjoni dwarhom lill-Kummissjoni fir-rigward tal-Polonja fl-2022 u fir-rigward tas-Slovakkja fl-2023 — ma wasslu għall-ebda azzjoni skont ir-Regolament dwar il-Kundizzjonalità;</w:t>
            </w:r>
          </w:p>
        </w:tc>
      </w:tr>
    </w:tbl>
    <w:p>
      <w:r>
        <w:rPr>
          <w:rStyle w:val="HideTWBExt"/>
        </w:rPr>
        <w:t>&lt;/Amend&gt;</w:t>
      </w:r>
    </w:p>
    <w:p>
      <w:pPr>
        <w:pStyle w:val="AmNumberTabs"/>
      </w:pPr>
      <w:r>
        <w:rPr>
          <w:rStyle w:val="HideTWBExt"/>
        </w:rPr>
        <w:t>&lt;Amend&gt;</w:t>
      </w:r>
      <w:r>
        <w:t>Emenda</w:t>
      </w:r>
      <w:r>
        <w:tab/>
      </w:r>
      <w:r>
        <w:tab/>
      </w:r>
      <w:r>
        <w:rPr>
          <w:rStyle w:val="HideTWBExt"/>
        </w:rPr>
        <w:t>&lt;NumAm&gt;</w:t>
      </w:r>
      <w:r>
        <w:t>32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Jisħaq li r-Regolament dwar il-Kundizzjonalità jrid jiġi applikat b’mod konsistenti fl-Istati Membri kollha; iħeġġeġ lill-Kummissjoni u, fejn rilevanti, lill-Kunsill, jaġixxu malajr u bi trasparenza sħiħa jekk tkun ġiet stabbilita rabta bejn il-ksur tal-istat tad-dritt u r-riskji għall-baġit tal-UE u l-Istat Membru kkonċernat ma jaġixxix biex jindirizza s-sitwazzjoni b’mod effettiv u sostenibbli; </w:t>
            </w:r>
            <w:r>
              <w:rPr>
                <w:b/>
                <w:i/>
              </w:rPr>
              <w:t>jisħaq</w:t>
            </w:r>
            <w:r>
              <w:t xml:space="preserve"> li d-djalogi informali twal ma </w:t>
            </w:r>
            <w:r>
              <w:rPr>
                <w:b/>
                <w:i/>
              </w:rPr>
              <w:t>għandhomx</w:t>
            </w:r>
            <w:r>
              <w:t xml:space="preserve"> isiru sostitut għal azzjoni deċiżiva, u li l-imblokk politiku jew </w:t>
            </w:r>
            <w:r>
              <w:rPr>
                <w:b/>
                <w:i/>
              </w:rPr>
              <w:t>ir-rikatt irid jiġi evitat</w:t>
            </w:r>
            <w:r>
              <w:t>;</w:t>
            </w:r>
          </w:p>
        </w:tc>
        <w:tc>
          <w:tcPr>
            <w:tcW w:w="4876" w:type="dxa"/>
            <w:tcBorders>
              <w:top w:val="nil"/>
              <w:left w:val="nil"/>
              <w:bottom w:val="nil"/>
              <w:right w:val="nil"/>
            </w:tcBorders>
          </w:tcPr>
          <w:p>
            <w:pPr>
              <w:pStyle w:val="Normal6a"/>
            </w:pPr>
            <w:r>
              <w:t>14.</w:t>
            </w:r>
            <w:r>
              <w:tab/>
            </w:r>
            <w:r>
              <w:t xml:space="preserve">Jisħaq li r-Regolament dwar il-Kundizzjonalità jrid jiġi applikat b’mod konsistenti fl-Istati Membri kollha; iħeġġeġ lill-Kummissjoni u, fejn rilevanti, lill-Kunsill, jaġixxu malajr u bi trasparenza sħiħa jekk tkun ġiet stabbilita rabta bejn il-ksur tal-istat tad-dritt u r-riskji għall-baġit tal-UE u l-Istat Membru kkonċernat ma jaġixxix biex jindirizza s-sitwazzjoni b’mod effettiv u sostenibbli; </w:t>
            </w:r>
            <w:r>
              <w:rPr>
                <w:b/>
                <w:i/>
              </w:rPr>
              <w:t>jinsisti</w:t>
            </w:r>
            <w:r>
              <w:t xml:space="preserve"> li d-djalogi informali twal ma </w:t>
            </w:r>
            <w:r>
              <w:rPr>
                <w:b/>
                <w:i/>
              </w:rPr>
              <w:t>jridux</w:t>
            </w:r>
            <w:r>
              <w:t xml:space="preserve"> isiru sostitut għal azzjoni deċiżiva, u li l-imblokk politiku jew </w:t>
            </w:r>
            <w:r>
              <w:rPr>
                <w:b/>
                <w:i/>
              </w:rPr>
              <w:t>il-politika tar-riskju kkalkulat iridu jiġu evitati;</w:t>
            </w:r>
            <w:r>
              <w:rPr>
                <w:b/>
                <w:i/>
              </w:rPr>
              <w:t xml:space="preserve"> itenni li l-istat tad-dritt, taħt l-ebda ċirkostanza, ma jista’ jitqies bħala soġġett għal kompromessi politiċi;</w:t>
            </w:r>
          </w:p>
        </w:tc>
      </w:tr>
    </w:tbl>
    <w:p>
      <w:r>
        <w:rPr>
          <w:rStyle w:val="HideTWBExt"/>
        </w:rPr>
        <w:t>&lt;/Amend&gt;</w:t>
      </w:r>
    </w:p>
    <w:p>
      <w:pPr>
        <w:pStyle w:val="AmNumberTabs"/>
      </w:pPr>
      <w:r>
        <w:rPr>
          <w:rStyle w:val="HideTWBExt"/>
        </w:rPr>
        <w:t>&lt;Amend&gt;</w:t>
      </w:r>
      <w:r>
        <w:t>Emenda</w:t>
      </w:r>
      <w:r>
        <w:tab/>
      </w:r>
      <w:r>
        <w:tab/>
      </w:r>
      <w:r>
        <w:rPr>
          <w:rStyle w:val="HideTWBExt"/>
        </w:rPr>
        <w:t>&lt;NumAm&gt;</w:t>
      </w:r>
      <w:r>
        <w:t>33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Jenfasizza li l-valutazzjonijiet tal-Kummissjoni jridu jkunu imparzjali u ġusti, iqisu l-fatti kollha disponibbli, u jirrispettaw il-prinċipji ta’ oġġettività, nondiskriminazzjoni u ugwaljanza tal-Istati Membri qabel it-Trattati; jissottolinja li l-għażla u l-iskala tal-miżuri ta’ protezzjoni tal-baġit iridu jirrispettaw il-prinċipju tal-proporzjonalità stabbilit fl-Artikolu 5 tar-Regolament dwar il-Kundizzjonalità, filwaqt li jitqiesu s-serjetà, it-tul ta’ żmien u r-rikorrenza tal-ksur, il-kooperazzjoni tal-Istat Membru kkonċernat u r-riskju finanzjarju konkret, kif ukoll l-impatt fuq ir-riċevituri finali u l-benefiċjarji leġittimi, b’mod partikolari dawk iżgħar; jistieden lill-Kummissjoni tiżvela l-metodoloġija kwantitattiva għall-kejl tar-riskju li diġà tapplika internament, kif irrakkomandat mill-QEA;</w:t>
            </w:r>
          </w:p>
        </w:tc>
        <w:tc>
          <w:tcPr>
            <w:tcW w:w="4876" w:type="dxa"/>
            <w:tcBorders>
              <w:top w:val="nil"/>
              <w:left w:val="nil"/>
              <w:bottom w:val="nil"/>
              <w:right w:val="nil"/>
            </w:tcBorders>
          </w:tcPr>
          <w:p>
            <w:pPr>
              <w:pStyle w:val="Normal6a"/>
            </w:pPr>
            <w:r>
              <w:t>15.</w:t>
            </w:r>
            <w:r>
              <w:tab/>
            </w:r>
            <w:r>
              <w:t xml:space="preserve">Jenfasizza li l-valutazzjonijiet tal-Kummissjoni jridu jkunu imparzjali u ġusti, iqisu l-fatti kollha disponibbli, u jirrispettaw il-prinċipji ta’ oġġettività, nondiskriminazzjoni u ugwaljanza tal-Istati Membri qabel it-Trattati; jissottolinja li l-għażla u l-iskala tal-miżuri ta’ protezzjoni tal-baġit iridu jirrispettaw il-prinċipju tal-proporzjonalità stabbilit fl-Artikolu 5 tar-Regolament dwar il-Kundizzjonalità, filwaqt li jitqiesu s-serjetà, it-tul ta’ żmien u r-rikorrenza tal-ksur, il-kooperazzjoni tal-Istat Membru kkonċernat u r-riskju finanzjarju konkret, kif ukoll l-impatt fuq ir-riċevituri finali u l-benefiċjarji leġittimi, b’mod partikolari dawk iżgħar; jistieden lill-Kummissjoni tiżvela l-metodoloġija kwantitattiva għall-kejl tar-riskju li diġà tapplika internament, kif irrakkomandat mill-QEA; </w:t>
            </w:r>
            <w:r>
              <w:rPr>
                <w:b/>
                <w:i/>
              </w:rPr>
              <w:t>ifakkar fis-sejbiet inkwetanti tal-QEA fir-rapport speċjali 03/2024 tagħha, b’mod partikolari li l-kunsiderazzjonijiet politiċi għandhom rwol ewlieni fid-deċiżjonijiet li ma jiġux imblukkati jew rilaxxati fondi, li ntwera speċifikament mill-fatt li l-Kummissjoni, fil-passat, ma għamlitx użu mir-Regolament dwar il-Kundizzjonalità fir-rigward tal-Polonja u ma għamlitx użu minnu fir-rigward tas-Slovakkja, anke fejn sabet ksur tal-istat tad-dritt relatat mal-baġit fir-rigward ta’ dawk l-Istati Membri fil-kuntest ta’ strumenti oħra;</w:t>
            </w:r>
          </w:p>
        </w:tc>
      </w:tr>
    </w:tbl>
    <w:p>
      <w:r>
        <w:rPr>
          <w:rStyle w:val="HideTWBExt"/>
        </w:rPr>
        <w:t>&lt;/Amend&gt;</w:t>
      </w:r>
    </w:p>
    <w:p>
      <w:pPr>
        <w:pStyle w:val="AmNumberTabs"/>
      </w:pPr>
      <w:r>
        <w:rPr>
          <w:rStyle w:val="HideTWBExt"/>
        </w:rPr>
        <w:t>&lt;Amend&gt;</w:t>
      </w:r>
      <w:r>
        <w:t>Emenda</w:t>
      </w:r>
      <w:r>
        <w:tab/>
      </w:r>
      <w:r>
        <w:tab/>
      </w:r>
      <w:r>
        <w:rPr>
          <w:rStyle w:val="HideTWBExt"/>
        </w:rPr>
        <w:t>&lt;NumAm&gt;</w:t>
      </w:r>
      <w:r>
        <w:t>34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Jifhem li xi aspetti tar-Regolament dwar il-Kundizzjonalità jagħmluha diffiċli li jiġi skattat il-mekkaniżmu, b’mod partikolari r-rekwiżit li tintwera rabta diretta biżżejjed bejn il-ksur tal-istat tad-dritt u riskju serju ta’ effett negattiv fuq il-baġit tal-UE; jisħaq, madankollu, li tali rekwiżiti ma għandhomx jintużaw bħala ġustifikazzjoni għan-nuqqas ta’ attivazzjoni tal-mekkaniżmu;</w:t>
            </w:r>
          </w:p>
        </w:tc>
        <w:tc>
          <w:tcPr>
            <w:tcW w:w="4876" w:type="dxa"/>
            <w:tcBorders>
              <w:top w:val="nil"/>
              <w:left w:val="nil"/>
              <w:bottom w:val="nil"/>
              <w:right w:val="nil"/>
            </w:tcBorders>
          </w:tcPr>
          <w:p>
            <w:pPr>
              <w:pStyle w:val="Normal6a"/>
            </w:pPr>
            <w:r>
              <w:t>16.</w:t>
            </w:r>
            <w:r>
              <w:tab/>
            </w:r>
            <w:r>
              <w:t>Jifhem li xi aspetti tar-Regolament dwar il-Kundizzjonalità jagħmluha diffiċli li jiġi skattat il-mekkaniżmu, b’mod partikolari r-rekwiżit li tintwera rabta diretta biżżejjed bejn il-ksur tal-istat tad-dritt u riskju serju ta’ effett negattiv fuq il-baġit tal-UE; jisħaq, madankollu, li tali rekwiżiti ma għandhomx jintużaw bħala ġustifikazzjoni għan-nuqqas ta’ attivazzjoni tal-mekkaniżmu;</w:t>
            </w:r>
            <w:r>
              <w:rPr>
                <w:b/>
                <w:i/>
              </w:rPr>
              <w:t xml:space="preserve"> jiddispjaċih, f’dan il-kuntest, li l-Kummissjoni tapplika l-aktar interpretazzjoni stretta tar-Regolament, li biha teskludi saħansitra ksur serju li jaffettwa l-fondi tal-UE mill-applikazzjoni tiegħu; </w:t>
            </w:r>
            <w:r>
              <w:rPr>
                <w:b/>
                <w:i/>
              </w:rPr>
              <w:t>itenni li r-Regolament jistabbilixxi b’mod ċar li l-periklu tal-indipendenza tal-ġudikatura u l-limitazzjoni tad-disponibbiltà u l-effettività tar-rimedji legali, inkluż permezz ta’ regoli proċedurali restrittivi u n-nuqqas ta’ implimentazzjoni tas-sentenzi, jikkostitwixxu ksur tal-prinċipji tal-istat tad-dritt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ĠU C 465, 6.12.2022, p. 147.</w:t>
            </w:r>
          </w:p>
        </w:tc>
      </w:tr>
    </w:tbl>
    <w:p>
      <w:r>
        <w:rPr>
          <w:rStyle w:val="HideTWBExt"/>
        </w:rPr>
        <w:t>&lt;/Amend&gt;</w:t>
      </w:r>
    </w:p>
    <w:p>
      <w:pPr>
        <w:pStyle w:val="AmNumberTabs"/>
      </w:pPr>
      <w:r>
        <w:rPr>
          <w:rStyle w:val="HideTWBExt"/>
        </w:rPr>
        <w:t>&lt;Amend&gt;</w:t>
      </w:r>
      <w:r>
        <w:t>Emenda</w:t>
      </w:r>
      <w:r>
        <w:tab/>
      </w:r>
      <w:r>
        <w:tab/>
      </w:r>
      <w:r>
        <w:rPr>
          <w:rStyle w:val="HideTWBExt"/>
        </w:rPr>
        <w:t>&lt;NumAm&gt;</w:t>
      </w:r>
      <w:r>
        <w:t>35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Jissottolinja li anke meta n-nuqqasijiet fl-istat tad-dritt ikunu ta’ natura ġenerali u jaffettwaw is-sistema legali ta’ Stat Membru kollu kemm hu, bħal ksur tal-indipendenza tal-ġudikatura, l-effettività tal-prosekuzzjoni, l-istituzzjonijiet supremi tal-awditjar jew il-pluraliżmu tal-media, dawn in-nuqqasijiet jistgħu jaffettwaw il-baġit tal-UE b’mod dirett u sever billi jneħħu salvagwardji sistemiċi kontra attivitajiet frawdolenti u attivitajiet illegali oħra; jenfasizza li l-kunċett ta’ effett dirett fuq il-baġit tal-UE ma jridx jiġi interpretat bħala li jirrestrinġi l-kamp ta’ applikazzjoni tar-Regolament dwar il-Kundizzjonalità biss għal kwistjonijiet speċifikament relatati mal-implimentazzjoni tal-baġit, bħal-leġiżlazzjoni dwar l-akkwist pubbliku, peress li dak l-approċċ jimmotiva biss lill-atturi b’mala fide biex inaqqsu s-salvagwardji tal-istat tad-dritt b’mod aktar wiesa’;</w:t>
            </w:r>
          </w:p>
        </w:tc>
      </w:tr>
    </w:tbl>
    <w:p>
      <w:r>
        <w:rPr>
          <w:rStyle w:val="HideTWBExt"/>
        </w:rPr>
        <w:t>&lt;/Amend&gt;</w:t>
      </w:r>
    </w:p>
    <w:p>
      <w:pPr>
        <w:pStyle w:val="AmNumberTabs"/>
      </w:pPr>
      <w:r>
        <w:rPr>
          <w:rStyle w:val="HideTWBExt"/>
        </w:rPr>
        <w:t>&lt;Amend&gt;</w:t>
      </w:r>
      <w:r>
        <w:t>Emenda</w:t>
      </w:r>
      <w:r>
        <w:tab/>
      </w:r>
      <w:r>
        <w:tab/>
      </w:r>
      <w:r>
        <w:rPr>
          <w:rStyle w:val="HideTWBExt"/>
        </w:rPr>
        <w:t>&lt;NumAm&gt;</w:t>
      </w:r>
      <w:r>
        <w:t>36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16b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Ifakkar li l-kooperazzjoni ineffettiva jew imdewma ta’ Stat Membru mal-UPPE jew mal-OLAF tikkostitwixxi raġunijiet għal azzjoni skont ir-Regolament dwar il-Kundizzjonalità; jisħaq, barra minn hekk, fuq il-ħtieġa li jiġu żviluppati forom aktar konkreti ta’ kooperazzjoni mal-korpi u l-aġenziji rilevanti tal-UE biex tiġi żgurata l-protezzjoni effettiva tal-interessi finanzjarji tal-UE; jitlob, barra minn hekk, li l-adeżjoni mal-UPPE tiġi stabbilita bħala kundizzjoni għall-pajjiżi kandidati li jfittxu li jissieħbu fl-UE, sabiex jiġu evitati sitwazzjonijiet li fihom xi Stati Membri jirrifjutaw li jieħdu sehem f’dan il-mekkaniżmu;</w:t>
            </w:r>
          </w:p>
        </w:tc>
      </w:tr>
    </w:tbl>
    <w:p>
      <w:r>
        <w:rPr>
          <w:rStyle w:val="HideTWBExt"/>
        </w:rPr>
        <w:t>&lt;/Amend&gt;</w:t>
      </w:r>
    </w:p>
    <w:p>
      <w:pPr>
        <w:pStyle w:val="AmNumberTabs"/>
      </w:pPr>
      <w:r>
        <w:rPr>
          <w:rStyle w:val="HideTWBExt"/>
        </w:rPr>
        <w:t>&lt;Amend&gt;</w:t>
      </w:r>
      <w:r>
        <w:t>Emenda</w:t>
      </w:r>
      <w:r>
        <w:tab/>
      </w:r>
      <w:r>
        <w:tab/>
      </w:r>
      <w:r>
        <w:rPr>
          <w:rStyle w:val="HideTWBExt"/>
        </w:rPr>
        <w:t>&lt;NumAm&gt;</w:t>
      </w:r>
      <w:r>
        <w:t>37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16c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Jisħaq li, bħala parti mill-isforzi tagħha biex tiżgura l-aktar protezzjoni effiċjenti tal-interessi finanzjarji tagħha, l-UE bdiet ħidma preparatorja biex tirrieżamina l-arkitettura tagħha kontra l-frodi, bil-ħsieb li ttejjeb l-effiċjenzi fost l-atturi rilevanti u tevita d-duplikazzjoni f’kull stadju taċ-ċiklu kontra l-frodi, inklużi l-prevenzjoni, id-detezzjoni, l-investigazzjoni, il-korrezzjoni u l-irkupru tal-ammonti kkonċernati; jissottolinja li din il-ħidma għandha tkun marbuta mill-qrib mal-implimentazzjoni tar-Regolament dwar il-Kundizzjonalità, sabiex jiġu żgurati l-konsistenza u l-komplementarjetà fis-salvagwardja tal-baġit tal-UE;</w:t>
            </w:r>
          </w:p>
        </w:tc>
      </w:tr>
    </w:tbl>
    <w:p>
      <w:r>
        <w:rPr>
          <w:rStyle w:val="HideTWBExt"/>
        </w:rPr>
        <w:t>&lt;/Amend&gt;</w:t>
      </w:r>
    </w:p>
    <w:p>
      <w:pPr>
        <w:pStyle w:val="AmNumberTabs"/>
      </w:pPr>
      <w:r>
        <w:rPr>
          <w:rStyle w:val="HideTWBExt"/>
        </w:rPr>
        <w:t>&lt;Amend&gt;</w:t>
      </w:r>
      <w:r>
        <w:t>Emenda</w:t>
      </w:r>
      <w:r>
        <w:tab/>
      </w:r>
      <w:r>
        <w:tab/>
      </w:r>
      <w:r>
        <w:rPr>
          <w:rStyle w:val="HideTWBExt"/>
        </w:rPr>
        <w:t>&lt;NumAm&gt;</w:t>
      </w:r>
      <w:r>
        <w:t>38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16d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Jinnota li, skont l-evalwazzjoni tal-Kummissjoni fl-2024, il-proċedura skont ir-Regolament dwar il-Kundizzjonalità hija relattivament rapida, iżda li l-limiti ta’ żmien għall-Kummissjoni ftit li xejn jippermettu flessibbiltà u f’ċerti fażijiet huma partikolarment diffiċli; jisħaq li, kif enfasizzat fir-rapport tal-Kummissjoni, l-effikaċja tal-proċedura tista’ tittejjeb jekk, meta jissottometti l-osservazzjonijiet tiegħu lill-Kummissjoni, l-Istat Membru jressaq ukoll il-fehmiet, jekk ikun hemm, tal-entitajiet tal-gvern ikkonċernati mill-miżuri, u b’hekk jippermetti valutazzjoni aktar granulari tal-kwistjonijiet involuti u tal-miżuri li jkunu l-aktar effettivi; jisħaq li, jekk jitqies pertinenti, għandu tal-anqas ikun hemm ċarezza dwar kif dan ir-rekwiżit għandu jinftiehem u jiġi applikat;</w:t>
            </w:r>
          </w:p>
        </w:tc>
      </w:tr>
    </w:tbl>
    <w:p>
      <w:r>
        <w:rPr>
          <w:rStyle w:val="HideTWBExt"/>
        </w:rPr>
        <w:t>&lt;/Amend&gt;</w:t>
      </w:r>
    </w:p>
    <w:p>
      <w:pPr>
        <w:pStyle w:val="AmNumberTabs"/>
      </w:pPr>
      <w:r>
        <w:rPr>
          <w:rStyle w:val="HideTWBExt"/>
        </w:rPr>
        <w:t>&lt;Amend&gt;</w:t>
      </w:r>
      <w:r>
        <w:t>Emenda</w:t>
      </w:r>
      <w:r>
        <w:tab/>
      </w:r>
      <w:r>
        <w:tab/>
      </w:r>
      <w:r>
        <w:rPr>
          <w:rStyle w:val="HideTWBExt"/>
        </w:rPr>
        <w:t>&lt;NumAm&gt;</w:t>
      </w:r>
      <w:r>
        <w:t>39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Jinnota li l-Kunsill iddeċieda li jissospendi 55 % tal-impenji baġitarji għal tliet programmi operazzjonali skont il-politika ta’ koeżjoni għall-Ungerija; jindika l-analiżi legali</w:t>
            </w:r>
            <w:r>
              <w:rPr>
                <w:vertAlign w:val="superscript"/>
              </w:rPr>
              <w:t>17</w:t>
            </w:r>
            <w:r>
              <w:t xml:space="preserve"> li turi li n-natura sistemika u persistenti tal-ksur tal-istat tad-dritt fl-Ungerija kellha twassal għal sospensjoni ferm ogħla tal-finanzjament tal-UE, sabiex jiġi protett il-baġit tal-UE f’konformità mal-prinċipju tal-proporzjonalità; jinnota li r-rivalutazzjonijiet tal-Kummissjoni ta’ Diċembru 2023 u ta’ Diċembru 2024 tas-sitwazzjoni fl-Ungerija t-tnejn li huma kkonkludew li s-sitwazzjoni li wasslet għall-adozzjoni ta’ miżuri ma ġietx irrimedjata; jistieden lill-Kummissjoni tivvaluta u tindirizza r-rigress tal-istat tad-dritt jew billi tipproponi miżuri addizzjonali jew billi taġġorna dawk eżistenti;</w:t>
            </w:r>
          </w:p>
        </w:tc>
        <w:tc>
          <w:tcPr>
            <w:tcW w:w="4876" w:type="dxa"/>
            <w:tcBorders>
              <w:top w:val="nil"/>
              <w:left w:val="nil"/>
              <w:bottom w:val="nil"/>
              <w:right w:val="nil"/>
            </w:tcBorders>
          </w:tcPr>
          <w:p>
            <w:pPr>
              <w:pStyle w:val="Normal6a"/>
            </w:pPr>
            <w:r>
              <w:t>17.</w:t>
            </w:r>
            <w:r>
              <w:tab/>
            </w:r>
            <w:r>
              <w:t xml:space="preserve">Jinnota li l-Kunsill iddeċieda li jissospendi 55 % tal-impenji baġitarji għal tliet programmi operazzjonali skont il-politika ta’ koeżjoni għall-Ungerija </w:t>
            </w:r>
            <w:r>
              <w:rPr>
                <w:b/>
                <w:i/>
              </w:rPr>
              <w:t>u li jipprojbixxi l-parteċipazzjoni f’impenji legali ġodda ma’ trusts ta’ interess pubbliku Ungeriżi u entitajiet miżmuma minnhom</w:t>
            </w:r>
            <w:r>
              <w:t>; jindika l-analiżi legali</w:t>
            </w:r>
            <w:r>
              <w:rPr>
                <w:vertAlign w:val="superscript"/>
              </w:rPr>
              <w:t>17</w:t>
            </w:r>
            <w:r>
              <w:t xml:space="preserve"> li turi li n-natura sistemika u persistenti tal-ksur tal-istat tad-dritt fl-Ungerija kellha twassal għal sospensjoni ferm ogħla tal-finanzjament tal-UE, sabiex jiġi protett il-baġit tal-UE f’konformità mal-prinċipju tal-proporzjonalità; jinnota li r-rivalutazzjonijiet tal-Kummissjoni ta’ Diċembru 2023 u ta’ Diċembru 2024 tas-sitwazzjoni fl-Ungerija t-tnejn li huma kkonkludew li s-sitwazzjoni li wasslet għall-adozzjoni ta’ miżuri ma ġietx irrimedjata; jistieden lill-Kummissjoni tivvaluta u tindirizza r-rigress tal-istat tad-dritt jew billi tipproponi miżuri addizzjonali jew billi taġġorna dawk eżistenti </w:t>
            </w:r>
            <w:r>
              <w:rPr>
                <w:b/>
                <w:i/>
              </w:rPr>
              <w:t>biex iġġibhom f’konformità mal-analiżi legali msemmija hawn fuq</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Studju mitlub minn Daniel Freund, MEP fil-grupp tal-Verts/ALE – Lane Scheppele, K., Kelmen, R. D., Morijn, J., “Freezing all EU funds to Hungary: Analiżi legali tar-raġuni għaliex sospensjoni ta’ 100 % hija “proporzjonata” u “xierqa” skont ir-Regolament 2020/2092 dwar reġim ġenerali ta’ kondizzjonalità għall-protezzjoni tal-baġit tal-Unjoni”, Mejju 2022.</w:t>
            </w:r>
          </w:p>
        </w:tc>
        <w:tc>
          <w:tcPr>
            <w:tcW w:w="4876" w:type="dxa"/>
            <w:tcBorders>
              <w:top w:val="nil"/>
              <w:left w:val="nil"/>
              <w:bottom w:val="nil"/>
              <w:right w:val="nil"/>
            </w:tcBorders>
          </w:tcPr>
          <w:p>
            <w:pPr>
              <w:pStyle w:val="Normal6a"/>
            </w:pPr>
            <w:r>
              <w:rPr>
                <w:vertAlign w:val="superscript"/>
              </w:rPr>
              <w:t>17</w:t>
            </w:r>
            <w:r>
              <w:t xml:space="preserve"> </w:t>
            </w:r>
            <w:r>
              <w:t>Studju mitlub minn Daniel Freund, MEP fil-grupp tal-Verts/ALE – Lane Scheppele, K., Kelmen, R. D., Morijn, J., “Freezing all EU funds to Hungary: Analiżi legali tar-raġuni għaliex sospensjoni ta’ 100 % hija “proporzjonata” u “xierqa” skont ir-Regolament 2020/2092 dwar reġim ġenerali ta’ kondizzjonalità għall-protezzjoni tal-baġit tal-Unjoni”, Mejju 2022.</w:t>
            </w:r>
          </w:p>
        </w:tc>
      </w:tr>
    </w:tbl>
    <w:p>
      <w:r>
        <w:rPr>
          <w:rStyle w:val="HideTWBExt"/>
        </w:rPr>
        <w:t>&lt;/Amend&gt;</w:t>
      </w:r>
    </w:p>
    <w:p>
      <w:pPr>
        <w:pStyle w:val="AmNumberTabs"/>
      </w:pPr>
      <w:r>
        <w:rPr>
          <w:rStyle w:val="HideTWBExt"/>
        </w:rPr>
        <w:t>&lt;Amend&gt;</w:t>
      </w:r>
      <w:r>
        <w:t>Emenda</w:t>
      </w:r>
      <w:r>
        <w:tab/>
      </w:r>
      <w:r>
        <w:tab/>
      </w:r>
      <w:r>
        <w:rPr>
          <w:rStyle w:val="HideTWBExt"/>
        </w:rPr>
        <w:t>&lt;NumAm&gt;</w:t>
      </w:r>
      <w:r>
        <w:t>40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Ifakkar li r-Regolament dwar il-Kundizzjonalità jiddikjara b’mod espliċitu li jikkomplementa l-għodod eżistenti għall-protezzjoni tal-baġit u li għandu jiġi applikat “fejn proċeduri oħra stabbiliti fil-leġiżlazzjoni tal-Unjoni ma jippermettux li l-baġit tal-Unjoni jiġi protett b’mod aktar effettiv”; jesprimi dispjaċir għall-interpretazzjoni tal-Kummissjoni li, abbażi ta’ din il-formulazzjoni, l-istrument għandu jintuża biss bħala miżura tal-aħħar għażla; jinnota bi tħassib li l-monitoraġġ tal-istat tad-dritt fi ħdan il-Kummissjoni huwa maqsum bejn servizzi differenti, u xi drabi dan jirriżulta f’azzjoni inkonsistenti u mdewma;</w:t>
            </w:r>
          </w:p>
        </w:tc>
        <w:tc>
          <w:tcPr>
            <w:tcW w:w="4876" w:type="dxa"/>
            <w:tcBorders>
              <w:top w:val="nil"/>
              <w:left w:val="nil"/>
              <w:bottom w:val="nil"/>
              <w:right w:val="nil"/>
            </w:tcBorders>
          </w:tcPr>
          <w:p>
            <w:pPr>
              <w:pStyle w:val="Normal6a"/>
            </w:pPr>
            <w:r>
              <w:t>20.</w:t>
            </w:r>
            <w:r>
              <w:tab/>
            </w:r>
            <w:r>
              <w:t xml:space="preserve">Ifakkar li r-Regolament dwar il-Kundizzjonalità jiddikjara b’mod espliċitu li jikkomplementa l-għodod eżistenti għall-protezzjoni tal-baġit u li għandu jiġi applikat “fejn proċeduri oħra stabbiliti fil-leġiżlazzjoni tal-Unjoni ma jippermettux li l-baġit tal-Unjoni jiġi protett b’mod aktar effettiv”; jesprimi dispjaċir għall-interpretazzjoni tal-Kummissjoni li, abbażi ta’ din il-formulazzjoni, l-istrument għandu jintuża biss bħala miżura tal-aħħar għażla; jinnota bi tħassib li l-monitoraġġ tal-istat tad-dritt fi ħdan il-Kummissjoni huwa maqsum bejn servizzi differenti, u xi drabi dan jirriżulta f’azzjoni inkonsistenti u mdewma </w:t>
            </w:r>
            <w:r>
              <w:rPr>
                <w:b/>
                <w:i/>
              </w:rPr>
              <w:t>jew f’ebda azzjoni</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41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Iqis li mhuwiex ċar kif ir-Regolament dwar il-Kundizzjonalità jinteraġixxi ma’ strumenti oħra mis-sett ta’ għodod tal-istat tad-dritt fil-prattika, b’mod partikolari l-kundizzjoni abilitanti orizzontali fuq il-Karta skont ir-Regolament dwar id-Dispożizzjonijiet Komuni u s-“superstadji importanti” relatati mal-istat tad-dritt skont l-RRF; jesprimi dispjaċir għall-fatt li f’Diċembru 2023, il-Kummissjoni vvalutat li l-Ungerija kienet issodisfat il-kundizzjoni abilitanti orizzontali dwar l-indipendenza ġudizzjarja, filwaqt li żammet il-miżuri imposti skont ir-Regolament dwar il-Kundizzjonalità; jissottolinja li dan in-nuqqas ta’ koerenza jfixkel l-iskrutinju demokratiku tal-applikazzjoni tagħhom;</w:t>
            </w:r>
          </w:p>
        </w:tc>
        <w:tc>
          <w:tcPr>
            <w:tcW w:w="4876" w:type="dxa"/>
            <w:tcBorders>
              <w:top w:val="nil"/>
              <w:left w:val="nil"/>
              <w:bottom w:val="nil"/>
              <w:right w:val="nil"/>
            </w:tcBorders>
          </w:tcPr>
          <w:p>
            <w:pPr>
              <w:pStyle w:val="Normal6a"/>
            </w:pPr>
            <w:r>
              <w:t>21.</w:t>
            </w:r>
            <w:r>
              <w:tab/>
            </w:r>
            <w:r>
              <w:t xml:space="preserve">Iqis li mhuwiex ċar kif ir-Regolament dwar il-Kundizzjonalità jinteraġixxi ma’ strumenti oħra mis-sett ta’ għodod tal-istat tad-dritt fil-prattika, b’mod partikolari l-kundizzjoni abilitanti orizzontali fuq il-Karta skont ir-Regolament dwar id-Dispożizzjonijiet Komuni u s-“superstadji importanti” relatati mal-istat tad-dritt skont l-RRF; jesprimi dispjaċir għall-fatt li f’Diċembru 2023, il-Kummissjoni vvalutat li l-Ungerija kienet issodisfat il-kundizzjoni abilitanti orizzontali dwar l-indipendenza ġudizzjarja, filwaqt li żammet il-miżuri imposti skont ir-Regolament dwar il-Kundizzjonalità; </w:t>
            </w:r>
            <w:r>
              <w:rPr>
                <w:b/>
                <w:i/>
              </w:rPr>
              <w:t>jinnota wkoll, bħala eżempju, li fil-Polonja ċertu fondi ma ġewx rilaxxati minħabba li kundizzjoni abilitanti orizzontali ma kinitx ġiet issodisfata jew minħabba li s-“superstadji importanti” ma kinux intlaħqu, filwaqt li r-raġunijiet li għalihom ir-Regolament dwar il-Kundizzjonalità ma ġiex applikat ma ġewx dokumentati;</w:t>
            </w:r>
            <w:r>
              <w:t xml:space="preserve"> jissottolinja li dan in-nuqqas ta’ koerenza jfixkel l-iskrutinju demokratiku tal-applikazzjoni tagħhom; </w:t>
            </w:r>
            <w:r>
              <w:rPr>
                <w:b/>
                <w:i/>
              </w:rPr>
              <w:t>itenni l-pożizzjoni tiegħu li d-deċiżjoni tal-Kummissjoni hija illegali, kif allegat fl-azzjoni pendenti tal-Parlament kontra l-Kummissjoni fil-Kawża C-225/24, b’mod partikolari minħabba l-ksur ta’ bosta dispożizzjonijiet sostantivi tar-Regolament dwar Dispożizzjonijiet Komuni, u d-dmir tal-Kummissjoni li tiddikjara r-raġunijiet għad-deċiżjoni tagħha kif ukoll l-użu ħażin ta’ poter tagħha fil-forma ta’ kompromess politiku għat-tneħħija mill-Ungerija tal-veto tagħha fuq ċerti deċiżjonijiet urġenti li kienu jirrikjedu unanimità fil-Kunsill Ewropew;</w:t>
            </w:r>
          </w:p>
        </w:tc>
      </w:tr>
    </w:tbl>
    <w:p>
      <w:r>
        <w:rPr>
          <w:rStyle w:val="HideTWBExt"/>
        </w:rPr>
        <w:t>&lt;/Amend&gt;</w:t>
      </w:r>
    </w:p>
    <w:p>
      <w:pPr>
        <w:pStyle w:val="AmNumberTabs"/>
      </w:pPr>
      <w:r>
        <w:rPr>
          <w:rStyle w:val="HideTWBExt"/>
        </w:rPr>
        <w:t>&lt;Amend&gt;</w:t>
      </w:r>
      <w:r>
        <w:t>Emenda</w:t>
      </w:r>
      <w:r>
        <w:tab/>
      </w:r>
      <w:r>
        <w:tab/>
      </w:r>
      <w:r>
        <w:rPr>
          <w:rStyle w:val="HideTWBExt"/>
        </w:rPr>
        <w:t>&lt;NumAm&gt;</w:t>
      </w:r>
      <w:r>
        <w:t>42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Iwissi</w:t>
            </w:r>
            <w:r>
              <w:t xml:space="preserve"> li </w:t>
            </w:r>
            <w:r>
              <w:rPr>
                <w:b/>
                <w:i/>
              </w:rPr>
              <w:t>r-riallokazzjoni jew it-tibdil ta’ approprjazzjonijiet iffriżati għal programmi jew objettivi oħra jindikaw lil gvernijiet mhux konformi li t-telf jista’ jiġi kkumpensat xi mkien ieħor</w:t>
            </w:r>
            <w:r>
              <w:t>; iħeġġeġ lill-Kummissjoni, għalhekk, biex tirrifjuta kwalunkwe talba għal trasferiment għal programmi jew prijoritajiet oħra taħt l-istess programm li twassal biex jiġu evitati s-sospensjonijiet skont ir-Regolament dwar il-Kundizzjonalità; jitlob li l-Kummissjoni tibgħat lill-Parlament it-test sħiħ ta’ kwalunkwe tali talba ta’ trasferiment sabiex l-iskrutinju demokratiku jkun jista’ jippreċedi, mhux isegwi, id-deċiżjoni tal-Kummissjoni;</w:t>
            </w:r>
          </w:p>
        </w:tc>
        <w:tc>
          <w:tcPr>
            <w:tcW w:w="4876" w:type="dxa"/>
            <w:tcBorders>
              <w:top w:val="nil"/>
              <w:left w:val="nil"/>
              <w:bottom w:val="nil"/>
              <w:right w:val="nil"/>
            </w:tcBorders>
          </w:tcPr>
          <w:p>
            <w:pPr>
              <w:pStyle w:val="Normal6a"/>
            </w:pPr>
            <w:r>
              <w:t>23.</w:t>
            </w:r>
            <w:r>
              <w:tab/>
            </w:r>
            <w:r>
              <w:rPr>
                <w:b/>
                <w:i/>
              </w:rPr>
              <w:t>Jisħaq</w:t>
            </w:r>
            <w:r>
              <w:t xml:space="preserve"> li </w:t>
            </w:r>
            <w:r>
              <w:rPr>
                <w:b/>
                <w:i/>
              </w:rPr>
              <w:t>l-ebda trasferiment, bidla fil-programmi jew riorganizzazzjoni, inklużi impenji u pagamenti, ma jistgħu jintużaw biex jikkumpensaw għall-miżuri skont ir-Regolament dwar il-Kundizzjonalità jew ir-Regolament dwar Dispożizzjonijiet Komuni</w:t>
            </w:r>
            <w:r>
              <w:t xml:space="preserve">; iħeġġeġ lill-Kummissjoni, għalhekk, biex tirrifjuta kwalunkwe talba għal trasferiment għal programmi jew prijoritajiet oħra taħt l-istess programm li twassal biex jiġu evitati s-sospensjonijiet skont ir-Regolament dwar il-Kundizzjonalità </w:t>
            </w:r>
            <w:r>
              <w:rPr>
                <w:b/>
                <w:i/>
              </w:rPr>
              <w:t>u r-Regolament dwar Dispożizzjonijiet Komuni</w:t>
            </w:r>
            <w:r>
              <w:t>; jitlob li l-Kummissjoni tibgħat lill-Parlament it-test sħiħ ta’ kwalunkwe tali talba ta’ trasferiment sabiex l-iskrutinju demokratiku jkun jista’ jippreċedi, mhux isegwi, id-deċiżjoni tal-Kummissjoni;</w:t>
            </w:r>
            <w:r>
              <w:rPr>
                <w:b/>
                <w:i/>
              </w:rPr>
              <w:t xml:space="preserve"> ifakkar fl-impenn li ħadet il-Kummissjoni matul l-adozzjoni tal-pakkett rivedut tal-politika ta’ koeżjoni biex tiżgura li l-mekkaniżmi l-ġodda ta’ flessibbiltà ma jkunux jistgħu jintużaw biex jiġu evitati l-miżuri adottati skont ir-Regolament dwar il-Kundizzjonalità jew ir-Regolament dwar Dispożizzjonijiet Komuni; jistieden lill-Kummissjoni u lill-Istati Membri jirrispettaw bis-sħiħ dan l-impenn fil-prattika, sabiex jippreservaw l-effett ta’ deterrent u l-integrità tal-qafas ta’ kundizzjonalità tal-istat tad-dritt; jisħaq li tali trasferimenti għandhom jitqiesu bħala mhux permissibbli bħala kwistjoni ta’ liġi; jistieden lill-Kummissjoni tiżgura li jkun hemm fis-seħħ salvagwardji legali għal dan l-għan, inkluż fil-qafas tal-QFP 2028-2034;</w:t>
            </w:r>
          </w:p>
        </w:tc>
      </w:tr>
    </w:tbl>
    <w:p>
      <w:r>
        <w:rPr>
          <w:rStyle w:val="HideTWBExt"/>
        </w:rPr>
        <w:t>&lt;/Amend&gt;</w:t>
      </w:r>
    </w:p>
    <w:p>
      <w:pPr>
        <w:pStyle w:val="AmNumberTabs"/>
      </w:pPr>
      <w:r>
        <w:rPr>
          <w:rStyle w:val="HideTWBExt"/>
        </w:rPr>
        <w:t>&lt;Amend&gt;</w:t>
      </w:r>
      <w:r>
        <w:t>Emenda</w:t>
      </w:r>
      <w:r>
        <w:tab/>
      </w:r>
      <w:r>
        <w:tab/>
      </w:r>
      <w:r>
        <w:rPr>
          <w:rStyle w:val="HideTWBExt"/>
        </w:rPr>
        <w:t>&lt;NumAm&gt;</w:t>
      </w:r>
      <w:r>
        <w:t>43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Jilqa’ l-proposta tal-Kummissjoni li tissaħħaħ ir-rabta bejn ir-rakkomandazzjonijiet tar-rapport dwar l-istat tad-dritt u l-appoġġ finanzjarju skont il-QFP 2028-2034 u li, fir-rigward tal-istat tad-dritt, jiġi ġġeneralizzat il-pjan ta’ azzjoni ta’ “riforma għall-fondi” żviluppat skont il-Faċilità għall-Irkupru u r-Reżiljenza wara l-COVID-19 skont il-pjanijiet ta’ sħubija nazzjonali u reġjonali; jisħaq li l-evalwazzjoni tal-kundizzjonijiet u l-parametri referenzjarji tal-istat tad-dritt skont il-QFP 2028-2034 trid tkun ibbażata fuq għarfien espert imparzjali dwar is-suġġett aktar milli ftehimiet politiċi, u li dan l-objettiv irid jiġi żgurat u ssalvagwardjat fil-proċedura għat-twettiq ta’ dik l-evalwazzjoni u biex jinsiltu konklużjonijiet xierqa mill-eżitu tagħha; jinnota, f’dan il-kuntest, li d-deċiżjonijiet indirizzati lill-Istati Membri rigward il-konformità mal-prinċipji tal-istat tad-dritt u d-drittijiet fundamentali għandhom jiġu adottati mill-Kummissjoni bħala l-gwardjana tat-Trattati aktar milli mill-Kunsill, li jista’ jsibha bi tqila li jieħu azzjoni li jkollha effett negattiv fuq l-Istati Membri; jindika li l-proċedura tal-att delegat tippermetti azzjonijiet rapidi min-naħa tal-Kummissjoni, filwaqt li tiżgura skrutinju politiku mill-Parlament u mill-Kunsill;</w:t>
            </w:r>
          </w:p>
        </w:tc>
      </w:tr>
    </w:tbl>
    <w:p>
      <w:r>
        <w:rPr>
          <w:rStyle w:val="HideTWBExt"/>
        </w:rPr>
        <w:t>&lt;/Amend&gt;</w:t>
      </w:r>
    </w:p>
    <w:p>
      <w:pPr>
        <w:pStyle w:val="AmNumberTabs"/>
      </w:pPr>
      <w:r>
        <w:rPr>
          <w:rStyle w:val="HideTWBExt"/>
        </w:rPr>
        <w:t>&lt;Amend&gt;</w:t>
      </w:r>
      <w:r>
        <w:t>Emenda</w:t>
      </w:r>
      <w:r>
        <w:tab/>
      </w:r>
      <w:r>
        <w:tab/>
      </w:r>
      <w:r>
        <w:rPr>
          <w:rStyle w:val="HideTWBExt"/>
        </w:rPr>
        <w:t>&lt;NumAm&gt;</w:t>
      </w:r>
      <w:r>
        <w:t>44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Itenni li l-Parlament jieħu r-rwol ta’ skrutinju tiegħu fir-rigward tal-implimentazzjoni tar-Regolament dwar il-Kundizzjonalità b’mod serju ħafna; jirrikonoxxi li l-Kummissjoni kkonformat mal-obbligu legali tagħha li tinforma lill-Parlament minnufih bi kwalunkwe miżura proposta, adottata jew imneħħija; jesprimi dispjaċir għall-fatt li l-Kummissjoni pprovdiet biss informazzjoni minima assoluta, mingħajr dettalji ewlenin, u, anke fuq talba tal-Parlament, ma kkondividitx id-dokumentazzjoni sħiħa; jisħaq li l-kondiviżjoni tal-informazzjoni f’waqtha, komprensiva u proattiva hija essenzjali għall-Parlament biex jeżerċita r-responsabbiltajiet baġitarji u ta’ sorveljanza tiegħu b’mod effettiv;</w:t>
            </w:r>
          </w:p>
        </w:tc>
        <w:tc>
          <w:tcPr>
            <w:tcW w:w="4876" w:type="dxa"/>
            <w:tcBorders>
              <w:top w:val="nil"/>
              <w:left w:val="nil"/>
              <w:bottom w:val="nil"/>
              <w:right w:val="nil"/>
            </w:tcBorders>
          </w:tcPr>
          <w:p>
            <w:pPr>
              <w:pStyle w:val="Normal6a"/>
            </w:pPr>
            <w:r>
              <w:t>25.</w:t>
            </w:r>
            <w:r>
              <w:tab/>
            </w:r>
            <w:r>
              <w:t xml:space="preserve">Itenni li l-Parlament jieħu r-rwol ta’ skrutinju tiegħu fir-rigward tal-implimentazzjoni tar-Regolament dwar il-Kundizzjonalità b’mod serju ħafna </w:t>
            </w:r>
            <w:r>
              <w:rPr>
                <w:b/>
                <w:i/>
              </w:rPr>
              <w:t>u jfakkar li, skont l-Artikolu 8 tar-Regolament, il-Kummissjoni għandha tinforma minnufih lill-Parlament dwar kwalunkwe miżura proposta, adottata jew imneħħija skont l-Artikoli 5, 6 u 7 tar-Regolament</w:t>
            </w:r>
            <w:r>
              <w:t>; jirrikonoxxi li l-Kummissjoni kkonformat mal-obbligu legali tagħha li tinforma lill-Parlament minnufih bi kwalunkwe miżura proposta, adottata jew imneħħija; jesprimi dispjaċir għall-fatt li l-Kummissjoni pprovdiet biss informazzjoni minima assoluta, mingħajr dettalji ewlenin, u, anke fuq talba tal-Parlament, ma kkondividitx id-dokumentazzjoni sħiħa; jisħaq li l-kondiviżjoni tal-informazzjoni f’waqtha, komprensiva u proattiva hija essenzjali għall-Parlament biex jeżerċita r-responsabbiltajiet baġitarji u ta’ sorveljanza tiegħu b’mod effettiv;</w:t>
            </w:r>
          </w:p>
        </w:tc>
      </w:tr>
    </w:tbl>
    <w:p>
      <w:r>
        <w:rPr>
          <w:rStyle w:val="HideTWBExt"/>
        </w:rPr>
        <w:t>&lt;/Amend&gt;</w:t>
      </w:r>
    </w:p>
    <w:p>
      <w:pPr>
        <w:pStyle w:val="AmNumberTabs"/>
      </w:pPr>
      <w:r>
        <w:rPr>
          <w:rStyle w:val="HideTWBExt"/>
        </w:rPr>
        <w:t>&lt;Amend&gt;</w:t>
      </w:r>
      <w:r>
        <w:t>Emenda</w:t>
      </w:r>
      <w:r>
        <w:tab/>
      </w:r>
      <w:r>
        <w:tab/>
      </w:r>
      <w:r>
        <w:rPr>
          <w:rStyle w:val="HideTWBExt"/>
        </w:rPr>
        <w:t>&lt;NumAm&gt;</w:t>
      </w:r>
      <w:r>
        <w:t>45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Iħeġġeġ lill-Kummissjoni taqbel dwar mezz ta’ komunikazzjoni sikur biex tiżgura l-aċċess għal tali informazzjoni għall-korpi tal-Parlament responsabbli, filwaqt li tissalvagwardja l-kunfidenzjalità tagħha;</w:t>
            </w:r>
          </w:p>
        </w:tc>
        <w:tc>
          <w:tcPr>
            <w:tcW w:w="4876" w:type="dxa"/>
            <w:tcBorders>
              <w:top w:val="nil"/>
              <w:left w:val="nil"/>
              <w:bottom w:val="nil"/>
              <w:right w:val="nil"/>
            </w:tcBorders>
          </w:tcPr>
          <w:p>
            <w:pPr>
              <w:pStyle w:val="Normal6a"/>
            </w:pPr>
            <w:r>
              <w:rPr>
                <w:b/>
                <w:i/>
              </w:rPr>
              <w:t>imħassar</w:t>
            </w:r>
          </w:p>
        </w:tc>
      </w:tr>
    </w:tbl>
    <w:p>
      <w:r>
        <w:rPr>
          <w:rStyle w:val="HideTWBExt"/>
        </w:rPr>
        <w:t>&lt;/Amend&gt;</w:t>
      </w:r>
    </w:p>
    <w:p>
      <w:pPr>
        <w:pStyle w:val="AmNumberTabs"/>
      </w:pPr>
      <w:r>
        <w:rPr>
          <w:rStyle w:val="HideTWBExt"/>
        </w:rPr>
        <w:t>&lt;Amend&gt;</w:t>
      </w:r>
      <w:r>
        <w:t>Emenda</w:t>
      </w:r>
      <w:r>
        <w:tab/>
      </w:r>
      <w:r>
        <w:tab/>
      </w:r>
      <w:r>
        <w:rPr>
          <w:rStyle w:val="HideTWBExt"/>
        </w:rPr>
        <w:t>&lt;NumAm&gt;</w:t>
      </w:r>
      <w:r>
        <w:t>46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Jemmen, b’mod aktar ġenerali, li d-djalogu interistituzzjonali u l-kooperazzjoni fil-livell tal-UE dwar l-istat tad-dritt għandhom jissaħħu; jiddispjaċih għall-fatt li l-Kummissjoni u l-Kunsill s’issa rrifjutaw l-offerta tiegħu li jidħlu fi ftehim interistituzzjonali dwar id-demokrazija, l-istat tad-dritt u d-drittijiet fundamentali; jafferma mill-ġdid ir-rieda tiegħu li jissokta bit-taħditiet dwar ftehim bħal dan;</w:t>
            </w:r>
          </w:p>
        </w:tc>
      </w:tr>
    </w:tbl>
    <w:p>
      <w:r>
        <w:rPr>
          <w:rStyle w:val="HideTWBExt"/>
        </w:rPr>
        <w:t>&lt;/Amend&gt;</w:t>
      </w:r>
    </w:p>
    <w:p>
      <w:pPr>
        <w:pStyle w:val="AmNumberTabs"/>
      </w:pPr>
      <w:r>
        <w:rPr>
          <w:rStyle w:val="HideTWBExt"/>
        </w:rPr>
        <w:t>&lt;Amend&gt;</w:t>
      </w:r>
      <w:r>
        <w:t>Emenda</w:t>
      </w:r>
      <w:r>
        <w:tab/>
      </w:r>
      <w:r>
        <w:tab/>
      </w:r>
      <w:r>
        <w:rPr>
          <w:rStyle w:val="HideTWBExt"/>
        </w:rPr>
        <w:t>&lt;NumAm&gt;</w:t>
      </w:r>
      <w:r>
        <w:t>47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28b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Ifakkar li, skont l-Artikolu 9 tar-Regolament dwar il-Kundizzjonalità, il-Kummissjoni għandha tirrapporta sat-12 ta’ Jannar 2024 lill-Parlament Ewropew u lill-Kunsill dwar l-applikazzjoni tiegħu, b’mod partikolari dwar l-effettività tal-miżuri adottati; jinnota li l-Kummissjoni wettqet dan l-eżerċizzju ta’ rappurtar kif xieraq; iħeġġeġ lill-Kummissjoni — peress li r-Regolament huwa maħsub li japplika mingħajr limitu ta’ żmien — tippreżenta rapport bħal dan darba fis-sena;</w:t>
            </w:r>
          </w:p>
        </w:tc>
      </w:tr>
    </w:tbl>
    <w:p>
      <w:r>
        <w:rPr>
          <w:rStyle w:val="HideTWBExt"/>
        </w:rPr>
        <w:t>&lt;/Amend&gt;</w:t>
      </w:r>
    </w:p>
    <w:p>
      <w:pPr>
        <w:pStyle w:val="AmNumberTabs"/>
      </w:pPr>
      <w:r>
        <w:rPr>
          <w:rStyle w:val="HideTWBExt"/>
        </w:rPr>
        <w:t>&lt;Amend&gt;</w:t>
      </w:r>
      <w:r>
        <w:t>Emenda</w:t>
      </w:r>
      <w:r>
        <w:tab/>
      </w:r>
      <w:r>
        <w:tab/>
      </w:r>
      <w:r>
        <w:rPr>
          <w:rStyle w:val="HideTWBExt"/>
        </w:rPr>
        <w:t>&lt;NumAm&gt;</w:t>
      </w:r>
      <w:r>
        <w:t>48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Ifakkar fid-dispożizzjonijiet speċifiċi fir-Regolament dwar il-Kundizzjonalità u fil-Linji Gwida tal-2022 li jobbligaw lill-UE tissalvagwardja l-interessi leġittimi tar-riċevituri finali u tal-benefiċjarji mill-konsegwenzi finanzjarji tas-sanzjonijiet imposti fuq il-gvernijiet tagħhom; ifakkar, b’mod partikolari, fl-obbligu tal-Istati Membri soġġetti għal miżuri skont ir-Regolament li jkomplu jirrispettaw l-impenji kollha lejn ir-riċevituri finali u l-benefiċjarji;</w:t>
            </w:r>
          </w:p>
        </w:tc>
        <w:tc>
          <w:tcPr>
            <w:tcW w:w="4876" w:type="dxa"/>
            <w:tcBorders>
              <w:top w:val="nil"/>
              <w:left w:val="nil"/>
              <w:bottom w:val="nil"/>
              <w:right w:val="nil"/>
            </w:tcBorders>
          </w:tcPr>
          <w:p>
            <w:pPr>
              <w:pStyle w:val="Normal6a"/>
            </w:pPr>
            <w:r>
              <w:t>29.</w:t>
            </w:r>
            <w:r>
              <w:tab/>
            </w:r>
            <w:r>
              <w:t xml:space="preserve">Ifakkar fid-dispożizzjonijiet speċifiċi fir-Regolament dwar il-Kundizzjonalità u fil-Linji Gwida tal-2022 li jobbligaw lill-UE tissalvagwardja l-interessi leġittimi tar-riċevituri finali u tal-benefiċjarji mill-konsegwenzi finanzjarji tas-sanzjonijiet imposti fuq il-gvernijiet tagħhom; </w:t>
            </w:r>
            <w:r>
              <w:rPr>
                <w:b/>
                <w:i/>
              </w:rPr>
              <w:t>jesprimi tħassib li s-sospensjoni tal-fondi tal-UE tista’ tintuża b’mod ħażin bħala arma politika kontra s-soċjetà ċivili u l-awtoritajiet lokali;</w:t>
            </w:r>
            <w:r>
              <w:t xml:space="preserve"> ifakkar, b’mod partikolari, fl-obbligu tal-Istati Membri soġġetti għal miżuri skont ir-Regolament li jkomplu jirrispettaw l-impenji kollha lejn ir-riċevituri finali u l-benefiċjarji;</w:t>
            </w:r>
          </w:p>
        </w:tc>
      </w:tr>
    </w:tbl>
    <w:p>
      <w:r>
        <w:rPr>
          <w:rStyle w:val="HideTWBExt"/>
        </w:rPr>
        <w:t>&lt;/Amend&gt;</w:t>
      </w:r>
    </w:p>
    <w:p>
      <w:pPr>
        <w:pStyle w:val="AmNumberTabs"/>
      </w:pPr>
      <w:r>
        <w:rPr>
          <w:rStyle w:val="HideTWBExt"/>
        </w:rPr>
        <w:t>&lt;Amend&gt;</w:t>
      </w:r>
      <w:r>
        <w:t>Emenda</w:t>
      </w:r>
      <w:r>
        <w:tab/>
      </w:r>
      <w:r>
        <w:tab/>
      </w:r>
      <w:r>
        <w:rPr>
          <w:rStyle w:val="HideTWBExt"/>
        </w:rPr>
        <w:t>&lt;NumAm&gt;</w:t>
      </w:r>
      <w:r>
        <w:t>49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Jesprimi dispjaċir li, fil-prattika, is-salvagwardji previsti jibqgħu fil-biċċa l-kbira tagħhom teoretiċi, peress li l-proċeduri għall-pagament dirett jew għar-riprogrammar tal-fondi huma ineffiċjenti, u l-komunikazzjoni lir-riċevituri finali u lill-benefiċjarji hija sporadika; jirrikonoxxi li jeħtieġ li jsir aktar fil-livell tal-UE biex tittejjeb il-protezzjoni tal-interessi leġittimi tar-riċevituri finali u tal-benefiċjarji u biex jiġi żgurat l-aċċess tagħhom għall-finanzjament tal-UE;</w:t>
            </w:r>
          </w:p>
        </w:tc>
        <w:tc>
          <w:tcPr>
            <w:tcW w:w="4876" w:type="dxa"/>
            <w:tcBorders>
              <w:top w:val="nil"/>
              <w:left w:val="nil"/>
              <w:bottom w:val="nil"/>
              <w:right w:val="nil"/>
            </w:tcBorders>
          </w:tcPr>
          <w:p>
            <w:pPr>
              <w:pStyle w:val="Normal6a"/>
            </w:pPr>
            <w:r>
              <w:t>30.</w:t>
            </w:r>
            <w:r>
              <w:tab/>
            </w:r>
            <w:r>
              <w:t xml:space="preserve">Jesprimi dispjaċir li, fil-prattika, is-salvagwardji previsti jibqgħu fil-biċċa l-kbira tagħhom teoretiċi, peress li l-proċeduri għall-pagament dirett jew għar-riprogrammar tal-fondi huma ineffiċjenti, u l-komunikazzjoni lir-riċevituri finali u lill-benefiċjarji hija sporadika; </w:t>
            </w:r>
            <w:r>
              <w:rPr>
                <w:b/>
                <w:i/>
              </w:rPr>
              <w:t xml:space="preserve">jilqa’ l-intenzjoni ddikjarata tal-Kummissjoni fil-proposta tagħha għall-QFP 2028-2034 li ssaħħaħ il-protezzjoni tar-riċevituri u l-benefiċjarji finali; jissottolinja, madankollu, li dan l-impenn irid jissarraf f’salvagwardji effettivi fil-prattika, u jisħaq li, minħabba n-nuqqasijiet osservati fil-qafas attwali, se jkun jeħtieġ li jiġu definiti mekkaniżmi ċari u konkreti biex jiġi żgurat li l-benefiċjarji jkunu protetti b’mod ġenwin; jesprimi tħassib li l-istruttura proposta tal-QFP 2028-2034 tista’ tagħmilha saħansitra aktar diffiċli biex jiġu protetti r-riċevituri finali u l-benefiċjarji billi l-gvernijiet tal-Istati Membri jingħataw aktar kontroll fuq il-ġestjoni tal-fondi tal-UE; </w:t>
            </w:r>
            <w:r>
              <w:t>jirrikonoxxi li jeħtieġ li jsir aktar fil-livell tal-UE biex tittejjeb il-protezzjoni tal-interessi leġittimi tar-riċevituri finali u tal-benefiċjarji u biex jiġi żgurat l-aċċess tagħhom għall-finanzjament tal-UE;</w:t>
            </w:r>
            <w:r>
              <w:rPr>
                <w:b/>
                <w:i/>
              </w:rPr>
              <w:t xml:space="preserve"> jieħu nota tal-Artikolu 15(4) tal-abbozz ta’ Regolament dwar Fond għas-Sħubijiet Nazzjonali u Reġjonali (FSNR) u jisħaq li għandu jkun hemm l-obbligu li l-approprjazzjonijiet li jikkorrispondu għad-diżimpenji skont ir-reġim ta’ kundizzjonalità jsiru disponibbli għall-użu taħt strumenti jew programmi oħra tal-UE implimentati taħt ġestjoni diretta jew indiretta, b’mod partikolari dawk li jikkontribwixxu għall-appoġġ tad-demokrazija, tas-soċjetà ċivili u tal-valuri tal-Unjoni jew tal-ġlieda kontra l-korruzzjoni, u tal-anqas parzjalment fi ħdan l-Istat Membru fejn ikun seħħ il-ksur tal-istat tad-dritt;</w:t>
            </w:r>
          </w:p>
        </w:tc>
      </w:tr>
    </w:tbl>
    <w:p>
      <w:r>
        <w:rPr>
          <w:rStyle w:val="HideTWBExt"/>
        </w:rPr>
        <w:t>&lt;/Amend&gt;</w:t>
      </w:r>
    </w:p>
    <w:p>
      <w:pPr>
        <w:pStyle w:val="AmNumberTabs"/>
      </w:pPr>
      <w:r>
        <w:rPr>
          <w:rStyle w:val="HideTWBExt"/>
        </w:rPr>
        <w:t>&lt;Amend&gt;</w:t>
      </w:r>
      <w:r>
        <w:t>Emenda</w:t>
      </w:r>
      <w:r>
        <w:tab/>
      </w:r>
      <w:r>
        <w:tab/>
      </w:r>
      <w:r>
        <w:rPr>
          <w:rStyle w:val="HideTWBExt"/>
        </w:rPr>
        <w:t>&lt;NumAm&gt;</w:t>
      </w:r>
      <w:r>
        <w:t>50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Josserva bi tħassib li f’xi Stati Membri, l-istrutturi oligarkiċi kleptokratiċi qed jieħdu kontroll b’mod sistematiku ta’ setturi strateġikament importanti, bħas-settur bankarju, tal-bejgħ bl-imnut, tal-ikel, tal-farmaċewtika, tal-kostruzzjoni u tat-teknoloġija, li jista’ joħloq riskju għall-protezzjoni tal-baġit tal-UE, pereżempju meta tali strutturi japplikaw għall-fondi tal-UE; jissottolinja l-importanza li jiġu ggarantiti opportunitajiet indaqs għall-applikanti kollha biex jaċċessaw kemm il-finanzjament tal-UE, kif ukoll mekkaniżmi imparzjali u effettivi għall-ilmenti;</w:t>
            </w:r>
          </w:p>
        </w:tc>
        <w:tc>
          <w:tcPr>
            <w:tcW w:w="4876" w:type="dxa"/>
            <w:tcBorders>
              <w:top w:val="nil"/>
              <w:left w:val="nil"/>
              <w:bottom w:val="nil"/>
              <w:right w:val="nil"/>
            </w:tcBorders>
          </w:tcPr>
          <w:p>
            <w:pPr>
              <w:pStyle w:val="Normal6a"/>
            </w:pPr>
            <w:r>
              <w:t>31.</w:t>
            </w:r>
            <w:r>
              <w:tab/>
            </w:r>
            <w:r>
              <w:t>Josserva bi tħassib li f’xi Stati Membri, l-istrutturi oligarkiċi kleptokratiċi qed jieħdu kontroll b’mod sistematiku ta’ setturi strateġikament importanti, bħas-settur bankarju, tal-bejgħ bl-imnut, tal-ikel, tal-farmaċewtika, tal-kostruzzjoni u tat-teknoloġija, li jista’ joħloq riskju għall-protezzjoni tal-baġit tal-UE, pereżempju meta tali strutturi japplikaw għall-fondi tal-UE; jissottolinja l-importanza li jiġu ggarantiti opportunitajiet indaqs għall-applikanti kollha biex jaċċessaw kemm il-finanzjament tal-UE, kif ukoll mekkaniżmi imparzjali u effettivi għall-ilmenti;</w:t>
            </w:r>
            <w:r>
              <w:rPr>
                <w:b/>
                <w:i/>
              </w:rPr>
              <w:t xml:space="preserve"> iħeġġeġ lill-Kummissjoni twettaq awditi sistematiċi tad-distribuzzjoni tal-fondi tal-UE biex tipprevjeni l-kunflitti ta’ interess, l-istrumentalizzazzjoni politika jew l-opaċità fl-allokazzjoni tal-fondi fil-livell nazzjonali;</w:t>
            </w:r>
          </w:p>
        </w:tc>
      </w:tr>
    </w:tbl>
    <w:p>
      <w:r>
        <w:rPr>
          <w:rStyle w:val="HideTWBExt"/>
        </w:rPr>
        <w:t>&lt;/Amend&gt;</w:t>
      </w:r>
    </w:p>
    <w:p>
      <w:pPr>
        <w:pStyle w:val="AmNumberTabs"/>
      </w:pPr>
      <w:r>
        <w:rPr>
          <w:rStyle w:val="HideTWBExt"/>
        </w:rPr>
        <w:t>&lt;Amend&gt;</w:t>
      </w:r>
      <w:r>
        <w:t>Emenda</w:t>
      </w:r>
      <w:r>
        <w:tab/>
      </w:r>
      <w:r>
        <w:tab/>
      </w:r>
      <w:r>
        <w:rPr>
          <w:rStyle w:val="HideTWBExt"/>
        </w:rPr>
        <w:t>&lt;NumAm&gt;</w:t>
      </w:r>
      <w:r>
        <w:t>51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Iqis</w:t>
            </w:r>
            <w:r>
              <w:rPr>
                <w:b/>
                <w:i/>
              </w:rPr>
              <w:t>, abbażi tal-esperjenza limitata, li r-reġim ta’ kundizzjonalità kien għodda effettiva</w:t>
            </w:r>
            <w:r>
              <w:t xml:space="preserve"> għall-protezzjoni tal-interessi finanzjarji tal-UE kontra r-riskji li jirriżultaw minn ksur tal-istat tad-dritt; jinsisti, </w:t>
            </w:r>
            <w:r>
              <w:rPr>
                <w:b/>
                <w:i/>
              </w:rPr>
              <w:t>għalhekk</w:t>
            </w:r>
            <w:r>
              <w:t>, li r-reġim għadu jiġi applikat għall-baġit kollu tal-UE, inklużi strumenti bbażati fuq il-prestazzjoni, sabiex l-ebda linja tan-nefqa tal-UE ma tevita skrutinju effettiv tal-istat tad-dritt; iħeġġeġ lill-Kummissjoni tiżgura li r-Regolament dwar il-Kundizzjonalità jiġi applikat b’mod konsistenti għall-baġit tal-UE, irrispettivament mill-mudell ta’ finanzjament tiegħu;</w:t>
            </w:r>
          </w:p>
        </w:tc>
        <w:tc>
          <w:tcPr>
            <w:tcW w:w="4876" w:type="dxa"/>
            <w:tcBorders>
              <w:top w:val="nil"/>
              <w:left w:val="nil"/>
              <w:bottom w:val="nil"/>
              <w:right w:val="nil"/>
            </w:tcBorders>
          </w:tcPr>
          <w:p>
            <w:pPr>
              <w:pStyle w:val="Normal6a"/>
            </w:pPr>
            <w:r>
              <w:t>32.</w:t>
            </w:r>
            <w:r>
              <w:tab/>
            </w:r>
            <w:r>
              <w:t xml:space="preserve">Iqis </w:t>
            </w:r>
            <w:r>
              <w:rPr>
                <w:b/>
                <w:i/>
              </w:rPr>
              <w:t>li jista’ jkun kmieni wisq biex isiru dikjarazzjonijiet definittivi dwar l-effettività ta’ din l-għodda</w:t>
            </w:r>
            <w:r>
              <w:t xml:space="preserve"> għall-protezzjoni tal-interessi finanzjarji tal-UE kontra r-riskji li jirriżultaw minn ksur tal-istat tad-dritt </w:t>
            </w:r>
            <w:r>
              <w:rPr>
                <w:b/>
                <w:i/>
              </w:rPr>
              <w:t>u jisħaq li, bħal kwalunkwe strument ieħor, din l-għodda għadha tista’ tittejjeb</w:t>
            </w:r>
            <w:r>
              <w:t xml:space="preserve">; jinsisti, </w:t>
            </w:r>
            <w:r>
              <w:rPr>
                <w:b/>
                <w:i/>
              </w:rPr>
              <w:t>madankollu</w:t>
            </w:r>
            <w:r>
              <w:t>, li r-reġim għadu jiġi applikat għall-baġit kollu tal-UE, inklużi strumenti bbażati fuq il-prestazzjoni, sabiex l-ebda linja tan-nefqa tal-UE ma tevita skrutinju effettiv tal-istat tad-dritt; iħeġġeġ lill-Kummissjoni tiżgura li r-Regolament dwar il-Kundizzjonalità jiġi applikat b’mod konsistenti għall-baġit tal-UE, irrispettivament mill-mudell ta’ finanzjament tiegħu;</w:t>
            </w:r>
          </w:p>
        </w:tc>
      </w:tr>
    </w:tbl>
    <w:p>
      <w:r>
        <w:rPr>
          <w:rStyle w:val="HideTWBExt"/>
        </w:rPr>
        <w:t>&lt;/Amend&gt;</w:t>
      </w:r>
    </w:p>
    <w:p>
      <w:pPr>
        <w:pStyle w:val="AmNumberTabs"/>
      </w:pPr>
      <w:r>
        <w:rPr>
          <w:rStyle w:val="HideTWBExt"/>
        </w:rPr>
        <w:t>&lt;Amend&gt;</w:t>
      </w:r>
      <w:r>
        <w:t>Emenda</w:t>
      </w:r>
      <w:r>
        <w:tab/>
      </w:r>
      <w:r>
        <w:tab/>
      </w:r>
      <w:r>
        <w:rPr>
          <w:rStyle w:val="HideTWBExt"/>
        </w:rPr>
        <w:t>&lt;NumAm&gt;</w:t>
      </w:r>
      <w:r>
        <w:t>52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Jistieden lill-Kummissjoni tirrevedi b’mod urġenti l-Linji Gwida tal-2022 sabiex: jiġi indirizzat ir-riskju ta’ devjazzjoni jew riallokazzjoni tal-fondi b’mod aktar dirett; tiġi ppubblikata metodoloġija pass pass li turi kif </w:t>
            </w:r>
            <w:r>
              <w:rPr>
                <w:b/>
                <w:i/>
              </w:rPr>
              <w:t>tiġi kkalkolata l-proporzjonalità</w:t>
            </w:r>
            <w:r>
              <w:t>; tiġi ddefinita “rabta diretta biżżejjed” bejn ksur tal-istat tad-dritt u riskju baġitarju; ikunu meħtieġa rabtiet aktar ċari bejn il-ksur u l-miżuri adottati, inkluż permezz ta’ standards aktar preċiżi ta’ dak il-ksur; u jiġu pprovduti soluzzjonijiet ċari u passi prattiċi għal meta jseħħ it-treġġigħ lura;</w:t>
            </w:r>
          </w:p>
        </w:tc>
        <w:tc>
          <w:tcPr>
            <w:tcW w:w="4876" w:type="dxa"/>
            <w:tcBorders>
              <w:top w:val="nil"/>
              <w:left w:val="nil"/>
              <w:bottom w:val="nil"/>
              <w:right w:val="nil"/>
            </w:tcBorders>
          </w:tcPr>
          <w:p>
            <w:pPr>
              <w:pStyle w:val="Normal6a"/>
            </w:pPr>
            <w:r>
              <w:t>34.</w:t>
            </w:r>
            <w:r>
              <w:tab/>
            </w:r>
            <w:r>
              <w:t xml:space="preserve">Jistieden lill-Kummissjoni tirrevedi b’mod urġenti l-Linji Gwida tal-2022 sabiex: jiġi indirizzat ir-riskju ta’ devjazzjoni jew riallokazzjoni tal-fondi b’mod aktar dirett; tiġi ppubblikata metodoloġija pass pass li turi kif </w:t>
            </w:r>
            <w:r>
              <w:rPr>
                <w:b/>
                <w:i/>
              </w:rPr>
              <w:t>il-proporzjonalità u l-effettività tal-miżuri korrettivi huma stmati jew ikkalkulati</w:t>
            </w:r>
            <w:r>
              <w:t>; tiġi ddefinita “rabta diretta biżżejjed” bejn ksur tal-istat tad-dritt u riskju baġitarju</w:t>
            </w:r>
            <w:r>
              <w:rPr>
                <w:b/>
                <w:i/>
              </w:rPr>
              <w:t>, inklużi eżempji prattiċi</w:t>
            </w:r>
            <w:r>
              <w:t xml:space="preserve">; ikunu meħtieġa rabtiet aktar ċari bejn il-ksur u l-miżuri adottati, inkluż permezz ta’ standards aktar preċiżi ta’ dak il-ksur </w:t>
            </w:r>
            <w:r>
              <w:rPr>
                <w:b/>
                <w:i/>
              </w:rPr>
              <w:t>u kjarifiki tar-rekwiżiti għal monitoraġġ proattiv</w:t>
            </w:r>
            <w:r>
              <w:t>; u jiġu pprovduti soluzzjonijiet ċari u passi prattiċi għal meta jseħħ it-treġġigħ lura;</w:t>
            </w:r>
          </w:p>
        </w:tc>
      </w:tr>
    </w:tbl>
    <w:p>
      <w:r>
        <w:rPr>
          <w:rStyle w:val="HideTWBExt"/>
        </w:rPr>
        <w:t>&lt;/Amend&gt;</w:t>
      </w:r>
    </w:p>
    <w:p>
      <w:pPr>
        <w:pStyle w:val="AmNumberTabs"/>
      </w:pPr>
      <w:r>
        <w:rPr>
          <w:rStyle w:val="HideTWBExt"/>
        </w:rPr>
        <w:t>&lt;Amend&gt;</w:t>
      </w:r>
      <w:r>
        <w:t>Emenda</w:t>
      </w:r>
      <w:r>
        <w:tab/>
      </w:r>
      <w:r>
        <w:tab/>
      </w:r>
      <w:r>
        <w:rPr>
          <w:rStyle w:val="HideTWBExt"/>
        </w:rPr>
        <w:t>&lt;NumAm&gt;</w:t>
      </w:r>
      <w:r>
        <w:t>53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Jistieden lill-Kummissjoni, f’dan il-kuntest, </w:t>
            </w:r>
            <w:r>
              <w:rPr>
                <w:b/>
                <w:i/>
              </w:rPr>
              <w:t>tirrieżmina</w:t>
            </w:r>
            <w:r>
              <w:t xml:space="preserve"> l-interpretazzjoni tagħha tar-Regolament dwar il-Kundizzjonalità bħala strument tal-aħħar </w:t>
            </w:r>
            <w:r>
              <w:rPr>
                <w:b/>
                <w:i/>
              </w:rPr>
              <w:t>għażla</w:t>
            </w:r>
            <w:r>
              <w:t xml:space="preserve"> u </w:t>
            </w:r>
            <w:r>
              <w:rPr>
                <w:b/>
                <w:i/>
              </w:rPr>
              <w:t>biex</w:t>
            </w:r>
            <w:r>
              <w:t xml:space="preserve"> tkun aktar proattiva fl-użu tiegħu, inkluża l-applikazzjoni tal-Artikolu 6(4), filwaqt li tirrispetta l-prinċipju tal-proporzjonalità;</w:t>
            </w:r>
          </w:p>
        </w:tc>
        <w:tc>
          <w:tcPr>
            <w:tcW w:w="4876" w:type="dxa"/>
            <w:tcBorders>
              <w:top w:val="nil"/>
              <w:left w:val="nil"/>
              <w:bottom w:val="nil"/>
              <w:right w:val="nil"/>
            </w:tcBorders>
          </w:tcPr>
          <w:p>
            <w:pPr>
              <w:pStyle w:val="Normal6a"/>
            </w:pPr>
            <w:r>
              <w:t>35.</w:t>
            </w:r>
            <w:r>
              <w:tab/>
            </w:r>
            <w:r>
              <w:t xml:space="preserve">Jistieden lill-Kummissjoni, f’dan il-kuntest, </w:t>
            </w:r>
            <w:r>
              <w:rPr>
                <w:b/>
                <w:i/>
              </w:rPr>
              <w:t>telabora dwar il-valutazzjoni tagħha tal-valur miżjud u l-limitazzjonijiet rispettivi tad-diversi għodod ta’ kundizzjonalità baġitarja, tirrieżamina</w:t>
            </w:r>
            <w:r>
              <w:t xml:space="preserve"> l-interpretazzjoni tagħha tar-Regolament dwar il-Kundizzjonalità bħala strument tal-aħħar </w:t>
            </w:r>
            <w:r>
              <w:rPr>
                <w:b/>
                <w:i/>
              </w:rPr>
              <w:t>istanza</w:t>
            </w:r>
            <w:r>
              <w:t xml:space="preserve"> u tkun aktar proattiva fl-użu tiegħu, inkluża l-applikazzjoni tal-Artikolu 6(4), filwaqt li tirrispetta l-prinċipju tal-proporzjonalità;</w:t>
            </w:r>
          </w:p>
        </w:tc>
      </w:tr>
    </w:tbl>
    <w:p>
      <w:r>
        <w:rPr>
          <w:rStyle w:val="HideTWBExt"/>
        </w:rPr>
        <w:t>&lt;/Amend&gt;</w:t>
      </w:r>
    </w:p>
    <w:p>
      <w:pPr>
        <w:pStyle w:val="AmNumberTabs"/>
      </w:pPr>
      <w:r>
        <w:rPr>
          <w:rStyle w:val="HideTWBExt"/>
        </w:rPr>
        <w:t>&lt;Amend&gt;</w:t>
      </w:r>
      <w:r>
        <w:t>Emenda</w:t>
      </w:r>
      <w:r>
        <w:tab/>
      </w:r>
      <w:r>
        <w:tab/>
      </w:r>
      <w:r>
        <w:rPr>
          <w:rStyle w:val="HideTWBExt"/>
        </w:rPr>
        <w:t>&lt;NumAm&gt;</w:t>
      </w:r>
      <w:r>
        <w:t>54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Jitlob li l-Kummissjoni, fil-valutazzjoni tal-proporzjonalità tagħha, tqis b’mod sistematiku l-konsegwenzi għall-benefiċjarji finali, speċifikament dawk iżgħar bħal, iżda mhux limitati għal, universitajiet, intrapriżi żgħar u ta’ daqs medju, u organizzazzjonijiet tas-soċjetà ċivili, u li tirrifletti dik l-analiżi fid-dossier trażmess lill-Parlament skont l-Artikolu 8 tar-Regolament dwar il-Kundizzjonalità;</w:t>
            </w:r>
          </w:p>
        </w:tc>
        <w:tc>
          <w:tcPr>
            <w:tcW w:w="4876" w:type="dxa"/>
            <w:tcBorders>
              <w:top w:val="nil"/>
              <w:left w:val="nil"/>
              <w:bottom w:val="nil"/>
              <w:right w:val="nil"/>
            </w:tcBorders>
          </w:tcPr>
          <w:p>
            <w:pPr>
              <w:pStyle w:val="Normal6a"/>
            </w:pPr>
            <w:r>
              <w:t>36.</w:t>
            </w:r>
            <w:r>
              <w:tab/>
            </w:r>
            <w:r>
              <w:t>Jitlob li l-Kummissjoni, fil-valutazzjoni tal-proporzjonalità tagħha, tqis b’mod sistematiku l-konsegwenzi għall-benefiċjarji finali, speċifikament dawk iżgħar bħal, iżda mhux limitati għal, universitajiet, intrapriżi żgħar u ta’ daqs medju, u organizzazzjonijiet tas-soċjetà ċivili, u li tirrifletti dik l-analiżi fid-dossier trażmess lill-Parlament skont l-Artikolu 8 tar-Regolament dwar il-Kundizzjonalità</w:t>
            </w:r>
            <w:r>
              <w:rPr>
                <w:b/>
                <w:i/>
              </w:rPr>
              <w:t>, filwaqt li tiżgura li l-bidliet meħtieġa jkunu implimentati b’mod effettiv fir-realtà għal dawn l-atturi kollha, u mhux biss b’mod teoretiku</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55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Jistieden lill-Kummissjoni tirrieżamina kif tista’ tissodisfa b’mod effettiv l-obbligu tagħha li tissalvagwardja l-interessi finanzjarji leġittimi tar-riċevituri finali u tal-benefiċjarji, b’mod partikolari dawk li jbatu l-konsegwenzi tan-nuqqasijiet fl-istat tad-dritt, inkluż billi tinforza d-dispożizzjonijiet rilevanti tar-Regolament dwar il-Kundizzjonalità fir-rigward tal-obbligi tal-Istati Membri li jagħmlu pagamenti; jisħaq li kwalunkwe miżura meħuda biex jiġi żgurat li r-riċevituri finali leġittimi u l-benefiċjarji jkunu jistgħu jkomplu jaċċessaw il-finanzjament tal-UE ma għandhiex iddgħajjef l-applikazzjoni tar-Regolament dwar il-Kundizzjonalità; jistenna li jkun involut bis-sħiħ f’dan il-proċess;</w:t>
            </w:r>
          </w:p>
        </w:tc>
        <w:tc>
          <w:tcPr>
            <w:tcW w:w="4876" w:type="dxa"/>
            <w:tcBorders>
              <w:top w:val="nil"/>
              <w:left w:val="nil"/>
              <w:bottom w:val="nil"/>
              <w:right w:val="nil"/>
            </w:tcBorders>
          </w:tcPr>
          <w:p>
            <w:pPr>
              <w:pStyle w:val="Normal6a"/>
            </w:pPr>
            <w:r>
              <w:t>37.</w:t>
            </w:r>
            <w:r>
              <w:tab/>
            </w:r>
            <w:r>
              <w:t xml:space="preserve">Jistieden lill-Kummissjoni tirrieżamina kif tista’ tissodisfa b’mod effettiv l-obbligu tagħha li tissalvagwardja l-interessi finanzjarji leġittimi tar-riċevituri finali u tal-benefiċjarji, b’mod partikolari dawk li jbatu l-konsegwenzi tan-nuqqasijiet fl-istat tad-dritt, inkluż billi tinforza d-dispożizzjonijiet rilevanti tar-Regolament dwar il-Kundizzjonalità fir-rigward tal-obbligi tal-Istati Membri li jagħmlu pagamenti; </w:t>
            </w:r>
            <w:r>
              <w:rPr>
                <w:b/>
                <w:i/>
              </w:rPr>
              <w:t xml:space="preserve">jistieden lill-Kummissjoni ssib modi kif iġġib il-fondi affettwati taħt ġestjoni diretta jew kif tagħmilhom disponibbli taħt strumenti jew programmi oħra tal-UE implimentati taħt ġestjoni diretta jew ġestjoni indiretta, filwaqt li tiżgura fi kwalunkwe każ li l-gvernijiet lokali, l-organizzazzjonijiet tas-soċjetà ċivili u l-intrapriżi żgħar u ta’ daqs medju ma jsofrux il-konsegwenzi tas-sospensjonijiet tal-finanzjament ikkawżati mill-azzjonijiet tal-gvern nazzjonali tagħhom, u, jekk tikkonkludi li din l-għażla ma tkunx fattibbli, tispjega b’mod ċar ir-raġunijiet għal dik il-konklużjoni; </w:t>
            </w:r>
            <w:r>
              <w:t>jisħaq li kwalunkwe miżura meħuda biex jiġi żgurat li r-riċevituri finali leġittimi u l-benefiċjarji jkunu jistgħu jkomplu jaċċessaw il-finanzjament tal-UE ma għandhiex iddgħajjef l-applikazzjoni tar-Regolament dwar il-Kundizzjonalità; jistenna li jkun involut bis-sħiħ f’dan il-proċess;</w:t>
            </w:r>
          </w:p>
        </w:tc>
      </w:tr>
    </w:tbl>
    <w:p>
      <w:r>
        <w:rPr>
          <w:rStyle w:val="HideTWBExt"/>
        </w:rPr>
        <w:t>&lt;/Amend&gt;</w:t>
      </w:r>
    </w:p>
    <w:p>
      <w:pPr>
        <w:pStyle w:val="AmNumberTabs"/>
      </w:pPr>
      <w:r>
        <w:rPr>
          <w:rStyle w:val="HideTWBExt"/>
        </w:rPr>
        <w:t>&lt;Amend&gt;</w:t>
      </w:r>
      <w:r>
        <w:t>Emenda</w:t>
      </w:r>
      <w:r>
        <w:tab/>
      </w:r>
      <w:r>
        <w:tab/>
      </w:r>
      <w:r>
        <w:rPr>
          <w:rStyle w:val="HideTWBExt"/>
        </w:rPr>
        <w:t>&lt;NumAm&gt;</w:t>
      </w:r>
      <w:r>
        <w:t>56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Jistieden lill-Kummissjoni tagħmel kontroreferenzi sistematiċi bejn il-proċedimenti ta’ ksur u l-miżuri adottati skont l-Artikolu 6 tar-Regolament Finanzjarju u </w:t>
            </w:r>
            <w:r>
              <w:rPr>
                <w:b/>
                <w:i/>
              </w:rPr>
              <w:t>l-iskrinjar tal-kundizzjonalità pendenti</w:t>
            </w:r>
            <w:r>
              <w:t>, sabiex l-Istati Membri ma jkunux jistgħu jisfruttaw is-silos proċedurali u li l-interessi finanzjarji tal-UE jkunu protetti, irrispettivament mill-istrument legali użat;</w:t>
            </w:r>
          </w:p>
        </w:tc>
        <w:tc>
          <w:tcPr>
            <w:tcW w:w="4876" w:type="dxa"/>
            <w:tcBorders>
              <w:top w:val="nil"/>
              <w:left w:val="nil"/>
              <w:bottom w:val="nil"/>
              <w:right w:val="nil"/>
            </w:tcBorders>
          </w:tcPr>
          <w:p>
            <w:pPr>
              <w:pStyle w:val="Normal6a"/>
            </w:pPr>
            <w:r>
              <w:t>38.</w:t>
            </w:r>
            <w:r>
              <w:tab/>
            </w:r>
            <w:r>
              <w:t xml:space="preserve">Jistieden lill-Kummissjoni tagħmel kontroreferenzi sistematiċi bejn il-proċedimenti ta’ ksur u l-miżuri adottati skont l-Artikolu 6 tar-Regolament Finanzjarju u </w:t>
            </w:r>
            <w:r>
              <w:rPr>
                <w:b/>
                <w:i/>
              </w:rPr>
              <w:t>r-Regolament dwar il-Kundizzjonalità, ir-Regolament dwar Dispożizzjonijiet Komuni, ir-Regolament dwar l-RRF u r-reġim futur ta’ kundizzjonalità tal-QFP 2028-2034, kif ukoll kwalunkwe għodda rilevanti oħra</w:t>
            </w:r>
            <w:r>
              <w:t>, sabiex l-Istati Membri ma jkunux jistgħu jisfruttaw is-silos proċedurali u li l-interessi finanzjarji tal-UE jkunu protetti, irrispettivament mill-istrument legali użat;</w:t>
            </w:r>
          </w:p>
        </w:tc>
      </w:tr>
    </w:tbl>
    <w:p>
      <w:r>
        <w:rPr>
          <w:rStyle w:val="HideTWBExt"/>
        </w:rPr>
        <w:t>&lt;/Amend&gt;</w:t>
      </w:r>
    </w:p>
    <w:p>
      <w:pPr>
        <w:pStyle w:val="AmNumberTabs"/>
      </w:pPr>
      <w:r>
        <w:rPr>
          <w:rStyle w:val="HideTWBExt"/>
        </w:rPr>
        <w:t>&lt;Amend&gt;</w:t>
      </w:r>
      <w:r>
        <w:t>Emenda</w:t>
      </w:r>
      <w:r>
        <w:tab/>
      </w:r>
      <w:r>
        <w:tab/>
      </w:r>
      <w:r>
        <w:rPr>
          <w:rStyle w:val="HideTWBExt"/>
        </w:rPr>
        <w:t>&lt;NumAm&gt;</w:t>
      </w:r>
      <w:r>
        <w:t>57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Jemmen li l-azzjonijiet ta’ rimedju għandhom ikunu akkumpanjati minn salvagwardji biex tiġi pprevenuta, fejn rilevanti, l-okkorrenza ta’ sitwazzjonijiet simili fil-futur;</w:t>
            </w:r>
          </w:p>
        </w:tc>
        <w:tc>
          <w:tcPr>
            <w:tcW w:w="4876" w:type="dxa"/>
            <w:tcBorders>
              <w:top w:val="nil"/>
              <w:left w:val="nil"/>
              <w:bottom w:val="nil"/>
              <w:right w:val="nil"/>
            </w:tcBorders>
          </w:tcPr>
          <w:p>
            <w:pPr>
              <w:pStyle w:val="Normal6a"/>
            </w:pPr>
            <w:r>
              <w:t>39.</w:t>
            </w:r>
            <w:r>
              <w:tab/>
            </w:r>
            <w:r>
              <w:t xml:space="preserve">Jemmen li l-azzjonijiet ta’ rimedju għandhom ikunu akkumpanjati minn salvagwardji biex tiġi pprevenuta, fejn rilevanti, l-okkorrenza ta’ sitwazzjonijiet simili </w:t>
            </w:r>
            <w:r>
              <w:rPr>
                <w:b/>
                <w:i/>
              </w:rPr>
              <w:t>jew rigress ulterjuri tal-istat tad-dritt</w:t>
            </w:r>
            <w:r>
              <w:t xml:space="preserve"> fil-futur;</w:t>
            </w:r>
          </w:p>
        </w:tc>
      </w:tr>
    </w:tbl>
    <w:p>
      <w:r>
        <w:rPr>
          <w:rStyle w:val="HideTWBExt"/>
        </w:rPr>
        <w:t>&lt;/Amend&gt;</w:t>
      </w:r>
    </w:p>
    <w:p>
      <w:pPr>
        <w:pStyle w:val="AmNumberTabs"/>
      </w:pPr>
      <w:r>
        <w:rPr>
          <w:rStyle w:val="HideTWBExt"/>
        </w:rPr>
        <w:t>&lt;Amend&gt;</w:t>
      </w:r>
      <w:r>
        <w:t>Emenda</w:t>
      </w:r>
      <w:r>
        <w:tab/>
      </w:r>
      <w:r>
        <w:tab/>
      </w:r>
      <w:r>
        <w:rPr>
          <w:rStyle w:val="HideTWBExt"/>
        </w:rPr>
        <w:t>&lt;NumAm&gt;</w:t>
      </w:r>
      <w:r>
        <w:t>58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Jistenna li l-Kummissjoni tieħu azzjoni konkreta biex issaħħaħ ir-rabtiet bejn ir-rakkomandazzjonijiet tar-rapporti annwali tagħha dwar l-istat tad-dritt u l-appoġġ finanzjarju mill-baġit tal-UE, kif deskritt fl-ittri ta’ missjoni tal-2024 lill-Kummissarji responsabbli għall-Baġit u għall-Istat tad-Dritt; jistieden lill-Kummissjoni ssarraf ir-rakkomandazzjonijiet speċifiċi għall-pajjiż mir-rapporti annwali tagħha dwar l-istat tad-dritt fi stadji importanti konkreti li għandhom jiġu segwiti sistematikament mill-Istati Membri u, fejn xieraq, biex iservu bħala evidenza biex jiġġustifikaw l-attivazzjoni tar-Regolament dwar il-Kundizzjonalità;</w:t>
            </w:r>
          </w:p>
        </w:tc>
        <w:tc>
          <w:tcPr>
            <w:tcW w:w="4876" w:type="dxa"/>
            <w:tcBorders>
              <w:top w:val="nil"/>
              <w:left w:val="nil"/>
              <w:bottom w:val="nil"/>
              <w:right w:val="nil"/>
            </w:tcBorders>
          </w:tcPr>
          <w:p>
            <w:pPr>
              <w:pStyle w:val="Normal6a"/>
            </w:pPr>
            <w:r>
              <w:t>40.</w:t>
            </w:r>
            <w:r>
              <w:tab/>
            </w:r>
            <w:r>
              <w:t xml:space="preserve">Jistenna li l-Kummissjoni tieħu azzjoni konkreta biex issaħħaħ ir-rabtiet bejn ir-rakkomandazzjonijiet tar-rapporti annwali tagħha dwar l-istat tad-dritt u l-appoġġ finanzjarju mill-baġit tal-UE, kif deskritt fl-ittri ta’ missjoni tal-2024 lill-Kummissarji responsabbli għall-Baġit u għall-Istat tad-Dritt; jistieden lill-Kummissjoni ssarraf ir-rakkomandazzjonijiet speċifiċi għall-pajjiż mir-rapporti annwali tagħha dwar l-istat tad-dritt fi stadji importanti konkreti li għandhom jiġu segwiti sistematikament mill-Istati Membri u, fejn xieraq, biex iservu bħala evidenza biex jiġġustifikaw l-attivazzjoni tar-Regolament dwar il-Kundizzjonalità </w:t>
            </w:r>
            <w:r>
              <w:rPr>
                <w:b/>
                <w:i/>
              </w:rPr>
              <w:t>u għodod oħra;</w:t>
            </w:r>
            <w:r>
              <w:rPr>
                <w:b/>
                <w:i/>
              </w:rPr>
              <w:t xml:space="preserve"> </w:t>
            </w:r>
            <w:r>
              <w:rPr>
                <w:b/>
                <w:i/>
              </w:rPr>
              <w:t>jissottolinja li tali stadji importanti għandhom ikunu akkumpanjati minn skadenzi ċari, u jitlob l-iżvilupp ta’ indikaturi korrispondenti</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59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Jisħaq li r-rapport annwali dwar l-istat tad-dritt bħalissa huwa strutturat madwar erba’ pilastri, jiġifieri: is-sistema ġudizzjarja, il-qafas kontra l-korruzzjoni, il-pluraliżmu tal-media, u kwistjonijiet istituzzjonali oħrajn relatati mas-sistema ta’ kontrokontrolli; </w:t>
            </w:r>
            <w:r>
              <w:rPr>
                <w:b/>
                <w:i/>
              </w:rPr>
              <w:t>jirrikonoxxi</w:t>
            </w:r>
            <w:r>
              <w:t xml:space="preserve"> li ġiet inkluża dimensjoni tas-suq uniku fir-Rapport 2025 dwar l-Istat tad-Dritt biex jiġu indirizzati kwistjonijiet tal-istat tad-dritt li jaffettwaw lill-kumpaniji u lill-ħaddiema; jisħaq li sistema tal-ġustizzja li tiffunzjona, qafas b’saħħtu kontra l-korruzzjoni, pluraliżmu tal-media, kontrokontrolli adegwati</w:t>
            </w:r>
            <w:r>
              <w:rPr>
                <w:b/>
                <w:i/>
              </w:rPr>
              <w:t>, u</w:t>
            </w:r>
            <w:r>
              <w:t xml:space="preserve"> suq uniku li jiffunzjona huma </w:t>
            </w:r>
            <w:r>
              <w:rPr>
                <w:b/>
                <w:i/>
              </w:rPr>
              <w:t>intrinsikament marbuta mal-istat tad-dritt</w:t>
            </w:r>
            <w:r>
              <w:t>;</w:t>
            </w:r>
          </w:p>
        </w:tc>
        <w:tc>
          <w:tcPr>
            <w:tcW w:w="4876" w:type="dxa"/>
            <w:tcBorders>
              <w:top w:val="nil"/>
              <w:left w:val="nil"/>
              <w:bottom w:val="nil"/>
              <w:right w:val="nil"/>
            </w:tcBorders>
          </w:tcPr>
          <w:p>
            <w:pPr>
              <w:pStyle w:val="Normal6a"/>
            </w:pPr>
            <w:r>
              <w:t>41.</w:t>
            </w:r>
            <w:r>
              <w:tab/>
            </w:r>
            <w:r>
              <w:t xml:space="preserve">Jisħaq li r-rapport annwali dwar l-istat tad-dritt bħalissa huwa strutturat madwar erba’ pilastri, jiġifieri: is-sistema ġudizzjarja, il-qafas kontra l-korruzzjoni, il-pluraliżmu tal-media, u kwistjonijiet istituzzjonali oħrajn relatati mas-sistema ta’ kontrokontrolli; </w:t>
            </w:r>
            <w:r>
              <w:rPr>
                <w:b/>
                <w:i/>
              </w:rPr>
              <w:t>jilqa’ l-fatt</w:t>
            </w:r>
            <w:r>
              <w:t xml:space="preserve"> li ġiet inkluża dimensjoni tas-suq uniku fir-Rapport 2025 dwar l-Istat tad-Dritt biex jiġu indirizzati kwistjonijiet tal-istat tad-dritt li jaffettwaw lill-kumpaniji u lill-ħaddiema; jisħaq li sistema tal-ġustizzja li tiffunzjona, qafas b’saħħtu kontra l-korruzzjoni, pluraliżmu tal-media, </w:t>
            </w:r>
            <w:r>
              <w:rPr>
                <w:b/>
                <w:i/>
              </w:rPr>
              <w:t>u</w:t>
            </w:r>
            <w:r>
              <w:t xml:space="preserve"> kontrokontrolli adegwati </w:t>
            </w:r>
            <w:r>
              <w:rPr>
                <w:b/>
                <w:i/>
              </w:rPr>
              <w:t>huma kollha prekundizzjonijiet għal</w:t>
            </w:r>
            <w:r>
              <w:t xml:space="preserve"> suq uniku li jiffunzjona</w:t>
            </w:r>
            <w:r>
              <w:rPr>
                <w:b/>
                <w:i/>
              </w:rPr>
              <w:t>;</w:t>
            </w:r>
            <w:r>
              <w:rPr>
                <w:b/>
                <w:i/>
              </w:rPr>
              <w:t xml:space="preserve"> </w:t>
            </w:r>
            <w:r>
              <w:rPr>
                <w:b/>
                <w:i/>
              </w:rPr>
              <w:t>jissottolinja li dawn il-pilastri</w:t>
            </w:r>
            <w:r>
              <w:t xml:space="preserve"> huma </w:t>
            </w:r>
            <w:r>
              <w:rPr>
                <w:b/>
                <w:i/>
              </w:rPr>
              <w:t>kkomplementati minn sottopilastri li għandhom jiġu żviluppati aktar fejn meħtieġ</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60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Jisħaq li r-Rapport annwali dwar l-Istat tad-Dritt (u b’mod partikolari r-rakkomandazzjonijiet tiegħu) għandu jitfassal b’tali mod li jkun kompletament operattiv u li jista’ jintuża direttament biex jiġi ddeterminat jekk l-attivazzjoni tar-Regolament dwar il-Kundizzjonalità hijiex ġustifikata; jistieden ukoll lill-Kummissjoni tiċċara l-livell limitu li fih in-nuqqasijiet identifikati fir-rapport, u r-rakkomandazzjonijiet korrispondenti, jitqiesu serji biżżejjed biex jiġġustifikaw ir-rikors għal strument finanzjarju bħar-Regolament dwar il-Kundizzjonalità;</w:t>
            </w:r>
          </w:p>
        </w:tc>
      </w:tr>
    </w:tbl>
    <w:p>
      <w:r>
        <w:rPr>
          <w:rStyle w:val="HideTWBExt"/>
        </w:rPr>
        <w:t>&lt;/Amend&gt;</w:t>
      </w:r>
    </w:p>
    <w:p>
      <w:pPr>
        <w:pStyle w:val="AmNumberTabs"/>
      </w:pPr>
      <w:r>
        <w:rPr>
          <w:rStyle w:val="HideTWBExt"/>
        </w:rPr>
        <w:t>&lt;Amend&gt;</w:t>
      </w:r>
      <w:r>
        <w:t>Emenda</w:t>
      </w:r>
      <w:r>
        <w:tab/>
      </w:r>
      <w:r>
        <w:tab/>
      </w:r>
      <w:r>
        <w:rPr>
          <w:rStyle w:val="HideTWBExt"/>
        </w:rPr>
        <w:t>&lt;NumAm&gt;</w:t>
      </w:r>
      <w:r>
        <w:t>61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Jinnota li l-ksur sistematiku tal-istat tad-dritt, identifikat skont il-pilastri tar-rapport annwali dwar l-istat tad-dritt, li għandu rabta diretta biżżejjed mal-protezzjoni tal-baġit tal-UE għandu jwassal għall-iskattar tal-mekkaniżmu ta’ kundizzjonalità, b’mod partikolari f’każijiet bħal ksur, manipulazzjoni jew favoritiżmu f’sejħiet għal offerti u applikazzjonijiet li jinvolvu finanzjament mill-UE, kif ukoll fastidju amministrattiv li jikser it-trattament ugwali tal-awtoritajiet lokali u reġjonali, tal-kumpaniji jew riċevituri finali </w:t>
            </w:r>
            <w:r>
              <w:rPr>
                <w:b/>
                <w:i/>
              </w:rPr>
              <w:t>u benefiċjarjioħra</w:t>
            </w:r>
            <w:r>
              <w:t>, u l-aċċess tagħhom għall-fondi tal-UE;</w:t>
            </w:r>
          </w:p>
        </w:tc>
        <w:tc>
          <w:tcPr>
            <w:tcW w:w="4876" w:type="dxa"/>
            <w:tcBorders>
              <w:top w:val="nil"/>
              <w:left w:val="nil"/>
              <w:bottom w:val="nil"/>
              <w:right w:val="nil"/>
            </w:tcBorders>
          </w:tcPr>
          <w:p>
            <w:pPr>
              <w:pStyle w:val="Normal6a"/>
            </w:pPr>
            <w:r>
              <w:t>42.</w:t>
            </w:r>
            <w:r>
              <w:tab/>
            </w:r>
            <w:r>
              <w:t xml:space="preserve">Jinnota li l-ksur sistematiku tal-istat tad-dritt, identifikat skont il-pilastri tar-rapport annwali dwar l-istat tad-dritt, li għandu rabta diretta biżżejjed mal-protezzjoni tal-baġit tal-UE għandu jwassal għall-iskattar tal-mekkaniżmu ta’ kundizzjonalità, b’mod partikolari f’każijiet bħal ksur </w:t>
            </w:r>
            <w:r>
              <w:rPr>
                <w:b/>
                <w:i/>
              </w:rPr>
              <w:t>sistemiku tal-indipendenza ġudizzjarja, qafas ineffettiv kontra l-korruzzjoni, inkluża l-manipulazzjoni politika tas-servizzi ta’ prosekutur pubbliku jew istituzzjonijiet supremi tal-awditjar, in-nuqqas ta’ implimentazzjoni ta’ sentenzi jew ksur</w:t>
            </w:r>
            <w:r>
              <w:t xml:space="preserve">, manipulazzjoni jew favoritiżmu f’sejħiet għal offerti u applikazzjonijiet li jinvolvu finanzjament mill-UE, kif ukoll fastidju amministrattiv li jikser it-trattament ugwali tal-awtoritajiet lokali u reġjonali, tal-kumpaniji jew riċevituri </w:t>
            </w:r>
            <w:r>
              <w:rPr>
                <w:b/>
                <w:i/>
              </w:rPr>
              <w:t>u benefiċjarji</w:t>
            </w:r>
            <w:r>
              <w:t xml:space="preserve"> finali </w:t>
            </w:r>
            <w:r>
              <w:rPr>
                <w:b/>
                <w:i/>
              </w:rPr>
              <w:t>oħra</w:t>
            </w:r>
            <w:r>
              <w:t>, u l-aċċess tagħhom għall-fondi tal-UE;</w:t>
            </w:r>
          </w:p>
        </w:tc>
      </w:tr>
    </w:tbl>
    <w:p>
      <w:r>
        <w:rPr>
          <w:rStyle w:val="HideTWBExt"/>
        </w:rPr>
        <w:t>&lt;/Amend&gt;</w:t>
      </w:r>
    </w:p>
    <w:p>
      <w:pPr>
        <w:pStyle w:val="AmNumberTabs"/>
      </w:pPr>
      <w:r>
        <w:rPr>
          <w:rStyle w:val="HideTWBExt"/>
        </w:rPr>
        <w:t>&lt;Amend&gt;</w:t>
      </w:r>
      <w:r>
        <w:t>Emenda</w:t>
      </w:r>
      <w:r>
        <w:tab/>
      </w:r>
      <w:r>
        <w:tab/>
      </w:r>
      <w:r>
        <w:rPr>
          <w:rStyle w:val="HideTWBExt"/>
        </w:rPr>
        <w:t>&lt;NumAm&gt;</w:t>
      </w:r>
      <w:r>
        <w:t>62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Jinsisti li l-prerogattivi ta’ skrutinju tal-Parlament jiġu ssalvagwardjati billi jingħata s-setgħa li jimmonitorja l-konsistenza (fin-nuqqas ta’) fl-applikazzjoni tar-reġim ta’ kundizzjonalità, u b’hekk jiġu pprevenuti l-istrumentalizzazzjoni jew l-opaċità politiċi; jistieden lill-Kummissjoni tibgħat lill-Parlament inventarju annwali konsolidat tad-deċiżjonijiet kollha relatati mal-kundizzjonalità fl-intestaturi baġitarji fil-kuntest tal-proċedura baġitarja annwali;</w:t>
            </w:r>
          </w:p>
        </w:tc>
        <w:tc>
          <w:tcPr>
            <w:tcW w:w="4876" w:type="dxa"/>
            <w:tcBorders>
              <w:top w:val="nil"/>
              <w:left w:val="nil"/>
              <w:bottom w:val="nil"/>
              <w:right w:val="nil"/>
            </w:tcBorders>
          </w:tcPr>
          <w:p>
            <w:pPr>
              <w:pStyle w:val="Normal6a"/>
            </w:pPr>
            <w:r>
              <w:t>44.</w:t>
            </w:r>
            <w:r>
              <w:tab/>
            </w:r>
            <w:r>
              <w:t xml:space="preserve">Jinsisti li l-prerogattivi ta’ skrutinju tal-Parlament jiġu ssalvagwardjati billi jingħata s-setgħa li jimmonitorja l-konsistenza (fin-nuqqas ta’) fl-applikazzjoni tar-reġim ta’ kundizzjonalità </w:t>
            </w:r>
            <w:r>
              <w:rPr>
                <w:b/>
                <w:i/>
              </w:rPr>
              <w:t>fl-ambitu tal-għodod attwali u futuri</w:t>
            </w:r>
            <w:r>
              <w:t>, u b’hekk jiġu pprevenuti l-istrumentalizzazzjoni jew l-opaċità politiċi; jistieden lill-Kummissjoni tibgħat lill-Parlament inventarju annwali konsolidat tad-deċiżjonijiet kollha relatati mal-kundizzjonalità fl-intestaturi baġitarji fil-kuntest tal-proċedura baġitarja annwali;</w:t>
            </w:r>
          </w:p>
        </w:tc>
      </w:tr>
    </w:tbl>
    <w:p>
      <w:r>
        <w:rPr>
          <w:rStyle w:val="HideTWBExt"/>
        </w:rPr>
        <w:t>&lt;/Amend&gt;</w:t>
      </w:r>
    </w:p>
    <w:p>
      <w:pPr>
        <w:pStyle w:val="AmNumberTabs"/>
      </w:pPr>
      <w:r>
        <w:rPr>
          <w:rStyle w:val="HideTWBExt"/>
        </w:rPr>
        <w:t>&lt;Amend&gt;</w:t>
      </w:r>
      <w:r>
        <w:t>Emenda</w:t>
      </w:r>
      <w:r>
        <w:tab/>
      </w:r>
      <w:r>
        <w:tab/>
      </w:r>
      <w:r>
        <w:rPr>
          <w:rStyle w:val="HideTWBExt"/>
        </w:rPr>
        <w:t>&lt;NumAm&gt;</w:t>
      </w:r>
      <w:r>
        <w:t>63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Iħeġġeġ lill-Kummissjoni taqbel dwar mezz ta’ komunikazzjoni sigur mal-korpi responsabbli tal-Parlament sabiex jiġi żgurat aċċess sħiħ għad-dokumentazzjoni, inkluż it-test sħiħ tan-notifiki bil-miktub u l-iskambji bejn is-servizzi tal-Kummissjoni u l-Istat Membru inkwistjoni, b’mod f’waqtu, komprensiv u proattiv, filwaqt li tiġi ssalvagwardjata l-kunfidenzjalità tiegħu;</w:t>
            </w:r>
          </w:p>
        </w:tc>
      </w:tr>
    </w:tbl>
    <w:p>
      <w:r>
        <w:rPr>
          <w:rStyle w:val="HideTWBExt"/>
        </w:rPr>
        <w:t>&lt;/Amend&gt;</w:t>
      </w:r>
    </w:p>
    <w:p>
      <w:pPr>
        <w:pStyle w:val="AmNumberTabs"/>
      </w:pPr>
      <w:r>
        <w:rPr>
          <w:rStyle w:val="HideTWBExt"/>
        </w:rPr>
        <w:t>&lt;Amend&gt;</w:t>
      </w:r>
      <w:r>
        <w:t>Emenda</w:t>
      </w:r>
      <w:r>
        <w:tab/>
      </w:r>
      <w:r>
        <w:tab/>
      </w:r>
      <w:r>
        <w:rPr>
          <w:rStyle w:val="HideTWBExt"/>
        </w:rPr>
        <w:t>&lt;NumAm&gt;</w:t>
      </w:r>
      <w:r>
        <w:t>64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Jistieden lill-Kunsill iżomm il-proċess ibbażat fuq il-fatti u l-objettiv, u jżomm kemm jista’ jkun mal-proposti tal-Kummissjoni; iħeġġeġ lill-Kunsill, barra minn hekk, ma jittrasformax il-proċess li jwassal għall-adozzjoni ta’ miżuri </w:t>
            </w:r>
            <w:r>
              <w:rPr>
                <w:b/>
                <w:i/>
              </w:rPr>
              <w:t>f’pedina</w:t>
            </w:r>
            <w:r>
              <w:t xml:space="preserve"> ta’ </w:t>
            </w:r>
            <w:r>
              <w:rPr>
                <w:b/>
                <w:i/>
              </w:rPr>
              <w:t>negozjati</w:t>
            </w:r>
            <w:r>
              <w:t>;</w:t>
            </w:r>
          </w:p>
        </w:tc>
        <w:tc>
          <w:tcPr>
            <w:tcW w:w="4876" w:type="dxa"/>
            <w:tcBorders>
              <w:top w:val="nil"/>
              <w:left w:val="nil"/>
              <w:bottom w:val="nil"/>
              <w:right w:val="nil"/>
            </w:tcBorders>
          </w:tcPr>
          <w:p>
            <w:pPr>
              <w:pStyle w:val="Normal6a"/>
            </w:pPr>
            <w:r>
              <w:t>46.</w:t>
            </w:r>
            <w:r>
              <w:tab/>
            </w:r>
            <w:r>
              <w:t>Jistieden lill-Kunsill iżomm il-proċess ibbażat fuq il-fatti u l-objettiv, u jżomm kemm jista’ jkun mal-proposti tal-Kummissjoni</w:t>
            </w:r>
            <w:r>
              <w:rPr>
                <w:b/>
                <w:i/>
              </w:rPr>
              <w:t>, u fil-każ ta’ devjazzjoni minnhom, jipprovdi biżżejjed ġustifikazzjoni għal dan</w:t>
            </w:r>
            <w:r>
              <w:t xml:space="preserve">; iħeġġeġ lill-Kunsill, barra minn hekk, </w:t>
            </w:r>
            <w:r>
              <w:rPr>
                <w:b/>
                <w:i/>
              </w:rPr>
              <w:t>biex</w:t>
            </w:r>
            <w:r>
              <w:t xml:space="preserve"> ma jittrasformax il-proċess li jwassal għall-adozzjoni ta’ miżuri </w:t>
            </w:r>
            <w:r>
              <w:rPr>
                <w:b/>
                <w:i/>
              </w:rPr>
              <w:t>f’eżerċizzju politiku ta’ tfassil ta’ ftehimiet, li jippermetti lil Stat Membru soġġett għal dan il-proċess li jingrana l-veto tiegħu fuq deċiżjonijiet urġenti li jirrikjedu unanimità fil-Kunsill Ewropew;</w:t>
            </w:r>
            <w:r>
              <w:rPr>
                <w:b/>
                <w:i/>
              </w:rPr>
              <w:t xml:space="preserve"> </w:t>
            </w:r>
            <w:r>
              <w:rPr>
                <w:b/>
                <w:i/>
              </w:rPr>
              <w:t>iqis li għandu jkun possibbli li jiġu adottati miżuri ġodda, skont ir-Regolament attwali, għall-protezzjoni tal-baġit tal-UE b’mod simplifikat fi ħdan l-istess proċedura jekk is-sitwazzjoni li twassal għall-adozzjoni</w:t>
            </w:r>
            <w:r>
              <w:t xml:space="preserve"> ta’ </w:t>
            </w:r>
            <w:r>
              <w:rPr>
                <w:b/>
                <w:i/>
              </w:rPr>
              <w:t>miżuri ma tkunx ġiet rimedjata jew tkun marret għall-agħar, filwaqt li jiġi żgurat li l-istess kriterji u salvagwardji sostantivi jkomplu japplikaw</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65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Jitlob lill-Kummissjoni tistabbilixxi portal interattiv li jippermetti liċ-ċittadini, lir-riċevituri finali u lill-benefiċjarji, u lill-operaturi ekonomiċi, isegwu ċ-ċiklu tal-ħajja kollu tal-każijiet ta’ kundizzjonalità min-notifika sat-tneħħija eventwali tal-miżuri, sabiex tissaħħaħ it-trasparenza u tiġi pprevenuta l-informazzjoni ħażina; jistieden lill-Kummissjoni, f’dan ir-rigward, tippubblika skedi informattivi li juru kull azzjoni futura skont ir-Regolament dwar il-Kundizzjonalità, li jistabbilixxu t-tip u l-valutazzjoni tal-ksur, l-impatt fuq il-baġit tal-UE, u, fejn rilevanti, il-proporzjonalità tal-miżuri proposti tagħha; jistieden lill-Kummissjoni tiżgura li l-informazzjoni rilevanti titqassam lir-riċevituri finali u lill-benefiċjarji kkonċernati u lill-pubbliku ġenerali;</w:t>
            </w:r>
          </w:p>
        </w:tc>
        <w:tc>
          <w:tcPr>
            <w:tcW w:w="4876" w:type="dxa"/>
            <w:tcBorders>
              <w:top w:val="nil"/>
              <w:left w:val="nil"/>
              <w:bottom w:val="nil"/>
              <w:right w:val="nil"/>
            </w:tcBorders>
          </w:tcPr>
          <w:p>
            <w:pPr>
              <w:pStyle w:val="Normal6a"/>
            </w:pPr>
            <w:r>
              <w:t>47.</w:t>
            </w:r>
            <w:r>
              <w:tab/>
            </w:r>
            <w:r>
              <w:t xml:space="preserve">Jitlob lill-Kummissjoni tistabbilixxi portal interattiv li jippermetti liċ-ċittadini, </w:t>
            </w:r>
            <w:r>
              <w:rPr>
                <w:b/>
                <w:i/>
              </w:rPr>
              <w:t>lill-organizzazzjonijiet tas-soċjetà ċivili,</w:t>
            </w:r>
            <w:r>
              <w:t xml:space="preserve"> lir-riċevituri finali u lill-benefiċjarji, u lill-operaturi ekonomiċi, isegwu ċ-ċiklu tal-ħajja kollu tal-każijiet ta’ kundizzjonalità min-notifika sat-tneħħija eventwali tal-miżuri, sabiex tissaħħaħ it-trasparenza u tiġi pprevenuta l-informazzjoni ħażina; jistieden lill-Kummissjoni, f’dan ir-rigward, tippubblika skedi informattivi li juru kull azzjoni futura skont ir-Regolament dwar il-Kundizzjonalità, li jistabbilixxu t-tip u l-valutazzjoni tal-ksur, l-impatt fuq il-baġit tal-UE, u, fejn rilevanti, il-proporzjonalità tal-miżuri proposti tagħha; jistieden lill-Kummissjoni tiżgura li l-informazzjoni rilevanti titqassam lir-riċevituri finali u lill-benefiċjarji kkonċernati u lill-pubbliku ġenerali;</w:t>
            </w:r>
          </w:p>
        </w:tc>
      </w:tr>
    </w:tbl>
    <w:p>
      <w:r>
        <w:rPr>
          <w:rStyle w:val="HideTWBExt"/>
        </w:rPr>
        <w:t>&lt;/Amend&gt;</w:t>
      </w:r>
    </w:p>
    <w:p>
      <w:pPr>
        <w:pStyle w:val="AmNumberTabs"/>
      </w:pPr>
      <w:r>
        <w:rPr>
          <w:rStyle w:val="HideTWBExt"/>
        </w:rPr>
        <w:t>&lt;Amend&gt;</w:t>
      </w:r>
      <w:r>
        <w:t>Emenda</w:t>
      </w:r>
      <w:r>
        <w:tab/>
      </w:r>
      <w:r>
        <w:tab/>
      </w:r>
      <w:r>
        <w:rPr>
          <w:rStyle w:val="HideTWBExt"/>
        </w:rPr>
        <w:t>&lt;NumAm&gt;</w:t>
      </w:r>
      <w:r>
        <w:t>66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Jistieden lill-Kummissjoni ssaħħaħ il-kapaċità investigattiva </w:t>
            </w:r>
            <w:r>
              <w:rPr>
                <w:b/>
                <w:i/>
              </w:rPr>
              <w:t>tagħha</w:t>
            </w:r>
            <w:r>
              <w:t xml:space="preserve"> billi tistabbilixxi roster permanenti ta’ esperti speċjalizzati li kapaċi jivvalutaw ksur kumpless tal-istat tad-dritt, u b’hekk tiżgura deċiżjonijiet aktar rapidi u teknikament robusti, u tiżviluppa sistema tal-IT li tippermetti l-identifikazzjoni ta’ xejriet jew similaritajiet fir-rapporti riċevuti;</w:t>
            </w:r>
          </w:p>
        </w:tc>
        <w:tc>
          <w:tcPr>
            <w:tcW w:w="4876" w:type="dxa"/>
            <w:tcBorders>
              <w:top w:val="nil"/>
              <w:left w:val="nil"/>
              <w:bottom w:val="nil"/>
              <w:right w:val="nil"/>
            </w:tcBorders>
          </w:tcPr>
          <w:p>
            <w:pPr>
              <w:pStyle w:val="Normal6a"/>
            </w:pPr>
            <w:r>
              <w:t>49.</w:t>
            </w:r>
            <w:r>
              <w:tab/>
            </w:r>
            <w:r>
              <w:rPr>
                <w:b/>
                <w:i/>
              </w:rPr>
              <w:t xml:space="preserve">Iqis li l-Kummissjoni għadha ma żviluppatx bis-sħiħ il-kapaċità amministrattiva meħtieġa għall-implimentazzjoni tar-Regolament; jisħaq li l-istituzzjonijiet tal-UE jeħtiġilhom jiżguraw li l-Kummissjoni tingħata l-mezzi adegwati biex tinfurzah b’mod effettiv; </w:t>
            </w:r>
            <w:r>
              <w:rPr>
                <w:b/>
                <w:i/>
              </w:rPr>
              <w:t>abbażi ta’ dak,</w:t>
            </w:r>
            <w:r>
              <w:t xml:space="preserve"> jistieden lill-Kummissjoni </w:t>
            </w:r>
            <w:r>
              <w:rPr>
                <w:b/>
                <w:i/>
              </w:rPr>
              <w:t>biex għaldaqstant talloka riżorsi umani xierqa sabiex tinforza r-Regolament u</w:t>
            </w:r>
            <w:r>
              <w:t xml:space="preserve"> ssaħħaħ il-kapaċità investigattiva </w:t>
            </w:r>
            <w:r>
              <w:rPr>
                <w:b/>
                <w:i/>
              </w:rPr>
              <w:t>tal-Kummissjoni</w:t>
            </w:r>
            <w:r>
              <w:t xml:space="preserve"> billi tistabbilixxi roster permanenti ta’ esperti speċjalizzati li kapaċi jivvalutaw ksur kumpless tal-istat tad-dritt, u b’hekk tiżgura deċiżjonijiet aktar rapidi u teknikament robusti, u tiżviluppa sistema tal-IT li tippermetti l-identifikazzjoni ta’ xejriet jew similaritajiet fir-rapporti riċevuti;</w:t>
            </w:r>
            <w:r>
              <w:rPr>
                <w:b/>
                <w:i/>
              </w:rPr>
              <w:t xml:space="preserve"> jissottolinja l-ħtieġa ta’ kooperazzjoni mill-qrib u strutturata bejn id-Direttorati Ġenerali rilevanti fil-Kummissjoni, b’mod partikolari id-Direttorat Ġenerali tagħha għall-Baġit u d-Direttorat Ġenerali tagħha għall-Ġustizzja u l-Konsumaturi, biex jiġu żgurati l-koerenza u l-komplementarjetà fl-applikazzjoni tar-Regolament;</w:t>
            </w:r>
          </w:p>
        </w:tc>
      </w:tr>
    </w:tbl>
    <w:p>
      <w:r>
        <w:rPr>
          <w:rStyle w:val="HideTWBExt"/>
        </w:rPr>
        <w:t>&lt;/Amend&gt;</w:t>
      </w:r>
    </w:p>
    <w:p>
      <w:pPr>
        <w:pStyle w:val="AmNumberTabs"/>
      </w:pPr>
      <w:r>
        <w:rPr>
          <w:rStyle w:val="HideTWBExt"/>
        </w:rPr>
        <w:t>&lt;Amend&gt;</w:t>
      </w:r>
      <w:r>
        <w:t>Emenda</w:t>
      </w:r>
      <w:r>
        <w:tab/>
      </w:r>
      <w:r>
        <w:tab/>
      </w:r>
      <w:r>
        <w:rPr>
          <w:rStyle w:val="HideTWBExt"/>
        </w:rPr>
        <w:t>&lt;NumAm&gt;</w:t>
      </w:r>
      <w:r>
        <w:t>67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51a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Itenni l-proposta tiegħu li jiġi stabbilit mekkaniżmu tal-UE dwar id-demokrazija, l-istat tad-dritt u d-drittijiet fundamentali, li jibni fuq il-proposta tal-Parlament tal-2020; jissottolinja li dan il-mekkaniżmu għandu jkun irregolat minn ftehim interistituzzjonali bejn il-Parlament, il-Kummissjoni u l-Kunsill, li jikkonsisti f’ċiklu ta’ monitoraġġ annwali dwar il-valuri tal-UE li jkopri l-aspetti kollha tal-Artikolu 2 tat-TUE, u li japplika b’mod ugwali, oġġettiv u ġust għall-Istati Membri u l-pajjiżi kandidati kollha tal-UE, appoġġjat minn bord ta’ esperti indipendenti li jħejji rakkomandazzjonijiet u jorbothom ma’ għodod baġitarji u għodod oħra ta’ infurzar, u li jsaħħaħ is-sorveljanza tal-Parlament; jenfasizza li filwaqt li s-sett ta’ għodod dwar l-istat tad-dritt disponibbli għall-UE ġie estiż b’mod sinifikanti, l-effettività tiegħu tiddependi mill-applikazzjoni koerenti u konsistenti fl-istituzzjonijiet kollha tal-UE; jisħaq fuq il-ħtieġa li, sadanittant, jiġi stabbilit Semestru Ewropew tal-Istat tad-Dritt, li jinkludi struttura ċara bi stadji importanti fissi u kontributi attivi mill-istituzzjonijiet kollha tal-UE; jissottolinja li, filwaqt li inizjalment kien iffukat fuq l-istat tad-dritt, dan is-Semestru Ewropew tal-Istat tad-Dritt għandu jitfassal b’mod li jippermetti li jiġi estiż progressivament biex ikopri l-valuri kollha minquxa fl-Artikolu 2 tat-TUE, filwaqt li jiġi żgurat approċċ komprensiv u koerenti għall-protezzjoni tal-valuri tal-UE; jissottolinja li dan iċ-ċiklu annwali jrid ikun ibbażat fuq indikaturi solidi u oġġettivi, irid jagħmilha ċara li l-ksur tal-istat tad-dritt qatt ma jkun trivjali, u li kwalunkwe sejba ta’ tħassib għandha twassal għal konsegwenzi reali, b’mod simili għall-mekkaniżmu tas-Semestru Ewropew applikat fil-qasam tal-finanzi pubbliċi;</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ANNESS: DIKJARAZZJONI TAL-KONTRIBUT</w:t>
      </w:r>
    </w:p>
    <w:p>
      <w:pPr>
        <w:pStyle w:val="Normal12a"/>
      </w:pPr>
      <w:r>
        <w:rPr>
          <w:rStyle w:val="HideTWBExt"/>
        </w:rPr>
        <w:t>&lt;FootprintIntro&gt;</w:t>
      </w:r>
      <w:r>
        <w:rPr>
          <w:rStyle w:val="HideTWBExt"/>
        </w:rPr>
        <w:t>&lt;/FootprintIntro&gt;</w:t>
      </w:r>
    </w:p>
    <w:p>
      <w:pPr>
        <w:pStyle w:val="Normal12a"/>
      </w:pPr>
      <w:r>
        <w:t>Ir-rapporteur għal opinjoni fil-kapaċità tiegħu bħala rapporteur għal opinjoni jiddikjara, taħt ir-responsabbiltà esklużiva tiegħu, li fl-opinjoni tiegħu ma inkluda ebda kontribut mingħand rappreżentanti ta’ gruppi ta’ interess li jaqgħu fil-kamp ta’ applikazzjoni tal-Ftehim Interistituzzjonali dwar Reġistru Obbligatorju ta’ Trasparenza</w:t>
      </w:r>
      <w:r>
        <w:rPr>
          <w:rStyle w:val="FootnoteReference"/>
        </w:rPr>
        <w:footnoteReference w:customMarkFollows="1" w:id="2"/>
        <w:t xml:space="preserve">1</w:t>
      </w:r>
      <w:r>
        <w:t>, jew mingħand rappreżentanti ta’ awtoritajiet pubbliċi ta’ pajjiżi terzi, inklużi l-missjonijiet diplomatiċi u l-ambaxxati tagħhom, li għandhom jiġu elenkati f’dan l-Anness f’konformità mal-Artikolu 8 tal-Anness I tar-Regoli ta’ Proċedura.</w:t>
      </w:r>
    </w:p>
    <w:p>
      <w:pPr>
        <w:sectPr>
          <w:footnotePr>
            <w:numRestart w:val="eachSect"/>
          </w:footnotePr>
          <w:type w:val="nextPage"/>
          <w:pgSz w:w="11909" w:h="16834"/>
          <w:pgMar w:top="1134" w:right="1417" w:bottom="1417" w:left="1417" w:header="1134" w:footer="567"/>
          <w:cols w:space="720"/>
        </w:sectPr>
      </w:pPr>
    </w:p>
    <w:p>
      <w:pPr>
        <w:pStyle w:val="PageHeading"/>
      </w:pPr>
      <w:r>
        <w:t xml:space="preserve">INFORMAZZJONI DWAR L-ADOZZJONI </w:t>
        <w:br/>
        <w:t>MILL-KUMITAT LI JINTALAB JAGĦTI OPINJONI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Data tal-adozzjoni</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Riżultat tal-votazzjoni finali</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Membri preżenti għall-votazzjoni finali</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Sostituti preżenti għall-votazzjoni finali</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Membri skont l-Artikolu 216(7) tar-Regoli ta’ Proċedura preżenti għall-votazzjoni finali</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 xml:space="preserve">VOTAZZJONI FINALI B’SEJĦA TAL-ISMIJIET </w:t>
        <w:br/>
        <w:t>MILL-KUMITAT LI JINTALAB JAGĦTI OPINJONI</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Tifsira tas-simboli użati:</w:t>
      </w:r>
    </w:p>
    <w:p>
      <w:pPr>
        <w:pStyle w:val="NormalTab"/>
      </w:pPr>
      <w:r>
        <w:t>+</w:t>
      </w:r>
      <w:r>
        <w:t xml:space="preserve">  :  </w:t>
      </w:r>
      <w:r>
        <w:t>favur</w:t>
      </w:r>
    </w:p>
    <w:p>
      <w:pPr>
        <w:pStyle w:val="NormalTab"/>
      </w:pPr>
      <w:r>
        <w:t>-</w:t>
      </w:r>
      <w:r>
        <w:t xml:space="preserve">  :  </w:t>
      </w:r>
      <w:r>
        <w:t>kontra</w:t>
      </w:r>
    </w:p>
    <w:p>
      <w:pPr>
        <w:pStyle w:val="NormalTab"/>
      </w:pPr>
      <w:r>
        <w:t>0</w:t>
      </w:r>
      <w:r>
        <w:t xml:space="preserve">  :  </w:t>
      </w:r>
      <w:r>
        <w:t>astensjoni</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43</w:t>
    </w:r>
    <w:r>
      <w:fldChar w:fldCharType="end"/>
    </w:r>
    <w:r>
      <w:tab/>
    </w:r>
    <w:r>
      <w:rPr>
        <w:rStyle w:val="HideTWBExt"/>
      </w:rPr>
      <w:t>&lt;PathFdR&gt;</w:t>
    </w:r>
    <w:r>
      <w:t>AD\1330371MT.docx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AD\1330371MT.docx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43</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AD\1330371MT.docx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MT</w:t>
    </w:r>
    <w:r>
      <w:tab/>
    </w:r>
    <w:r>
      <w:rPr>
        <w:rStyle w:val="EPFooter2Motto"/>
      </w:rPr>
      <w:t>Magħquda fid-diversità</w:t>
    </w:r>
    <w:r>
      <w:tab/>
    </w:r>
    <w:r>
      <w:t>MT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Il-Ftehim Interistituzzjonali tal-20 ta’ Mejju 2021 bejn il-Parlament Ewropew, il-Kunsill tal-Unjoni Ewropea u l-Kummissjoni Ewropea dwar Reġistru Obbligatorju ta’ Trasparenza (ĠU L 207, 11.6.2021, p.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12b">
    <w:name w:val="NormalBold12b"/>
    <w:basedOn w:val="Normal"/>
    <w:pPr>
      <w:widowControl/>
      <w:spacing w:before="240"/>
    </w:pPr>
    <w:rPr>
      <w:b/>
    </w:r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Logo">
    <w:name w:val="EPLogo"/>
    <w:basedOn w:val="Normal"/>
    <w:pPr>
      <w:widowControl/>
      <w:jc w:val="right"/>
    </w:p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9361</Words>
  <Characters>69688</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367673</vt:lpwstr>
  </property>
  <property fmtid="{D5CDD505-2E9C-101B-9397-08002B2CF9AE}" pid="7" name="dmxml.render.traceId">
    <vt:lpwstr>6989fd7b40a28689d9f967b14248d9ba</vt:lpwstr>
  </property>
  <property fmtid="{D5CDD505-2E9C-101B-9397-08002B2CF9AE}" pid="8" name="FooterPath">
    <vt:lpwstr>AD\1330371MT.doc</vt:lpwstr>
  </property>
  <property fmtid="{D5CDD505-2E9C-101B-9397-08002B2CF9AE}" pid="9" name="PE Number">
    <vt:lpwstr>776.885</vt:lpwstr>
  </property>
  <property fmtid="{D5CDD505-2E9C-101B-9397-08002B2CF9AE}" pid="10" name="UID">
    <vt:lpwstr>eu.europa.europarl-DIN1-2025-0000199133_01.07-mt-02.00_text-xml</vt:lpwstr>
  </property>
</Properties>
</file>