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oter5.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B5544F" w:rsidRPr="00583CC8" w14:paraId="3D08EC40" w14:textId="77777777" w:rsidTr="00C85D0F">
        <w:trPr>
          <w:trHeight w:hRule="exact" w:val="1418"/>
        </w:trPr>
        <w:tc>
          <w:tcPr>
            <w:tcW w:w="6804" w:type="dxa"/>
            <w:shd w:val="clear" w:color="auto" w:fill="auto"/>
            <w:vAlign w:val="center"/>
          </w:tcPr>
          <w:p w14:paraId="2D91CF19" w14:textId="77777777" w:rsidR="004F48ED" w:rsidRPr="00583CC8" w:rsidRDefault="004E72A3" w:rsidP="00583CC8">
            <w:pPr>
              <w:pStyle w:val="EPName"/>
              <w:widowControl/>
            </w:pPr>
            <w:r w:rsidRPr="00583CC8">
              <w:t>Euroopan parlamentti</w:t>
            </w:r>
          </w:p>
          <w:p w14:paraId="4DC2AE66" w14:textId="77777777" w:rsidR="004F48ED" w:rsidRPr="00583CC8" w:rsidRDefault="004E72A3" w:rsidP="00583CC8">
            <w:pPr>
              <w:pStyle w:val="EPTerm"/>
              <w:widowControl/>
            </w:pPr>
            <w:r w:rsidRPr="00583CC8">
              <w:t>2024-2029</w:t>
            </w:r>
          </w:p>
        </w:tc>
        <w:tc>
          <w:tcPr>
            <w:tcW w:w="2268" w:type="dxa"/>
            <w:shd w:val="clear" w:color="auto" w:fill="auto"/>
          </w:tcPr>
          <w:p w14:paraId="40A9615C" w14:textId="77777777" w:rsidR="004F48ED" w:rsidRPr="00583CC8" w:rsidRDefault="004E72A3" w:rsidP="00583CC8">
            <w:pPr>
              <w:pStyle w:val="EPLogo"/>
              <w:widowControl/>
            </w:pPr>
            <w:r w:rsidRPr="00583CC8">
              <w:rPr>
                <w:noProof/>
                <w:lang w:eastAsia="ja-JP"/>
              </w:rPr>
              <w:drawing>
                <wp:inline distT="0" distB="0" distL="0" distR="0" wp14:anchorId="3C335259" wp14:editId="17EAF32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1A5C2752" w14:textId="77777777" w:rsidR="00E9601C" w:rsidRPr="00583CC8" w:rsidRDefault="00E9601C" w:rsidP="00583CC8">
      <w:pPr>
        <w:pStyle w:val="LineTop"/>
        <w:widowControl/>
      </w:pPr>
    </w:p>
    <w:p w14:paraId="5C5D46FC" w14:textId="77777777" w:rsidR="00E9601C" w:rsidRPr="00583CC8" w:rsidRDefault="004E72A3" w:rsidP="00583CC8">
      <w:pPr>
        <w:pStyle w:val="EPBody"/>
        <w:widowControl/>
      </w:pPr>
      <w:r w:rsidRPr="00583CC8">
        <w:rPr>
          <w:rStyle w:val="HideTWBExt"/>
        </w:rPr>
        <w:t>&lt;</w:t>
      </w:r>
      <w:r w:rsidRPr="00583CC8">
        <w:rPr>
          <w:rStyle w:val="HideTWBExt"/>
          <w:i w:val="0"/>
        </w:rPr>
        <w:t>Commission</w:t>
      </w:r>
      <w:r w:rsidRPr="00583CC8">
        <w:rPr>
          <w:rStyle w:val="HideTWBExt"/>
        </w:rPr>
        <w:t>&gt;</w:t>
      </w:r>
      <w:r w:rsidRPr="00583CC8">
        <w:rPr>
          <w:rStyle w:val="HideTWBInt"/>
          <w:color w:val="auto"/>
        </w:rPr>
        <w:t>{LIBE}</w:t>
      </w:r>
      <w:r w:rsidRPr="00583CC8">
        <w:t>Kansalaisvapauksien sekä oikeus- ja sisäasioiden valiokunta</w:t>
      </w:r>
      <w:r w:rsidRPr="00583CC8">
        <w:rPr>
          <w:rStyle w:val="HideTWBExt"/>
        </w:rPr>
        <w:t>&lt;/</w:t>
      </w:r>
      <w:r w:rsidRPr="00583CC8">
        <w:rPr>
          <w:rStyle w:val="HideTWBExt"/>
          <w:i w:val="0"/>
        </w:rPr>
        <w:t>Commission</w:t>
      </w:r>
      <w:r w:rsidRPr="00583CC8">
        <w:rPr>
          <w:rStyle w:val="HideTWBExt"/>
        </w:rPr>
        <w:t>&gt;</w:t>
      </w:r>
    </w:p>
    <w:p w14:paraId="0179155B" w14:textId="77777777" w:rsidR="00E9601C" w:rsidRPr="00583CC8" w:rsidRDefault="00E9601C" w:rsidP="00583CC8">
      <w:pPr>
        <w:pStyle w:val="LineBottom"/>
        <w:widowControl/>
      </w:pPr>
    </w:p>
    <w:p w14:paraId="1D34F570" w14:textId="77777777" w:rsidR="00932240" w:rsidRPr="00583CC8" w:rsidRDefault="004E72A3" w:rsidP="00583CC8">
      <w:pPr>
        <w:pStyle w:val="CoverReference"/>
        <w:widowControl/>
      </w:pPr>
      <w:r w:rsidRPr="00583CC8">
        <w:rPr>
          <w:rStyle w:val="HideTWBExt"/>
          <w:b w:val="0"/>
        </w:rPr>
        <w:t>&lt;RefProc&gt;</w:t>
      </w:r>
      <w:r w:rsidRPr="00583CC8">
        <w:t>2025/2156</w:t>
      </w:r>
      <w:r w:rsidRPr="00583CC8">
        <w:rPr>
          <w:rStyle w:val="HideTWBExt"/>
          <w:b w:val="0"/>
        </w:rPr>
        <w:t>&lt;/RefProc&gt;&lt;RefTypeProc&gt;</w:t>
      </w:r>
      <w:r w:rsidRPr="00583CC8">
        <w:t>(DEC)</w:t>
      </w:r>
      <w:r w:rsidRPr="00583CC8">
        <w:rPr>
          <w:rStyle w:val="HideTWBExt"/>
          <w:b w:val="0"/>
        </w:rPr>
        <w:t>&lt;/RefTypeProc&gt;</w:t>
      </w:r>
    </w:p>
    <w:p w14:paraId="13B89811" w14:textId="77777777" w:rsidR="002E2F2E" w:rsidRPr="00583CC8" w:rsidRDefault="004E72A3" w:rsidP="00583CC8">
      <w:pPr>
        <w:pStyle w:val="CoverDate"/>
        <w:widowControl/>
      </w:pPr>
      <w:r w:rsidRPr="00583CC8">
        <w:rPr>
          <w:rStyle w:val="HideTWBExt"/>
        </w:rPr>
        <w:t>&lt;Date&gt;</w:t>
      </w:r>
      <w:r w:rsidRPr="00583CC8">
        <w:rPr>
          <w:rStyle w:val="HideTWBInt"/>
          <w:color w:val="auto"/>
        </w:rPr>
        <w:t>{07/04/2026}</w:t>
      </w:r>
      <w:r w:rsidRPr="00583CC8">
        <w:t>7.4.2026</w:t>
      </w:r>
      <w:r w:rsidRPr="00583CC8">
        <w:rPr>
          <w:rStyle w:val="HideTWBExt"/>
        </w:rPr>
        <w:t>&lt;/Date&gt;</w:t>
      </w:r>
    </w:p>
    <w:p w14:paraId="2BAE8301" w14:textId="77777777" w:rsidR="002E2F2E" w:rsidRPr="00583CC8" w:rsidRDefault="004E72A3" w:rsidP="00583CC8">
      <w:pPr>
        <w:pStyle w:val="CoverDocType24a"/>
        <w:widowControl/>
      </w:pPr>
      <w:r w:rsidRPr="00583CC8">
        <w:rPr>
          <w:rStyle w:val="HideTWBExt"/>
          <w:b w:val="0"/>
        </w:rPr>
        <w:t>&lt;TitreType&gt;</w:t>
      </w:r>
      <w:r w:rsidRPr="00583CC8">
        <w:t>LAUSUNTO</w:t>
      </w:r>
      <w:r w:rsidRPr="00583CC8">
        <w:rPr>
          <w:rStyle w:val="HideTWBExt"/>
          <w:b w:val="0"/>
        </w:rPr>
        <w:t>&lt;/TitreType&gt;</w:t>
      </w:r>
    </w:p>
    <w:p w14:paraId="60E48FBF" w14:textId="77777777" w:rsidR="002E2F2E" w:rsidRPr="00583CC8" w:rsidRDefault="004E72A3" w:rsidP="00583CC8">
      <w:pPr>
        <w:pStyle w:val="CoverNormal24a"/>
        <w:widowControl/>
      </w:pPr>
      <w:r w:rsidRPr="00583CC8">
        <w:rPr>
          <w:rStyle w:val="HideTWBExt"/>
        </w:rPr>
        <w:t>&lt;CommissionResp&gt;</w:t>
      </w:r>
      <w:r w:rsidRPr="00583CC8">
        <w:t>kansalaisvapauksien sekä oikeus- ja sisäasioiden valiokunnalta</w:t>
      </w:r>
      <w:r w:rsidRPr="00583CC8">
        <w:rPr>
          <w:rStyle w:val="HideTWBExt"/>
        </w:rPr>
        <w:t>&lt;/CommissionResp&gt;</w:t>
      </w:r>
    </w:p>
    <w:p w14:paraId="3B6B746E" w14:textId="77777777" w:rsidR="002E2F2E" w:rsidRPr="00583CC8" w:rsidRDefault="004E72A3" w:rsidP="00583CC8">
      <w:pPr>
        <w:pStyle w:val="CoverNormal24a"/>
        <w:widowControl/>
      </w:pPr>
      <w:r w:rsidRPr="00583CC8">
        <w:rPr>
          <w:rStyle w:val="HideTWBExt"/>
        </w:rPr>
        <w:t>&lt;CommissionInt&gt;</w:t>
      </w:r>
      <w:r w:rsidRPr="00583CC8">
        <w:t>talousarvion valvontavaliokunnalle</w:t>
      </w:r>
      <w:r w:rsidRPr="00583CC8">
        <w:rPr>
          <w:rStyle w:val="HideTWBExt"/>
        </w:rPr>
        <w:t>&lt;/CommissionInt&gt;</w:t>
      </w:r>
    </w:p>
    <w:p w14:paraId="245E809F" w14:textId="77777777" w:rsidR="00932240" w:rsidRPr="00583CC8" w:rsidRDefault="004E72A3" w:rsidP="00583CC8">
      <w:pPr>
        <w:pStyle w:val="CoverNormal"/>
        <w:widowControl/>
      </w:pPr>
      <w:r w:rsidRPr="00583CC8">
        <w:rPr>
          <w:rStyle w:val="HideTWBExt"/>
        </w:rPr>
        <w:t>&lt;Titre&gt;</w:t>
      </w:r>
      <w:r w:rsidRPr="00583CC8">
        <w:t>vastuuvapauden myöntämisestä Euroopan unionin virastojen talousarvioiden toteuttamisesta varainhoitovuonna 2024</w:t>
      </w:r>
      <w:r w:rsidRPr="00583CC8">
        <w:rPr>
          <w:rStyle w:val="HideTWBExt"/>
        </w:rPr>
        <w:t>&lt;/Titre&gt;</w:t>
      </w:r>
    </w:p>
    <w:p w14:paraId="58791360" w14:textId="77777777" w:rsidR="00932240" w:rsidRPr="00583CC8" w:rsidRDefault="004E72A3" w:rsidP="00583CC8">
      <w:pPr>
        <w:pStyle w:val="CoverNormal24a"/>
        <w:widowControl/>
      </w:pPr>
      <w:r w:rsidRPr="00583CC8">
        <w:rPr>
          <w:rStyle w:val="HideTWBExt"/>
        </w:rPr>
        <w:t>&lt;DocRef&gt;</w:t>
      </w:r>
      <w:r w:rsidRPr="00583CC8">
        <w:t>(2025/2156(DEC))</w:t>
      </w:r>
      <w:r w:rsidRPr="00583CC8">
        <w:rPr>
          <w:rStyle w:val="HideTWBExt"/>
        </w:rPr>
        <w:t>&lt;/DocRef&gt;</w:t>
      </w:r>
    </w:p>
    <w:p w14:paraId="37E92BE2" w14:textId="77777777" w:rsidR="00977F76" w:rsidRPr="00583CC8" w:rsidRDefault="004E72A3" w:rsidP="00583CC8">
      <w:pPr>
        <w:pStyle w:val="CoverNormal"/>
        <w:widowControl/>
        <w:rPr>
          <w:rStyle w:val="HideTWBExt"/>
        </w:rPr>
      </w:pPr>
      <w:r w:rsidRPr="00583CC8">
        <w:t xml:space="preserve">Valmistelija: </w:t>
      </w:r>
      <w:r w:rsidRPr="00583CC8">
        <w:rPr>
          <w:rStyle w:val="HideTWBExt"/>
        </w:rPr>
        <w:t>&lt;Depute&gt;</w:t>
      </w:r>
      <w:bookmarkStart w:id="0" w:name="DocEPLastVariable"/>
      <w:bookmarkEnd w:id="0"/>
      <w:r w:rsidRPr="00583CC8">
        <w:t>Evin Incir</w:t>
      </w:r>
      <w:r w:rsidRPr="00583CC8">
        <w:rPr>
          <w:rStyle w:val="HideTWBExt"/>
        </w:rPr>
        <w:t>&lt;/Depute&gt;</w:t>
      </w:r>
    </w:p>
    <w:p w14:paraId="0745470F" w14:textId="77777777" w:rsidR="00BC15CB" w:rsidRPr="00583CC8" w:rsidRDefault="00BC15CB" w:rsidP="00583CC8">
      <w:pPr>
        <w:pStyle w:val="CoverNormal"/>
        <w:widowControl/>
      </w:pPr>
    </w:p>
    <w:p w14:paraId="07C3C8A5" w14:textId="77777777" w:rsidR="00932240" w:rsidRPr="00583CC8" w:rsidRDefault="004E72A3" w:rsidP="00583CC8">
      <w:pPr>
        <w:widowControl/>
        <w:tabs>
          <w:tab w:val="center" w:pos="4677"/>
        </w:tabs>
      </w:pPr>
      <w:r w:rsidRPr="00583CC8">
        <w:br w:type="page"/>
      </w:r>
      <w:bookmarkStart w:id="1" w:name="FootprintPageAD"/>
      <w:r w:rsidRPr="00583CC8">
        <w:lastRenderedPageBreak/>
        <w:t>PA_NonLegDec</w:t>
      </w:r>
    </w:p>
    <w:p w14:paraId="7CF50C46" w14:textId="77777777" w:rsidR="00932240" w:rsidRPr="00583CC8" w:rsidRDefault="004E72A3" w:rsidP="00583CC8">
      <w:pPr>
        <w:pStyle w:val="PageHeadingNotTOC"/>
        <w:widowControl/>
      </w:pPr>
      <w:r w:rsidRPr="00583CC8">
        <w:br w:type="page"/>
        <w:t>LAUSUNTO</w:t>
      </w:r>
    </w:p>
    <w:p w14:paraId="5FE4CB52" w14:textId="77777777" w:rsidR="00932240" w:rsidRPr="00583CC8" w:rsidRDefault="004E72A3" w:rsidP="00583CC8">
      <w:pPr>
        <w:pStyle w:val="Normal12a"/>
        <w:widowControl/>
      </w:pPr>
      <w:r w:rsidRPr="00583CC8">
        <w:t xml:space="preserve">Kansalaisvapauksien sekä oikeus- ja sisäasioiden valiokunta pyytää asiasta vastaavaa talousarvion </w:t>
      </w:r>
      <w:r w:rsidRPr="00583CC8">
        <w:t>valvontavaliokuntaa sisällyttämään seuraavan päätöslauselmaesitykseen, jonka se myöhemmin hyväksyy:</w:t>
      </w:r>
    </w:p>
    <w:p w14:paraId="6758E639" w14:textId="77777777" w:rsidR="00932240" w:rsidRPr="00583CC8" w:rsidRDefault="004E72A3" w:rsidP="00583CC8">
      <w:pPr>
        <w:pStyle w:val="NormalHanging12a"/>
        <w:widowControl/>
        <w:rPr>
          <w:szCs w:val="24"/>
        </w:rPr>
      </w:pPr>
      <w:r w:rsidRPr="00583CC8">
        <w:t>1.</w:t>
      </w:r>
      <w:r w:rsidRPr="00583CC8">
        <w:tab/>
        <w:t>kehottaa kaikkia oikeus- ja sisäasioiden virastoja tehostamaan sisäisiä tehokkuuden tarkastuksia ja välttämään hallintorakenteiden päällekkäisyyttä; vaatii, että jokaiseen määräraha- tai henkilöstölisäykseen on liitettävä mitattavissa olevia tulosindikaattoreita;</w:t>
      </w:r>
    </w:p>
    <w:p w14:paraId="588505F4" w14:textId="77777777" w:rsidR="00932240" w:rsidRPr="00583CC8" w:rsidRDefault="004E72A3" w:rsidP="00583CC8">
      <w:pPr>
        <w:pStyle w:val="NormalHanging12a"/>
        <w:widowControl/>
        <w:rPr>
          <w:szCs w:val="24"/>
        </w:rPr>
      </w:pPr>
      <w:r w:rsidRPr="00583CC8">
        <w:t>(Huom. tämä lisäys esitetään ennen osaa I)</w:t>
      </w:r>
    </w:p>
    <w:p w14:paraId="0242350A" w14:textId="77777777" w:rsidR="00932240" w:rsidRPr="00583CC8" w:rsidRDefault="004E72A3" w:rsidP="00583CC8">
      <w:pPr>
        <w:pStyle w:val="Normal12a"/>
        <w:widowControl/>
        <w:rPr>
          <w:b/>
          <w:bCs/>
          <w:i/>
          <w:iCs/>
        </w:rPr>
      </w:pPr>
      <w:r w:rsidRPr="00583CC8">
        <w:rPr>
          <w:b/>
          <w:i/>
        </w:rPr>
        <w:t xml:space="preserve">Osa I – Vastuuvapauden myöntäminen Euroopan unionin rikosoikeudellisen yhteistyön viraston </w:t>
      </w:r>
      <w:r w:rsidRPr="00583CC8">
        <w:rPr>
          <w:b/>
          <w:i/>
        </w:rPr>
        <w:t>talousarvion toteuttamisesta varainhoitovuonna 2024</w:t>
      </w:r>
    </w:p>
    <w:p w14:paraId="40F97A7A" w14:textId="7BB0CA1C" w:rsidR="00932240" w:rsidRPr="00583CC8" w:rsidRDefault="004E72A3" w:rsidP="00583CC8">
      <w:pPr>
        <w:pStyle w:val="NormalHanging12a"/>
        <w:widowControl/>
      </w:pPr>
      <w:bookmarkStart w:id="2" w:name="_Hlk211414452"/>
      <w:r w:rsidRPr="00583CC8">
        <w:t>2.</w:t>
      </w:r>
      <w:r w:rsidRPr="00583CC8">
        <w:tab/>
        <w:t>panee merkille, että Euroopan unionin rikosoikeudellisen yhteistyön viraston (Eurojust) operatiivinen toiminta lisääntyi tasaisesti ja että vuonna 2024 toimintaan liittyi 12 972 tapausta, yli 640 koordinointikokousta, 32 koordinointikeskusta ja 361</w:t>
      </w:r>
      <w:r w:rsidR="00583CC8">
        <w:t> </w:t>
      </w:r>
      <w:r w:rsidRPr="00583CC8">
        <w:t>yhteistä tutkintaryhmää (vuotuinen lisäys 25 prosenttia) ja että virasto helpotti 452</w:t>
      </w:r>
      <w:r w:rsidR="00583CC8">
        <w:t> </w:t>
      </w:r>
      <w:r w:rsidRPr="00583CC8">
        <w:t>eurooppalaisen pidätysmääräyksen täytäntöönpanoa ja 2 668 eurooppalaisen tutkintamääräyksen käyttöä;</w:t>
      </w:r>
    </w:p>
    <w:p w14:paraId="3DDC7CDB" w14:textId="77777777" w:rsidR="00932240" w:rsidRPr="00583CC8" w:rsidRDefault="004E72A3" w:rsidP="00583CC8">
      <w:pPr>
        <w:pStyle w:val="NormalHanging12a"/>
        <w:widowControl/>
      </w:pPr>
      <w:r w:rsidRPr="00583CC8">
        <w:t>3.</w:t>
      </w:r>
      <w:r w:rsidRPr="00583CC8">
        <w:tab/>
        <w:t>antaa tunnustusta tehokkuushyödyistä, joita Eurojust on saanut aikaan toteuttamalla 99,94 prosenttia talousarviostaan ja täyttämällä 98,35 prosenttia henkilöstötaulukostaan; panee merkille, että nämä tulokset on saatu aikaan huolimatta merkittävistä budjettirajoituksista, jotka johtuivat lisääntyneestä operatiivisesta työmäärästä ja korkeasta inflaatiosta;</w:t>
      </w:r>
    </w:p>
    <w:bookmarkEnd w:id="2"/>
    <w:p w14:paraId="4EAEA291" w14:textId="77777777" w:rsidR="00932240" w:rsidRPr="00583CC8" w:rsidRDefault="004E72A3" w:rsidP="00583CC8">
      <w:pPr>
        <w:pStyle w:val="NormalHanging12a"/>
        <w:widowControl/>
        <w:rPr>
          <w:szCs w:val="24"/>
        </w:rPr>
      </w:pPr>
      <w:r w:rsidRPr="00583CC8">
        <w:t>4.</w:t>
      </w:r>
      <w:r w:rsidRPr="00583CC8">
        <w:tab/>
        <w:t>suhtautuu myönteisesti siihen, että Eurojust on tukenut Ukrainaa vastaan käytävään hyökkäyssotaan liittyviä toimia, väitettyjä kaikkein vakavimpia kansainvälisiä rikoksia tutkivaa yhteistä tutkintaryhmää, kansainvälisen rikosaineistotietokannan (CICED) täytäntöönpanoa ja hyökkäysrikoksen syytteeseenpanoon liittyvän, Eurojustin isännöimän kansainvälisen keskuksen kehittämistä; korostaa, että näihin toimiin ja niiden kehittämiseen on osoitettava riittävästi taloudellisia ja henkilöresursseja;</w:t>
      </w:r>
    </w:p>
    <w:p w14:paraId="1C9F79AE" w14:textId="77777777" w:rsidR="00932240" w:rsidRPr="00583CC8" w:rsidRDefault="004E72A3" w:rsidP="00583CC8">
      <w:pPr>
        <w:pStyle w:val="NormalHanging12a"/>
        <w:widowControl/>
      </w:pPr>
      <w:r w:rsidRPr="00583CC8">
        <w:t>5.</w:t>
      </w:r>
      <w:r w:rsidRPr="00583CC8">
        <w:tab/>
        <w:t>pitää myönteisenä, että syyskuussa 2024 käynnistettiin Eurojustin isännöimä järjestäytyneeseen rikollisuuteen erikoistunut Euroopan oikeudellinen verkosto (EJOCN), joka on ainutlaatuinen järjestäytyneen rikollisuuden tutkintaan ja sitä koskeviin syytetoimiin osallistuvien oikeusviranomaisten välisen asiantuntemuksen vaihdon keskus; huomauttaa, että verkostolle on määriteltävä johdonmukainen kehitysstrategia, jotta voidaan lisätä sen merkitystä alan toimijoiden kannalta;</w:t>
      </w:r>
    </w:p>
    <w:p w14:paraId="2D0BDC5B" w14:textId="77777777" w:rsidR="00932240" w:rsidRPr="00583CC8" w:rsidRDefault="004E72A3" w:rsidP="00583CC8">
      <w:pPr>
        <w:pStyle w:val="NormalHanging12a"/>
        <w:widowControl/>
      </w:pPr>
      <w:r w:rsidRPr="00583CC8">
        <w:t>6.</w:t>
      </w:r>
      <w:r w:rsidRPr="00583CC8">
        <w:tab/>
        <w:t>suhtautuu myönteisesti siihen, että Eurojust on tehnyt kolmansien maiden kanssa työjärjestelyjä ja hyväksynyt kansainvälisten kumppaneiden kanssa tehtävää yhteistyötä koskevan strategian vuosiksi 2024–2027; kehottaa vahvistamaan sen kansainvälisiä yhteistyötoimia kehittämällä edelleen työjärjestelyjä sekä solmimalla kumppanuuksia ja tekemällä yhteistyösopimuksia;</w:t>
      </w:r>
    </w:p>
    <w:p w14:paraId="3B116839" w14:textId="77777777" w:rsidR="00932240" w:rsidRPr="00583CC8" w:rsidRDefault="004E72A3" w:rsidP="00583CC8">
      <w:pPr>
        <w:pStyle w:val="NormalHanging12a"/>
        <w:widowControl/>
      </w:pPr>
      <w:r w:rsidRPr="00583CC8">
        <w:t>7.</w:t>
      </w:r>
      <w:r w:rsidRPr="00583CC8">
        <w:tab/>
        <w:t>pitää myönteisenä Eurojustin tiivistä yhteistyötä Euroopan unionin lainvalvontayhteistyöviraston (Europol) kanssa ja virastojen välisen työryhmän perustamista yhteistyömahdollisuuksien selvittämiseksi edelleen; korostaa, että Eurojustin, Europolin ja Euroopan syyttäjänviraston (EPPO) lainsäädännön uudelleentarkastelusykli tarjoaa ainutlaatuisen tilaisuuden lisätä entisestään niiden välisiä synergioita erityisesti operatiivisessa yhteistyössä ja aineistojen ja tietojen vaihdossa siten, että varmistetaan täy</w:t>
      </w:r>
      <w:r w:rsidRPr="00583CC8">
        <w:t>dentävyys ja vältetään päällekkäisyydet tai toisto niiden lakisääteisissä toimivaltuuksissa;</w:t>
      </w:r>
    </w:p>
    <w:p w14:paraId="25D83264" w14:textId="77777777" w:rsidR="00932240" w:rsidRPr="00583CC8" w:rsidRDefault="004E72A3" w:rsidP="00583CC8">
      <w:pPr>
        <w:pStyle w:val="NormalHanging12a"/>
        <w:widowControl/>
        <w:rPr>
          <w:bCs/>
          <w:iCs/>
          <w:szCs w:val="24"/>
        </w:rPr>
      </w:pPr>
      <w:r w:rsidRPr="00583CC8">
        <w:t>8.</w:t>
      </w:r>
      <w:r w:rsidRPr="00583CC8">
        <w:tab/>
        <w:t>kehottaa Europolia osoittamaan erityisen Eurojustin yhteyspisteen, joka vastaa tietojenvaihdon helpottamisesta, yhteyksien varmistamisesta yhteisissä tapauksissa ja Eurojustin yhteisten tutkintaryhmien ja Europolin operatiivisten työryhmien välisen koordinoinnin parantamisesta;</w:t>
      </w:r>
    </w:p>
    <w:p w14:paraId="7211FE71" w14:textId="77777777" w:rsidR="00932240" w:rsidRPr="00583CC8" w:rsidRDefault="004E72A3" w:rsidP="00583CC8">
      <w:pPr>
        <w:pStyle w:val="NormalHanging12a"/>
        <w:widowControl/>
        <w:rPr>
          <w:bCs/>
          <w:iCs/>
          <w:szCs w:val="24"/>
        </w:rPr>
      </w:pPr>
      <w:r w:rsidRPr="00583CC8">
        <w:t>9.</w:t>
      </w:r>
      <w:r w:rsidRPr="00583CC8">
        <w:tab/>
        <w:t>peräänkuuluttaa lisäksi Eurojustin ja Europolin välistä kohdennettua yhteentoimivuutta, jolla varmistetaan oikeasuhteisuus, oikeusvarmuus ja luottamuksellisuus, jotta voidaan havaita paremmin oikeudellisten ja lainvalvontatutkintojen välisiä yhteyksiä varhaisessa vaiheessa;</w:t>
      </w:r>
    </w:p>
    <w:p w14:paraId="375B2645" w14:textId="77777777" w:rsidR="00932240" w:rsidRPr="00583CC8" w:rsidRDefault="004E72A3" w:rsidP="00583CC8">
      <w:pPr>
        <w:pStyle w:val="NormalHanging12a"/>
        <w:widowControl/>
        <w:rPr>
          <w:szCs w:val="24"/>
        </w:rPr>
      </w:pPr>
      <w:r w:rsidRPr="00583CC8">
        <w:t>10.</w:t>
      </w:r>
      <w:r w:rsidRPr="00583CC8">
        <w:tab/>
        <w:t>panee erittäin huolestuneena merkille merkittävät viivästykset uuden asianhallintajärjestelmän täytäntöönpanossa; korostaa, että nämä viivästykset voivat vaikuttaa todisteiden hyväksyttävyyteen Eurojustin käsittelemissä tapauksissa, mukaan lukien CICED-tietokantaan tallennetut tapaukset; kehottaa Euroopan komissiota ja Eurojustia laatimaan yhdessä asianhallintajärjestelmälle avoimen aikataulun ja riskinhallintasuunnitelman, joilla varmistetaan toiminnan jatkuvuus ja tietojen eheys kaikissa meneillään olevi</w:t>
      </w:r>
      <w:r w:rsidRPr="00583CC8">
        <w:t>ssa tutkinnoissa; kehottaa Euroopan komissiota tekemään järjestelmällisiä vaikutustenarviointeja ja arvioimaan tarvittavia toimia monimutkaisten tietojärjestelmien kehittämisessä erityisesti silloin, kun lainsäädäntöehdotuksissa esitetään niiden perustamiselle ja toiminnalle asetettuja määräaikoja;</w:t>
      </w:r>
    </w:p>
    <w:p w14:paraId="3ED7EA3A" w14:textId="77777777" w:rsidR="00932240" w:rsidRPr="00583CC8" w:rsidRDefault="004E72A3" w:rsidP="00583CC8">
      <w:pPr>
        <w:pStyle w:val="Normal12a"/>
        <w:widowControl/>
        <w:rPr>
          <w:i/>
          <w:iCs/>
        </w:rPr>
      </w:pPr>
      <w:r w:rsidRPr="00583CC8">
        <w:rPr>
          <w:b/>
          <w:i/>
        </w:rPr>
        <w:t>Osa II – Vastuuvapauden myöntäminen Euroopan unionin perusoikeusviraston talousarvion toteuttamisesta varainhoitovuonna 2024</w:t>
      </w:r>
    </w:p>
    <w:p w14:paraId="7C417FA5" w14:textId="77777777" w:rsidR="00932240" w:rsidRPr="00583CC8" w:rsidRDefault="004E72A3" w:rsidP="00583CC8">
      <w:pPr>
        <w:pStyle w:val="NormalHanging12a"/>
        <w:widowControl/>
      </w:pPr>
      <w:r w:rsidRPr="00583CC8">
        <w:t>11.</w:t>
      </w:r>
      <w:r w:rsidRPr="00583CC8">
        <w:tab/>
        <w:t>pitää myönteisenä, että Euroopan unionin perusoikeusvirasto (FRA) pystyi saavuttamaan tavoitteensa ja toteuttamaan vuotuisessa työohjelmassaan esitetyt toimet, vaikka henkilö- ja rahoitusresursseista oli jatkuvasti pulaa etenkin, kun viraston toimeksiantoa on laajennettu huomattavasti; panee jälleen huolestuneena merkille, että FRA:n rahoitus- ja henkilöresurssit ovat edelleen rajalliset; kehottaa osoittamaan FRA:lle lisäresursseja sekä talousarvioon että henkilöstöön; panee merkille, että tuotettujen julk</w:t>
      </w:r>
      <w:r w:rsidRPr="00583CC8">
        <w:t>aisujen määrä oli 102, kun tavoitteeksi oli asetettu 50, sellaisten ulkoisten kokousten ja tapahtumien määrä, joissa virasto piti esityksen, käytti puheenvuoroja tai joihin se osallistui virallisesti, oli 223, kun tavoitteeksi oli asetettu 120, kirjallisten ja suullisten kannanottojen määrä oli 520, kun tavoitteeksi oli asetettu 120, ja tuotettujen viestintämateriaalien määrä oli 3 617, kun tavoitteeksi oli asetettu 1 000; panee tyytyväisenä merkille, että FRA:n toteutuman taso on erittäin korkea, yli 99 pr</w:t>
      </w:r>
      <w:r w:rsidRPr="00583CC8">
        <w:t>osenttia; katsoo sen olevan tärkeä varainhoidon moitteettomuutta ja talousarvioperiaatteiden noudattamista mittaava indikaattori; suhtautuu myönteisesti muiden EU:n virastojen sekä kansainvälisten ja kansallisten ihmisoikeuselinten ja kansalaisyhteiskunnan kanssa tehtävään yhteistyöhön perusoikeuksien noudattamisen varmistamiseksi; korostaa, että resurssien puute voi vaikuttaa viraston työn laatuun, ja toteaa, että laatu on ollut erittäin tärkeä sen varmistamiseksi, että EU:n politiikassa ja lainsäädännössä</w:t>
      </w:r>
      <w:r w:rsidRPr="00583CC8">
        <w:t xml:space="preserve"> otetaan huomioon perusoikeudet;</w:t>
      </w:r>
    </w:p>
    <w:p w14:paraId="77CACF34" w14:textId="7DD8DCD8" w:rsidR="00932240" w:rsidRPr="00583CC8" w:rsidRDefault="004E72A3" w:rsidP="00583CC8">
      <w:pPr>
        <w:pStyle w:val="NormalHanging12a"/>
        <w:widowControl/>
        <w:rPr>
          <w:szCs w:val="24"/>
        </w:rPr>
      </w:pPr>
      <w:r w:rsidRPr="00583CC8">
        <w:t>12.</w:t>
      </w:r>
      <w:r w:rsidRPr="00583CC8">
        <w:tab/>
        <w:t>korostaa FRA:n roolia perusoikeuksien ja oikeusvaltioperiaatteen alan keskeisenä toimijana, sellaisena kuin ne on vahvistettu perusoikeuskirjassa, joka on EU:n primaarioikeutta, ja antaa tunnustusta viraston tuesta perusoikeuksien kunnioittamisen, suojelun ja toteutumisen varmistamiseen voimassa olevassa EU:n lainsäädännössä ja nykyisissä toimintapolitiikoissa, mukaan lukien sen panos tasa-arvoa ja syrjimättömyyttä koskeviin aloitteisiin, jotka koskevat esimerkiksi seksismin, rasismin, antisemitismin ja is</w:t>
      </w:r>
      <w:r w:rsidRPr="00583CC8">
        <w:t>lamofobian torjuntaa, sekä yhdenvertaisuustietojen keruuseen, avustamiseen romaneja koskevien kansallisten strategiakehysten täytäntöönpanossa ja tietojen antamiseen komission kertomuksiin EU:n rasismintorjunnan toimintasuunnitelmasta 2020–2025 ja siihen liittyvistä kansallisista toimintasuunnitelmista, hlbtiq-henkilöiden tasa-arvoa koskevasta strategiasta 2020</w:t>
      </w:r>
      <w:r w:rsidR="00583CC8">
        <w:noBreakHyphen/>
      </w:r>
      <w:r w:rsidRPr="00583CC8">
        <w:t>2025 sekä antisemitismin torjumista ja juutalaisen elämäntavan vaalimista koskevan EU:n strategian ensimmäisestä edistymiskertomuksesta; toteaa, että FRA:lla on tärkeä rooli komission vuotuisen oikeusvaltiokertomuksen valmistelussa; korostaa perusoikeusviraston tärkeää roolia kansalaisyhteiskunnan suojelun edistämisessä ja vaarassa olevien ihmisoikeuksien puolustajien suojelemisessa; sekä Euroopan unionin perusoikeuskirjaan, kansainvälisiin ihmisoikeusnormeihin ja vuotuiseen perusoikeuskertomukseen liittyvä</w:t>
      </w:r>
      <w:r w:rsidRPr="00583CC8">
        <w:t>n tutkimuksen ja valmiuksien kehittämisen tukemisessa; katsoo kuitenkin, että FRAN:n toimeksiannon laajentamisen on oltava oikeassa suhteessa sen ydintehtävään;</w:t>
      </w:r>
    </w:p>
    <w:p w14:paraId="3A7BFE3E" w14:textId="77777777" w:rsidR="00932240" w:rsidRPr="00583CC8" w:rsidRDefault="004E72A3" w:rsidP="00583CC8">
      <w:pPr>
        <w:pStyle w:val="NormalHanging12a"/>
        <w:widowControl/>
      </w:pPr>
      <w:r w:rsidRPr="00583CC8">
        <w:t>13.</w:t>
      </w:r>
      <w:r w:rsidRPr="00583CC8">
        <w:tab/>
        <w:t>pitää myönteisenä FRA:n ensimmäistä hanketta, jossa tarjotaan strategista ennakointia perusoikeuksien alalla ja jonka tavoitteena on ennakoida perusoikeuksiin kohdistuvia tulevia haasteita ja antaa virastolle mahdollisuus tukea paremmin EU:n päätöksentekoa ja jäsenvaltioita esiin nousevien ongelmien ratkaisemisessa;</w:t>
      </w:r>
    </w:p>
    <w:p w14:paraId="41D57035" w14:textId="77777777" w:rsidR="00932240" w:rsidRPr="00583CC8" w:rsidRDefault="004E72A3" w:rsidP="00583CC8">
      <w:pPr>
        <w:pStyle w:val="NormalHanging12a"/>
        <w:widowControl/>
      </w:pPr>
      <w:r w:rsidRPr="00583CC8">
        <w:t>14.</w:t>
      </w:r>
      <w:r w:rsidRPr="00583CC8">
        <w:tab/>
        <w:t xml:space="preserve">korostaa FRA:n ohjausta ja toimintaa turvapaikka- ja muuttoliikeasioiden, rajojen ja yhteentoimivuuden alalla ja sen tärkeää keskittymistä perusoikeuksiin, </w:t>
      </w:r>
      <w:r w:rsidRPr="00583CC8">
        <w:t>jäsenvaltioiden kansainvälisiin velvoitteisiin ja EU:n ihmisoikeuslainsäädäntöön tällä alalla, mukaan lukien viraston muuttoliikepoliittinen työ, jonka tavoitteena on, että muuttoliikepolitiikat suunnitellaan ja pannaan täytäntöön perusoikeuksia kaikilta osin kunnioittaen, sekä kansallisille viranomaisille järjestettävät koulutustilaisuudet, joissa keskitytään muun muassa perusoikeustakeisiin muuttoliike- ja turvapaikka-asioissa;</w:t>
      </w:r>
    </w:p>
    <w:p w14:paraId="343E795F" w14:textId="77777777" w:rsidR="00932240" w:rsidRPr="00583CC8" w:rsidRDefault="004E72A3" w:rsidP="00583CC8">
      <w:pPr>
        <w:pStyle w:val="NormalHanging12a"/>
        <w:widowControl/>
      </w:pPr>
      <w:r w:rsidRPr="00583CC8">
        <w:t>15.</w:t>
      </w:r>
      <w:r w:rsidRPr="00583CC8">
        <w:tab/>
        <w:t xml:space="preserve">suhtautuu myönteisesti FRA:n panokseen tekoälysäädökseen, sen digipalvelusäädöksen täytäntöönpanosta tarjoamaan asiantuntemukseen sekä sen julkaisemaan raporttiin yleisen tietosuoja-asetuksen täytäntöönpanoon liittyvistä haasteista ja toteaa, että se on perustana komission suorittamalle asetuksen arvioinnille; panee tyytyväisenä merkille FRA:n työn haitallisen verkkosisällön ja moderointikäytäntöjen saralla ja toteaa sen tehostaneen tietojen keruuta verkossa esiintyvästä vihapuheesta, kyberrikollisuudesta </w:t>
      </w:r>
      <w:r w:rsidRPr="00583CC8">
        <w:t>ja perusoikeuksista;</w:t>
      </w:r>
    </w:p>
    <w:p w14:paraId="5BC2FC5D" w14:textId="77777777" w:rsidR="00932240" w:rsidRPr="00583CC8" w:rsidRDefault="004E72A3" w:rsidP="00583CC8">
      <w:pPr>
        <w:pStyle w:val="Normal12a"/>
        <w:widowControl/>
        <w:rPr>
          <w:b/>
          <w:bCs/>
          <w:i/>
          <w:iCs/>
        </w:rPr>
      </w:pPr>
      <w:r w:rsidRPr="00583CC8">
        <w:rPr>
          <w:b/>
          <w:i/>
        </w:rPr>
        <w:t>Osa III – Vastuuvapauden myöntäminen Euroopan unionin turvapaikkaviraston talousarvion toteuttamisesta varainhoitovuonna 2024</w:t>
      </w:r>
    </w:p>
    <w:p w14:paraId="6258673B" w14:textId="77777777" w:rsidR="00932240" w:rsidRPr="00583CC8" w:rsidRDefault="004E72A3" w:rsidP="00583CC8">
      <w:pPr>
        <w:pStyle w:val="NormalHanging12a"/>
        <w:widowControl/>
      </w:pPr>
      <w:r w:rsidRPr="00583CC8">
        <w:t>16.</w:t>
      </w:r>
      <w:r w:rsidRPr="00583CC8">
        <w:tab/>
        <w:t>panee merkille, että Euroopan parlamentti päätti 7. toukokuuta 2025 lykätä päätöstä vastuuvapauden myöntämisestä Euroopan unionin turvapaikkaviraston pääjohtajalle viraston talousarvion toteuttamisesta varainhoitovuonna 2023 sellaisen tulevan OLAFin tutkimuksen vuoksi, jonka väitetään sisältävän viraston varainhoitoon vaikuttavia kysymyksiä; panee merkille, että Euroopan parlamentti myönsi 22. lokakuuta 2025 vastuuvapauden EUAA:lle mutta esitti virastolle useita suosituksia; muistuttaa, että on tärkeää pan</w:t>
      </w:r>
      <w:r w:rsidRPr="00583CC8">
        <w:t>na kaikilta osin täytäntöön kaikki parlamentin vuoden 2024 vastuuvapausmenettelyä varten antamat suositukset;</w:t>
      </w:r>
    </w:p>
    <w:p w14:paraId="747D2E67" w14:textId="4204B44D" w:rsidR="00932240" w:rsidRPr="00583CC8" w:rsidRDefault="004E72A3" w:rsidP="00583CC8">
      <w:pPr>
        <w:pStyle w:val="NormalHanging12a"/>
        <w:widowControl/>
        <w:rPr>
          <w:szCs w:val="24"/>
        </w:rPr>
      </w:pPr>
      <w:r w:rsidRPr="00583CC8">
        <w:t>17.</w:t>
      </w:r>
      <w:r w:rsidRPr="00583CC8">
        <w:tab/>
        <w:t>toteaa, että vuonna 2024 tehtiin yli miljoona kansainvälistä suojelua koskevaa hakemusta (-11 prosenttia vuoteen 2023 verrattuna) ja EU+ -maissa tehtiin 746 000 päätöstä tilapäisen suojelun myöntämisestä; korostaa, että tässä yhteydessä Euroopan unionin turvapaikkavirasto (EUAA) on antanut jäsenvaltioille jatkuvaa operatiivista ja teknistä tukea, erityisesti toimintasuunnitelmia 13 jäsenvaltiossa</w:t>
      </w:r>
      <w:r w:rsidRPr="00583CC8">
        <w:rPr>
          <w:vertAlign w:val="superscript"/>
        </w:rPr>
        <w:t>[1]</w:t>
      </w:r>
      <w:r w:rsidRPr="00583CC8">
        <w:t>, mikä lisää niiden kansallisia valmiuksia käsitellä turvapaikkahakemuksia ja tarjota vastaanottopalveluja; p</w:t>
      </w:r>
      <w:r w:rsidRPr="00583CC8">
        <w:t>anee lisäksi tyytyväisenä merkille, että EUAA:n operaatiot kehittyvät kentällä vallitsevien tarpeiden mukaan; on tyytyväinen siihen, että uudelleensijoittamisen alalla jäsenvaltiot käyttävät yhä enemmän EUAA:n uudelleensijoittamisen tukivälinettä Turkissa, minkä seurauksena tukea annetaan 34</w:t>
      </w:r>
      <w:r w:rsidR="00583CC8">
        <w:t> </w:t>
      </w:r>
      <w:r w:rsidRPr="00583CC8">
        <w:t>uudelleensijoitusoperaatioon, joilla avustetaan 4 100:aa henkilöä tässä yhteydessä;</w:t>
      </w:r>
    </w:p>
    <w:p w14:paraId="016A1BCF" w14:textId="77777777" w:rsidR="00932240" w:rsidRPr="00583CC8" w:rsidRDefault="004E72A3" w:rsidP="00583CC8">
      <w:pPr>
        <w:pStyle w:val="NormalHanging12a"/>
        <w:widowControl/>
        <w:rPr>
          <w:szCs w:val="24"/>
        </w:rPr>
      </w:pPr>
      <w:r w:rsidRPr="00583CC8">
        <w:t>18.</w:t>
      </w:r>
      <w:r w:rsidRPr="00583CC8">
        <w:tab/>
        <w:t>on tyytyväinen siihen, että EUAA järjesti 1 200 koulutustilaisuutta, joissa oli 18 000 osallistujaa, eli lisäystä vuoteen 2023 verrattuna oli 28 prosenttia; panee tyytyväisenä merkille, että pitkien valmistelujen ja sitoutuneen työn jälkeen EUAA sai virallisen tunnustuksen jatko- ja korkea-asteen koulutuksen tarjoajana yhteistyössä Maltan viranomaisten kanssa; on vakuuttunut siitä, että tämä on virstanpylväs koulutussuunnitelman muuttamisessa ainutlaatuiseksi välineeksi, jolla edistetään yhteistä lähestymi</w:t>
      </w:r>
      <w:r w:rsidRPr="00583CC8">
        <w:t>stapaa turvapaikka-asioiden ja muuttoliikkeen hallintaan EU:ssa; on tyytyväinen siihen, että on hyväksytty monivuotinen seurantaohjelma, jossa vahvistetaan Euroopan yhteisen turvapaikkajärjestelmän operatiivisen ja teknisen soveltamisen ensimmäisen seurantajakson järjestys vuosiksi 2026–2030; pitää myönteisenä myös yhteisen menetelmän käyttöönottoa näitä seurantatoimia varten;</w:t>
      </w:r>
    </w:p>
    <w:p w14:paraId="5EB98760" w14:textId="77777777" w:rsidR="00932240" w:rsidRPr="00583CC8" w:rsidRDefault="004E72A3" w:rsidP="00583CC8">
      <w:pPr>
        <w:pStyle w:val="NormalHanging12a"/>
        <w:widowControl/>
      </w:pPr>
      <w:r w:rsidRPr="00583CC8">
        <w:t>19.</w:t>
      </w:r>
      <w:r w:rsidRPr="00583CC8">
        <w:tab/>
        <w:t>panee merkille EUAA:n merkittävän panoksen alkuperämaita koskevien tietojen ja ohjeiden sekä tilannetietoisuuden ja siihen liittyvän tiedonkeruun alalla;</w:t>
      </w:r>
    </w:p>
    <w:p w14:paraId="0E8B4A0B" w14:textId="77777777" w:rsidR="00932240" w:rsidRPr="00583CC8" w:rsidRDefault="004E72A3" w:rsidP="00583CC8">
      <w:pPr>
        <w:pStyle w:val="NormalHanging12a"/>
        <w:widowControl/>
        <w:rPr>
          <w:bCs/>
          <w:iCs/>
          <w:szCs w:val="24"/>
        </w:rPr>
      </w:pPr>
      <w:r w:rsidRPr="00583CC8">
        <w:t>20.</w:t>
      </w:r>
      <w:r w:rsidRPr="00583CC8">
        <w:tab/>
        <w:t>suhtautuu myönteisesti EUAA:n pyrkimyksiin päivittää oikea-aikaisesti kaikki tukimateriaalinsa uuden lainsäädännön ja muuttoliike- ja turvapaikkasopimuksen hyväksymisen jälkeen ja pitää erittäin myönteisenä EUAA:n sopimuksen voimaantulon valmisteluun antamaa panosta ja tukea muun muassa 11:llä sopimukseen liittyvällä tuotteella, jotka ovat keskeisiä jäsenvaltioiden ja alan toimijoiden työn ohjaamisessa; pyytää kuitenkin, että nämä asiakirjat toimitetaan parlamentille sekä avoimuuden että tehokkuuden vuoksi</w:t>
      </w:r>
      <w:r w:rsidRPr="00583CC8">
        <w:t xml:space="preserve"> ei-luottamuksellisissa puitteissa;</w:t>
      </w:r>
    </w:p>
    <w:p w14:paraId="10A4309C" w14:textId="77777777" w:rsidR="00932240" w:rsidRPr="00583CC8" w:rsidRDefault="004E72A3" w:rsidP="00583CC8">
      <w:pPr>
        <w:pStyle w:val="NormalHanging12a"/>
        <w:widowControl/>
      </w:pPr>
      <w:r w:rsidRPr="00583CC8">
        <w:t>21.</w:t>
      </w:r>
      <w:r w:rsidRPr="00583CC8">
        <w:tab/>
        <w:t>panee merkille, että vuonna 2024 EUAA:n talousarvio oli 172 miljoonaa euroa ja että sen henkilöstön toimien määrä oli 592 (verrattuna 529:een vuonna 2023); kehottaa osoittamaan EUAA:lle riittävästi rahoitusta ja henkilöstöä, kun otetaan huomioon sille annettujen tehtävien merkittävä lisääntyminen muuttoliike- ja turvapaikkasopimuksen täytäntöönpanon yhteydessä; pitää valitettavana, että vuonna 2024 toimista oli täytettynä vain 508; kiittää EUAA:n henkilöstöä sen sitoutumisesta ja työn tuloksista huolimatta</w:t>
      </w:r>
      <w:r w:rsidRPr="00583CC8">
        <w:t xml:space="preserve"> siitä, että huomattava määrä virkoja oli avoinna ja että työntekijöiden työmäärä suuri; korostaa, että on tärkeää edistää myönteistä työympäristöä avointen viestintäkanavien ja ansioihin perustuvan palkitsemisen avulla; kehottaa EUAA:ta nopeuttamaan palvelukseenottomenettelyjä, jotta kaikki avoimet toimet voidaan täyttää;</w:t>
      </w:r>
    </w:p>
    <w:p w14:paraId="05E99563" w14:textId="77777777" w:rsidR="00932240" w:rsidRPr="00583CC8" w:rsidRDefault="004E72A3" w:rsidP="00583CC8">
      <w:pPr>
        <w:pStyle w:val="NormalHanging12a"/>
        <w:widowControl/>
        <w:rPr>
          <w:szCs w:val="24"/>
        </w:rPr>
      </w:pPr>
      <w:r w:rsidRPr="00583CC8">
        <w:t>22.</w:t>
      </w:r>
      <w:r w:rsidRPr="00583CC8">
        <w:tab/>
        <w:t xml:space="preserve">panee merkille EUAA:n aikaan saaman parannuksen, sillä se käytti 99 prosenttia maksusitoumusmäärärahoista ja 95 prosenttia maksumäärärahoista, ja kannustaa sitä kehittämään edelleen sisäisen valvonnan mekanismeja ja parantamaan niiden laatua; kehottaa EUAA:ta raportoimaan parlamentille säännöllisesti hallintoneuvoston vuonna 2025 antamien kirjallisten suositusten täytäntöönpanosta ja korjaavista toimista, joista pääjohtaja ilmoitti visiota koskevassa lausumassaan johtajuudesta ja muutosten toteuttamisesta </w:t>
      </w:r>
      <w:r w:rsidRPr="00583CC8">
        <w:t>turvapaikkavirastossa (Vision Statement on leadership implementing the changes in EUAA); toteaa jälleen pitävänsä tärkeänä, että hallintoneuvosto osallistuu ennakoivasti viraston toiminnan ohjaamiseen, ja muistuttaa, että on tärkeää varmistaa tehokkaiden ja avointen menettelyjen ja rakenteen luominen, jotta voidaan viestiä hallintoneuvoston kanssa ja siten mahdollistaa oikea-aikainen ja tehokas valvonta; kehottaa komissiota tukemaan ja avustamaan hallintoneuvoston jäseniä heidän valvontatehtävänsä hoitamise</w:t>
      </w:r>
      <w:r w:rsidRPr="00583CC8">
        <w:t>ssa;</w:t>
      </w:r>
    </w:p>
    <w:p w14:paraId="6D1499BB" w14:textId="77777777" w:rsidR="00932240" w:rsidRPr="00583CC8" w:rsidRDefault="004E72A3" w:rsidP="00583CC8">
      <w:pPr>
        <w:pStyle w:val="NormalHanging12a"/>
        <w:widowControl/>
        <w:rPr>
          <w:szCs w:val="24"/>
        </w:rPr>
      </w:pPr>
      <w:r w:rsidRPr="00583CC8">
        <w:t>23.</w:t>
      </w:r>
      <w:r w:rsidRPr="00583CC8">
        <w:tab/>
        <w:t>kehottaa EUAA:ta perustamaan riippumattoman sisäisen eettisen toiminnon; kannustaa EUAA:ta puuttumaan päättäväisesti henkilöstöhallinnon puutteisiin, jotka paljastuivat OLAFin kertomuksessa, josta keskusteltiin talousarvion valvontavaliokunnassa 15. heinäkuuta 2025, jotta voidaan säilyttää organisaation lahjomattomuus ja luottamus;</w:t>
      </w:r>
    </w:p>
    <w:p w14:paraId="4A5A7F90" w14:textId="77777777" w:rsidR="00932240" w:rsidRPr="00583CC8" w:rsidRDefault="004E72A3" w:rsidP="00583CC8">
      <w:pPr>
        <w:pStyle w:val="NormalHanging12a"/>
        <w:widowControl/>
        <w:rPr>
          <w:szCs w:val="24"/>
        </w:rPr>
      </w:pPr>
      <w:r w:rsidRPr="00583CC8">
        <w:t>24.</w:t>
      </w:r>
      <w:r w:rsidRPr="00583CC8">
        <w:tab/>
        <w:t>muistuttaa, että on tärkeää vahvistaa parlamentaarista valvontaa, jotta voidaan parantaa EUAA:n vastuuvelvollisuutta, ja kehottaa jälleen virastoa jakamaan hallintoneuvoston keskustelujen pöytäkirjat, kun otetaan huomioon, että Euroopan parlamentti osallistuu turvapaikkavirastosta annetun asetuksen soveltamisalaan kuuluviin asioihin; kehottaa hallintoneuvoston puheenjohtajaa kutsumaan järjestelmällisesti Euroopan parlamentin asiantuntijan osallistumaan hallintoneuvoston kokouksiin;</w:t>
      </w:r>
    </w:p>
    <w:p w14:paraId="0CDC8F0F" w14:textId="77777777" w:rsidR="00932240" w:rsidRPr="00583CC8" w:rsidRDefault="004E72A3" w:rsidP="00583CC8">
      <w:pPr>
        <w:pStyle w:val="NormalHanging12a"/>
        <w:widowControl/>
      </w:pPr>
      <w:r w:rsidRPr="00583CC8">
        <w:t>25.</w:t>
      </w:r>
      <w:r w:rsidRPr="00583CC8">
        <w:tab/>
        <w:t>pitää myönteisenä EUAA:n ensimmäisen perusoikeusstrategian ja sitä seuraavien toimintasuunnitelmien hyväksymistä; suhtautuu myönteisesti siihen, että on perustettu valitusmekanismi ja asiaa koskeva verkkosivusto, jolla helpotetaan mekanismin käyttöä; panee tyytyväisenä merkille 24 huomautusta, jotka perusoikeusvastaava esitti analysoituaan toimintasuunnitelmia, arvioituaan niiden täytäntöönpanoa ja tehtyään tarkastuskäyntejä EUAA:n operaatioihin; suhtautuu myönteisesti perusoikeusvastaavan toimiston ensimm</w:t>
      </w:r>
      <w:r w:rsidRPr="00583CC8">
        <w:t>äiseen vuosikertomukseen, jossa esitetään yleiskatsaus vuoden 2024 toimiin;</w:t>
      </w:r>
    </w:p>
    <w:p w14:paraId="0468DA77" w14:textId="77777777" w:rsidR="00932240" w:rsidRPr="00583CC8" w:rsidRDefault="004E72A3" w:rsidP="00583CC8">
      <w:pPr>
        <w:pStyle w:val="Normal12a"/>
        <w:widowControl/>
        <w:rPr>
          <w:b/>
        </w:rPr>
      </w:pPr>
      <w:r w:rsidRPr="00583CC8">
        <w:rPr>
          <w:b/>
          <w:i/>
        </w:rPr>
        <w:t>Osa IV – Vastuuvapauden myöntäminen vapauden, turvallisuuden ja oikeuden alueen laaja-alaisten tietojärjestelmien operatiivisesta hallinnoinnista vastaavan Euroopan unionin viraston talousarvion toteuttamisesta varainhoitovuonna 2024</w:t>
      </w:r>
    </w:p>
    <w:p w14:paraId="4591BA8E" w14:textId="77777777" w:rsidR="00932240" w:rsidRPr="00583CC8" w:rsidRDefault="004E72A3" w:rsidP="00583CC8">
      <w:pPr>
        <w:pStyle w:val="NormalHanging12a"/>
        <w:widowControl/>
        <w:rPr>
          <w:szCs w:val="24"/>
        </w:rPr>
      </w:pPr>
      <w:r w:rsidRPr="00583CC8">
        <w:t>26.</w:t>
      </w:r>
      <w:r w:rsidRPr="00583CC8">
        <w:tab/>
        <w:t>suhtautuu myönteisesti vapauden, turvallisuuden ja oikeuden alueen laaja-alaisten tietojärjestelmien operatiivisesta hallinnoinnista vastaavan Euroopan unionin viraston (eu-LISA) operatiivisiin saavutuksiin vuonna 2024, mukaan lukien SIS-, VIS- ja Eurodac-operaatioiden vakiinnuttaminen, Frontexin liittäminen SIS-järjestelmään, kattavan pääsyn mahdollistaminen viisumitietojärjestelmään Bulgarialle ja Romanialle sekä e-CODEX-järjestelmän operatiivisen hallinnoinnin virallinen haltuunotto; panee myös merkille</w:t>
      </w:r>
      <w:r w:rsidRPr="00583CC8">
        <w:t xml:space="preserve"> viraston valmistelut, jotka koskevat uutta Eurodac-järjestelmää, jonka keskeiset toiminnot on määrä toteuttaa kesäkuuhun 2026 mennessä, sekä yhteisten tutkintaryhmien yhteistyöfoorumin kehittämisen aloittamisen; muistuttaa, että sovellettavaa tietosuojasäännöstöä on noudatettava kaikilta osin;</w:t>
      </w:r>
    </w:p>
    <w:p w14:paraId="02AEC3B0" w14:textId="5AAF8CC8" w:rsidR="00932240" w:rsidRPr="00583CC8" w:rsidRDefault="004E72A3" w:rsidP="00583CC8">
      <w:pPr>
        <w:pStyle w:val="NormalHanging12a"/>
        <w:widowControl/>
      </w:pPr>
      <w:r w:rsidRPr="00583CC8">
        <w:t>27.</w:t>
      </w:r>
      <w:r w:rsidRPr="00583CC8">
        <w:tab/>
        <w:t>panee tyytyväisenä merkille, että vuonna 2024 eu-LISA käytti 100 prosenttia 307,39 miljoonan euron maksusitoumusmäärärahoistaan ja että se käytti 260,11 miljoonan euron maksumäärärahansa kokonaisuudessaan, mukaan lukien edelliseltä varainhoitovuodelta siirretyt määrärahat; pitää myönteisenä, että vuodelta</w:t>
      </w:r>
      <w:r w:rsidR="00583CC8">
        <w:t> </w:t>
      </w:r>
      <w:r w:rsidRPr="00583CC8">
        <w:t>2024 vuodelle 2025 siirrettävät määrärahat vähenivät merkittävästi eli noin 50</w:t>
      </w:r>
      <w:r w:rsidR="00583CC8">
        <w:t> </w:t>
      </w:r>
      <w:r w:rsidRPr="00583CC8">
        <w:t>prosenttia edellisvuoteen verrattuna, eli parlamentin aiemmin esittämiin huolenaiheisiin oli puututtu, mutta pitää valitettavana, että maksumäärärahojen peruuntumisaste oli edelleen korkea (14,5 prosenttia);</w:t>
      </w:r>
    </w:p>
    <w:p w14:paraId="0595F236" w14:textId="77777777" w:rsidR="00932240" w:rsidRPr="00583CC8" w:rsidRDefault="004E72A3" w:rsidP="00583CC8">
      <w:pPr>
        <w:pStyle w:val="NormalHanging12a"/>
        <w:widowControl/>
      </w:pPr>
      <w:r w:rsidRPr="00583CC8">
        <w:t>28.</w:t>
      </w:r>
      <w:r w:rsidRPr="00583CC8">
        <w:tab/>
        <w:t>korostaa, että yhteentoimivuusarkkitehtuuri on toteutettava kiireellisesti ottaen huomioon yhteisestä harjoituksesta saadut kokemukset, ja korostaa, että nopea ja luotettava tietojenvaihto on olennaisen tärkeää unionin vapauden, turvallisuuden ja oikeuden alueen kannalta;</w:t>
      </w:r>
    </w:p>
    <w:p w14:paraId="6479A8BB" w14:textId="77777777" w:rsidR="00932240" w:rsidRPr="00583CC8" w:rsidRDefault="004E72A3" w:rsidP="00583CC8">
      <w:pPr>
        <w:pStyle w:val="NormalHanging12a"/>
        <w:widowControl/>
        <w:rPr>
          <w:szCs w:val="24"/>
        </w:rPr>
      </w:pPr>
      <w:r w:rsidRPr="00583CC8">
        <w:t>29.</w:t>
      </w:r>
      <w:r w:rsidRPr="00583CC8">
        <w:tab/>
        <w:t>pitää valitettavana, että rajanylitystietojärjestelmää (EES) ei voitu ottaa käyttöön marraskuussa 2024, mutta panee tyytyväisenä merkille eu-LISAn hyväksymät toimenpiteet, joilla pyritään nopeuttamaan edistymistä ja takaamaan järjestelmän voimaantulo vaiheittain 12. lokakuuta 2025 alkaen;</w:t>
      </w:r>
    </w:p>
    <w:p w14:paraId="2A4AF7BA" w14:textId="77777777" w:rsidR="00932240" w:rsidRPr="00583CC8" w:rsidRDefault="004E72A3" w:rsidP="00583CC8">
      <w:pPr>
        <w:pStyle w:val="NormalHanging12a"/>
        <w:widowControl/>
      </w:pPr>
      <w:r w:rsidRPr="00583CC8">
        <w:t>30.</w:t>
      </w:r>
      <w:r w:rsidRPr="00583CC8">
        <w:tab/>
        <w:t>suhtautuu myönteisesti siihen, että eu-LISA on keskittynyt enemmän kyberturvallisuuteen, mukaan lukien ympärivuorokautinen seuranta, poikkeamiin reagointi ja harjoitukset yhteistyössä oikeus- ja sisäasioiden virastojen verkoston kanssa; korostaa, että on tärkeää panna unionin uudet kyberturvallisuutta ja tietoturvaa koskevat asetukset täytäntöön oikea-aikaisesti;</w:t>
      </w:r>
    </w:p>
    <w:p w14:paraId="190E510C" w14:textId="77777777" w:rsidR="00932240" w:rsidRPr="00583CC8" w:rsidRDefault="004E72A3" w:rsidP="00583CC8">
      <w:pPr>
        <w:pStyle w:val="NormalHanging12a"/>
        <w:widowControl/>
      </w:pPr>
      <w:r w:rsidRPr="00583CC8">
        <w:t>31.</w:t>
      </w:r>
      <w:r w:rsidRPr="00583CC8">
        <w:tab/>
        <w:t>panee merkille EU-LISAn pyrkimykset käyttää taloudellisia ja henkilöresurssejaan tehokkaasti vuonna 2024; toteaa, että on tärkeää parantaa edelleen toimien täyttöastetta ja vähentää riippuvuutta ulkoisista toimeksisaajista vahvistamalla sisäisiä valmiuksia; pitää myönteisenä strategista hallinnointia koskevaa toimintasuunnitelmaa, jolla pyritään parantamaan järjestelmän toteutusta, luomaan sisäisiä kehitysvalmiuksia, parantamaan osaamisen hallintaa ja vahvistamaan suhteita sidosryhmiin; kehottaa komissiota</w:t>
      </w:r>
      <w:r w:rsidRPr="00583CC8">
        <w:t xml:space="preserve"> ja jäsenvaltioita varmistamaan, että eu-LISAlle annetaan riittävät resurssit sen laajennetun toimeksiannon mukaisesti;</w:t>
      </w:r>
    </w:p>
    <w:p w14:paraId="5547EEDB" w14:textId="77777777" w:rsidR="00932240" w:rsidRPr="00583CC8" w:rsidRDefault="004E72A3" w:rsidP="00583CC8">
      <w:pPr>
        <w:pStyle w:val="NormalHanging12a"/>
        <w:widowControl/>
        <w:rPr>
          <w:szCs w:val="24"/>
        </w:rPr>
      </w:pPr>
      <w:r w:rsidRPr="00583CC8">
        <w:t>32.</w:t>
      </w:r>
      <w:r w:rsidRPr="00583CC8">
        <w:tab/>
        <w:t>korostaa eu-LISAn valmiuksien parantamisohjelman merkitystä, jotta voidaan varmistaa riittävät datakeskusresurssit sekä uusille että nykyisille tietojärjestelmille, ja suhtautuu myönteisesti käynnissä oleviin toimenpiteisiin, joilla parannetaan talousarvion luotettavaa suunnittelua ja seurantaa; korostaa, että on tärkeää saada hankintastrategia valmiiksi ja lisätä sisäisiä valmiuksia, jotta voidaan vähentää riippuvuutta ulkoisista toimeksisaajista; kehottaa tällä välin lisäämään toimeksisaajien valvontaa o</w:t>
      </w:r>
      <w:r w:rsidRPr="00583CC8">
        <w:t>ttaen huomioon myös viraston käsittelemien tietojen arkaluonteisuuden;</w:t>
      </w:r>
    </w:p>
    <w:p w14:paraId="43A33BEC" w14:textId="77777777" w:rsidR="00932240" w:rsidRPr="00583CC8" w:rsidRDefault="004E72A3" w:rsidP="00583CC8">
      <w:pPr>
        <w:pStyle w:val="Normal12a"/>
        <w:widowControl/>
        <w:rPr>
          <w:i/>
          <w:iCs/>
        </w:rPr>
      </w:pPr>
      <w:r w:rsidRPr="00583CC8">
        <w:rPr>
          <w:b/>
          <w:i/>
        </w:rPr>
        <w:t xml:space="preserve">Osa V – Vastuuvapauden myöntäminen Euroopan raja- ja merivartioviraston talousarvion toteuttamisesta varainhoitovuonna 2024 </w:t>
      </w:r>
    </w:p>
    <w:p w14:paraId="683EA9F1" w14:textId="77777777" w:rsidR="00932240" w:rsidRPr="00583CC8" w:rsidRDefault="004E72A3" w:rsidP="00583CC8">
      <w:pPr>
        <w:pStyle w:val="NormalHanging12a"/>
        <w:widowControl/>
        <w:rPr>
          <w:szCs w:val="24"/>
        </w:rPr>
      </w:pPr>
      <w:r w:rsidRPr="00583CC8">
        <w:t>33.</w:t>
      </w:r>
      <w:r w:rsidRPr="00583CC8">
        <w:tab/>
        <w:t xml:space="preserve">muistuttaa, että viraston talousarvio, joka oli 118 miljoonaa euroa </w:t>
      </w:r>
      <w:r w:rsidRPr="00583CC8">
        <w:t>vuonna 2011, on kasvanut 922 miljoonaan euroon vuonna 2024 tarkistetun toimeksiannon ja kyseisellä kaudella hyväksyttyjen talousarviopäätösten seurauksena; toteaa, että laajemmat toimivaltuudet ja suurempi talousarvio edellyttävät vastuuvelvollisuutta ja avoimuutta, ja samalla on varmistettava, että virastolla on täysi toimintavalmius hoitaa tehokkaasti tehtävänsä, joihin lukeutuu myös perusoikeuksien kunnioittaminen;</w:t>
      </w:r>
    </w:p>
    <w:p w14:paraId="470A8141" w14:textId="77777777" w:rsidR="00932240" w:rsidRPr="00583CC8" w:rsidRDefault="004E72A3" w:rsidP="00583CC8">
      <w:pPr>
        <w:pStyle w:val="NormalHanging12a"/>
        <w:widowControl/>
      </w:pPr>
      <w:r w:rsidRPr="00583CC8">
        <w:t>34.</w:t>
      </w:r>
      <w:r w:rsidRPr="00583CC8">
        <w:tab/>
        <w:t>toteaa, että Euroopan raja- ja merivartiovirasto (Frontex) toteutti vuonna 2024 merkittäviä toimia mukauttaakseen strategisen johtonsa ja operatiivisen toimintakykynsä muuttoliike- ja turvapaikkasopimukseen panemalla täytäntöön sisäisen toimintasuunnitelman, jolla tuetaan jäsenvaltioita sopimuksen käyttöönotossa, osallistumalla muuttoliikkeeseen liittyvää varautumista ja kriisien hallintaa koskevaan EU:n mekanismiin (muuttoliikettä koskeva varautumis- ja kriisisuunnitelma) ja hyväksymällä Frontexin kansain</w:t>
      </w:r>
      <w:r w:rsidRPr="00583CC8">
        <w:t>välisen yhteistyön strategian vuosiksi 2024–2026;</w:t>
      </w:r>
    </w:p>
    <w:p w14:paraId="790D7A5E" w14:textId="77777777" w:rsidR="00932240" w:rsidRPr="00583CC8" w:rsidRDefault="004E72A3" w:rsidP="00583CC8">
      <w:pPr>
        <w:pStyle w:val="NormalHanging12a"/>
        <w:widowControl/>
      </w:pPr>
      <w:r w:rsidRPr="00583CC8">
        <w:t>35.</w:t>
      </w:r>
      <w:r w:rsidRPr="00583CC8">
        <w:tab/>
        <w:t xml:space="preserve">panee tyytyväisenä </w:t>
      </w:r>
      <w:r w:rsidRPr="00583CC8">
        <w:t>merkille, että Frontex otti vuonna 2024 käyttöön uuden komentoketjun, joka mahdollistaa hajautetun päätöksenteon ja nopeamman reagoinnin uusiin operatiivisiin tarpeisiin paikallistasolla; toteaa, että uudella organisaatio- ja toimintamallilla voidaan varmistaa toimien hallinnointi joustavammin, mukautuvammin ja kustannustehokkaammin aiempaan järjestelmään verrattuna; kehottaa virastoa arvioimaan uusia järjestelyjä, asettamaan määrällisiä ja laadullisia tavoitteita ja raportoimaan edistymisestä; suhtautuu li</w:t>
      </w:r>
      <w:r w:rsidRPr="00583CC8">
        <w:t>säksi myönteisesti vuoden 2024 strategisen riskianalyysin hyväksymiseen;</w:t>
      </w:r>
    </w:p>
    <w:p w14:paraId="151C6D99" w14:textId="18BFFC27" w:rsidR="00932240" w:rsidRPr="00583CC8" w:rsidRDefault="004E72A3" w:rsidP="00583CC8">
      <w:pPr>
        <w:pStyle w:val="NormalHanging12a"/>
        <w:widowControl/>
      </w:pPr>
      <w:r w:rsidRPr="00583CC8">
        <w:t>36.</w:t>
      </w:r>
      <w:r w:rsidRPr="00583CC8">
        <w:tab/>
        <w:t>panee lisäksi tyytyväisenä merkille, että Frontex myös syvensi kumppanuuttaan EUAM</w:t>
      </w:r>
      <w:r w:rsidR="00583CC8">
        <w:t> </w:t>
      </w:r>
      <w:r w:rsidRPr="00583CC8">
        <w:t>Ukraina -operaation kanssa ja vahvisti meneillään olevan konfliktin tähden yhdennettyä rajaturvallisuutta ja turvallisuutta EU:n ja Ukrainan rajalla;</w:t>
      </w:r>
    </w:p>
    <w:p w14:paraId="7EA54D63" w14:textId="65187AE6" w:rsidR="00932240" w:rsidRPr="00583CC8" w:rsidRDefault="004E72A3" w:rsidP="00583CC8">
      <w:pPr>
        <w:pStyle w:val="NormalHanging12a"/>
        <w:widowControl/>
        <w:rPr>
          <w:bCs/>
          <w:iCs/>
          <w:szCs w:val="24"/>
        </w:rPr>
      </w:pPr>
      <w:r w:rsidRPr="00583CC8">
        <w:t>37.</w:t>
      </w:r>
      <w:r w:rsidRPr="00583CC8">
        <w:tab/>
        <w:t>tähdentää, että Frontex on keskeinen toimija unionin ulkorajojen suojelemisessa; toteaa, että sillä on keskeinen rooli etsintä- ja pelastusoperaatioissa, sillä sen meri- ja ilmavoimavaroja käytettiin yhteisissä operaatioissa, joilla vastattiin 1 599 tapaukseen ja annettiin apua 65 919 muuttajalle; kehottaa jälleen perustamaan kattavan EU:n etsintä</w:t>
      </w:r>
      <w:r w:rsidR="00583CC8">
        <w:noBreakHyphen/>
      </w:r>
      <w:r w:rsidRPr="00583CC8">
        <w:t xml:space="preserve"> ja pelastuspalveluoperaation, jota toteuttavat jäsenvaltioiden toimivaltaiset viranomaiset ja Frontex ja joka voisi vähentää huomattavasti kuolemantapauksia merellä;</w:t>
      </w:r>
    </w:p>
    <w:p w14:paraId="2696C1C2" w14:textId="77777777" w:rsidR="00932240" w:rsidRPr="00583CC8" w:rsidRDefault="004E72A3" w:rsidP="00583CC8">
      <w:pPr>
        <w:pStyle w:val="NormalHanging12a"/>
        <w:widowControl/>
        <w:rPr>
          <w:szCs w:val="24"/>
        </w:rPr>
      </w:pPr>
      <w:r w:rsidRPr="00583CC8">
        <w:t>38.</w:t>
      </w:r>
      <w:r w:rsidRPr="00583CC8">
        <w:tab/>
        <w:t>panee tyytyväisenä merkille Frontexin ennakoivat jatkotoimet perusoikeuksiin liittyvien valitusten johdosta; korostaa, että on tärkeää tehdä tiivistä yhteistyötä kansallisten viranomaisten kanssa sen varmistamiseksi, että väitettyjen perusoikeusloukkausten johdosta toteutetaan asianmukaisia jatkotoimia kansallisten mekanismien mukaisesti;</w:t>
      </w:r>
      <w:r w:rsidRPr="00583CC8">
        <w:rPr>
          <w:b/>
          <w:i/>
        </w:rPr>
        <w:t xml:space="preserve"> </w:t>
      </w:r>
      <w:r w:rsidRPr="00583CC8">
        <w:t>suosittelee kuitenkin, että valitusmekanismia olisi parannettava, jotta se olisi tehokkaampi, koska useita perusoikeuksiin liittyviä valituksia jää tutkimatta, koska niit</w:t>
      </w:r>
      <w:r w:rsidRPr="00583CC8">
        <w:t>ä ei oteta käsiteltäväksi; panee merkille, että pääjohtajan päätöksentekoprosessin helpottamiseksi 27. syyskuuta 2022 perustettu 46 artiklan mukainen työryhmä sai työnsä päätökseen 22. syyskuuta 2024; korostaa, että Frontexin viranhaltijoiden on vältettävä osallistumista kaikkiin toimiin, jotka voisivat suoraan tai välillisesti loukata perusoikeuksia; pitää myönteisenä Frontexin vahvempaa sitoutumista avoimuuteen ja vastuuvelvollisuuteen; korostaa, että operaatioiden jälkeisestä tilanteesta on saatava tarke</w:t>
      </w:r>
      <w:r w:rsidRPr="00583CC8">
        <w:t>mpaa tietoa;</w:t>
      </w:r>
    </w:p>
    <w:p w14:paraId="0093ED72" w14:textId="77777777" w:rsidR="00932240" w:rsidRPr="00583CC8" w:rsidRDefault="004E72A3" w:rsidP="00583CC8">
      <w:pPr>
        <w:pStyle w:val="NormalHanging12a"/>
        <w:widowControl/>
        <w:rPr>
          <w:bCs/>
          <w:iCs/>
          <w:szCs w:val="24"/>
        </w:rPr>
      </w:pPr>
      <w:r w:rsidRPr="00583CC8">
        <w:t>39.</w:t>
      </w:r>
      <w:r w:rsidRPr="00583CC8">
        <w:tab/>
        <w:t>suhtautuu myönteisesti perusoikeuksien noudattamista käsittelevän paneelin perustamiseen ja vahvistaa, että perusoikeuksien noudattaminen kaikissa Frontexin toimissa on koko viraston yhteinen tehtävä, ja panee merkille perusoikeuksia koskevan toimintasuunnitelman täytäntöönpanon edistymisen;</w:t>
      </w:r>
    </w:p>
    <w:p w14:paraId="4608EA35" w14:textId="77777777" w:rsidR="00932240" w:rsidRPr="00583CC8" w:rsidRDefault="004E72A3" w:rsidP="00583CC8">
      <w:pPr>
        <w:pStyle w:val="NormalHanging12a"/>
        <w:widowControl/>
      </w:pPr>
      <w:r w:rsidRPr="00583CC8">
        <w:t>40.</w:t>
      </w:r>
      <w:r w:rsidRPr="00583CC8">
        <w:tab/>
        <w:t>panee merkille perusoikeuksia koskevan toimintasuunnitelman täytäntöönpanossa saavutetun edistyksen ja kannustaa Frontexia jatkamaan ennakoivia toimia kansallisten viranomaisten ottamiseksi mukaan täytäntöönpanoon ja säännölliseen arviointiin, koska se on merkityksellistä eurooppalaisen raja- ja merivartioston kaikkien osatekijöiden kannalta;</w:t>
      </w:r>
    </w:p>
    <w:p w14:paraId="5F0DCB25" w14:textId="77777777" w:rsidR="00932240" w:rsidRPr="00583CC8" w:rsidRDefault="004E72A3" w:rsidP="00583CC8">
      <w:pPr>
        <w:pStyle w:val="NormalHanging12a"/>
        <w:widowControl/>
        <w:rPr>
          <w:szCs w:val="24"/>
        </w:rPr>
      </w:pPr>
      <w:r w:rsidRPr="00583CC8">
        <w:t>41.</w:t>
      </w:r>
      <w:r w:rsidRPr="00583CC8">
        <w:tab/>
        <w:t>panee merkille, että 85,3 prosentin (2 773 täytettyä tointa) täyttöaste jäi alle 93 prosentin tavoitteen, ja kehottaa Frontexia jatkamaan palvelukseenottotoimiaan avointen toimien määrän vähentämiseksi mahdollisimman pian; kannustaa voimakkaasti virastoa jatkamaan toimiaan maantieteellisen tasapainon ja sukupuolten tasapuolisen edustuksen saavuttamiseksi;</w:t>
      </w:r>
    </w:p>
    <w:p w14:paraId="2F373238" w14:textId="77777777" w:rsidR="00932240" w:rsidRPr="00583CC8" w:rsidRDefault="004E72A3" w:rsidP="00583CC8">
      <w:pPr>
        <w:pStyle w:val="NormalHanging12a"/>
        <w:widowControl/>
        <w:rPr>
          <w:szCs w:val="24"/>
        </w:rPr>
      </w:pPr>
      <w:r w:rsidRPr="00583CC8">
        <w:t>42.</w:t>
      </w:r>
      <w:r w:rsidRPr="00583CC8">
        <w:tab/>
        <w:t>panee tyytyväisenä merkille, että aitojen ja väärennettyjen asiakirjojen sähköisen FADO-järjestelmän toteuttamista koskeva tarjouskilpailumenettely saatiin päätökseen, toimeksisaaja valittiin, sopimus allekirjoitettiin ja täytäntöönpanovaihe on alkanut; pitää kuitenkin valitettavana FADO-järjestelmän täytäntöönpanon viivästymistä, koska FADO-asetus tuli voimaan jo huhtikuussa 2020, ja kehottaa Frontexia panemaan FADO-järjestelmän täysin täytäntöön;</w:t>
      </w:r>
    </w:p>
    <w:p w14:paraId="738E57C5" w14:textId="77777777" w:rsidR="00932240" w:rsidRPr="00583CC8" w:rsidRDefault="004E72A3" w:rsidP="00583CC8">
      <w:pPr>
        <w:pStyle w:val="NormalHanging12a"/>
        <w:widowControl/>
        <w:rPr>
          <w:bCs/>
          <w:iCs/>
          <w:szCs w:val="24"/>
        </w:rPr>
      </w:pPr>
      <w:r w:rsidRPr="00583CC8">
        <w:t>43.</w:t>
      </w:r>
      <w:r w:rsidRPr="00583CC8">
        <w:tab/>
        <w:t>panee merkille, että Frontexin rooli kolmansissa maissa on kasvanut erityisesti siksi, että se on tehnyt ja päivittänyt useita asemaa koskevia sopimuksia ja työjärjestelyjä sekä lisännyt poliittista sitoutumista; korostaa tarvetta tarkastella huolellisesti suhteellisuusperiaatteeseen ja perusoikeuksiin liittyviä velvoitteita toimissa, joihin osallistuu EU:n ulkopuolisia maita, erilaiset toimintaympäristöt huomioon ottaen;</w:t>
      </w:r>
    </w:p>
    <w:p w14:paraId="36CA2112" w14:textId="77777777" w:rsidR="00932240" w:rsidRPr="00583CC8" w:rsidRDefault="004E72A3" w:rsidP="00583CC8">
      <w:pPr>
        <w:pStyle w:val="NormalHanging12a"/>
        <w:widowControl/>
        <w:rPr>
          <w:bCs/>
          <w:iCs/>
          <w:szCs w:val="24"/>
        </w:rPr>
      </w:pPr>
      <w:r w:rsidRPr="00583CC8">
        <w:t>44.</w:t>
      </w:r>
      <w:r w:rsidRPr="00583CC8">
        <w:tab/>
        <w:t>panee merkille, että kolmea OLAFin taloudellista suositusta ja Euroopan oikeusasiamiehen suosituksia pannaan parhaillaan täytäntöön, ja toteaa, että niiden täytäntöönpanon määräaika oli toukokuu 2025; kehottaa Frontexia huolehtimaan viipymättä siitä, että kaikki unionin tarkastus- ja valvontaelinten suositukset pannaan kaikilta osin täytäntöön, ja mainitsee näistä erityisesti OLAFin ja Euroopan parlamentin Frontexin valvontatyöryhmän, Euroopan oikeusasiamiehen, tilintarkastustuomioistuimen sekä operaatioid</w:t>
      </w:r>
      <w:r w:rsidRPr="00583CC8">
        <w:t>en perusoikeudellisia ja oikeudellisia toiminnallisia näkökohtia käsittelevän Frontexin työryhmän suositukset; panee tyytyväisenä merkille, että joulukuun 2023 jälkeen yhtään Frontexin valvontatyöryhmän suosituksiin liittyvää tapausta ei ole vireillä ja erityisesti että 39 suositusta on pantu täytäntöön ja kolmen käsittely päätettiin, koska niitä ei katsottu mahdollisiksi toteuttaa; toteaa lisäksi, että lokakuussa 2024 ei ollut keskeneräisiä OLAFin kertomukseen liittyviä toimia, koska 100 prosenttia toimist</w:t>
      </w:r>
      <w:r w:rsidRPr="00583CC8">
        <w:t xml:space="preserve">a oli pantu täytäntöön; pyytää komissiota varmistamaan, että OLAFin ja EPPOn Frontexia koskevien havaintojen johdosta toteutetaan jatkotoimia, joilla on selkeät täytäntöönpanoaikataulut, sekä tarvittaessa kurinpitotoimenpiteitä; kehottaa Euroopan komissiota ottamaan kaikkien edellä mainittujen kertomusten lainsäädäntöön ja hallintoon liittyvät suositukset huomioon ehdotuksessaan uudeksi asetukseksi; </w:t>
      </w:r>
    </w:p>
    <w:p w14:paraId="036376CD" w14:textId="77777777" w:rsidR="00932240" w:rsidRPr="00583CC8" w:rsidRDefault="004E72A3" w:rsidP="00583CC8">
      <w:pPr>
        <w:pStyle w:val="NormalHanging12a"/>
        <w:widowControl/>
        <w:rPr>
          <w:bCs/>
          <w:iCs/>
        </w:rPr>
      </w:pPr>
      <w:r w:rsidRPr="00583CC8">
        <w:t>45.</w:t>
      </w:r>
      <w:r w:rsidRPr="00583CC8">
        <w:tab/>
        <w:t xml:space="preserve">panee merkille, että vuonna 2024 perusoikeusvastaava käytti kentällä noin 1 850 päivää, mikä on yli 10 prosenttia enemmän kuin edellisvuonna, ja seurasi Frontexin toimintaa 24 maassa; panee merkille parannukset, joita on havaittu perusoikeusvastaavan pääsyssä operaatioalueille ja mahdollisuuksissa tutustua toimintaan ja asiakirjoihin; korostaa kuitenkin, että perusoikeusvastaava raportoi edelleen rajoituksista, jotka koskivat pääsyä operaatioalueille tai toimintaan tutustumista; kehottaa jäsenvaltioita ja </w:t>
      </w:r>
      <w:r w:rsidRPr="00583CC8">
        <w:t>kolmansia maita antamaan perusoikeusvastaavalle täyden pääsyn operaatioalueille ja mahdollisuuden tutustua toimintaan; kehottaa Frontexia varmistamaan välittömästi tällaisen täyden pääsyn yhteiseen operaatioon osallistumisen ehtona;</w:t>
      </w:r>
    </w:p>
    <w:p w14:paraId="19D13FFC" w14:textId="77777777" w:rsidR="00932240" w:rsidRPr="00583CC8" w:rsidRDefault="004E72A3" w:rsidP="00583CC8">
      <w:pPr>
        <w:pStyle w:val="Normal12a"/>
        <w:widowControl/>
        <w:rPr>
          <w:b/>
          <w:bCs/>
          <w:i/>
          <w:iCs/>
        </w:rPr>
      </w:pPr>
      <w:r w:rsidRPr="00583CC8">
        <w:rPr>
          <w:b/>
          <w:i/>
        </w:rPr>
        <w:t>Osa VI – Vastuuvapauden myöntäminen Euroopan unionin lainvalvontakoulutusviraston talousarvion toteuttamisesta varainhoitovuonna 2024</w:t>
      </w:r>
    </w:p>
    <w:p w14:paraId="0B907227" w14:textId="7D847E5B" w:rsidR="00932240" w:rsidRPr="00583CC8" w:rsidRDefault="004E72A3" w:rsidP="00583CC8">
      <w:pPr>
        <w:pStyle w:val="NormalHanging12a"/>
        <w:widowControl/>
      </w:pPr>
      <w:r w:rsidRPr="00583CC8">
        <w:t>46.</w:t>
      </w:r>
      <w:r w:rsidRPr="00583CC8">
        <w:tab/>
        <w:t>panee merkille, että Euroopan unionin lainvalvontakoulutusviraston (CEPOL) vuoden</w:t>
      </w:r>
      <w:r w:rsidR="00583CC8">
        <w:t> </w:t>
      </w:r>
      <w:r w:rsidRPr="00583CC8">
        <w:t>2024 toimintatalousarvio oli 12 589 437 euroa, mikä merkitsee 12,3 prosentin lisäystä vuoden 2023 lopulliseen talousarvioon verrattuna; panee tyytyväisenä merkille, että vuonna 2024 CEPOLin maksusitoumusmäärärahojen käyttöaste oli 100 prosenttia ja että kyseessä oli kolmas peräkkäinen vuosi, jolloin määrärahat käytettiin kokonaan;</w:t>
      </w:r>
    </w:p>
    <w:p w14:paraId="3F780035" w14:textId="77777777" w:rsidR="00932240" w:rsidRPr="00583CC8" w:rsidRDefault="004E72A3" w:rsidP="00583CC8">
      <w:pPr>
        <w:pStyle w:val="NormalHanging12a"/>
        <w:widowControl/>
      </w:pPr>
      <w:r w:rsidRPr="00583CC8">
        <w:t>47.</w:t>
      </w:r>
      <w:r w:rsidRPr="00583CC8">
        <w:tab/>
        <w:t>toteaa, että CEPOL tarjoaa kattavan koulutuskokonaisuuden Euroopan monialaisen rikosuhkien torjuntafoorumin (EMPACT) kaikilla aloilla; panee merkille, että suosituimpia aiheita olivat EMPACT-foorumin aiheet ja kyberrikollisuus ja niihin osallistui vuonna 2024 lähes 64 prosenttia kaikista osallistujista; antaa CEPOLille tunnustusta siitä, että sen tuotteiden laatu asiakkaiden tyytyväisyydellä mitattuna pysyi vuonna 2024 korkeana ja että 97 prosenttia osallistujista ilmoitti olevansa toimintaan erittäin tyyt</w:t>
      </w:r>
      <w:r w:rsidRPr="00583CC8">
        <w:t>yväisiä tai tyytyväisiä;</w:t>
      </w:r>
    </w:p>
    <w:p w14:paraId="79ACDA60" w14:textId="77777777" w:rsidR="00932240" w:rsidRPr="00583CC8" w:rsidRDefault="004E72A3" w:rsidP="00583CC8">
      <w:pPr>
        <w:pStyle w:val="NormalHanging12a"/>
        <w:widowControl/>
      </w:pPr>
      <w:r w:rsidRPr="00583CC8">
        <w:t>48.</w:t>
      </w:r>
      <w:r w:rsidRPr="00583CC8">
        <w:tab/>
        <w:t>panee merkille, että virasto joutui 30. toukokuuta 2024 laajamittaisen kyberhyökkäyksen uhriksi ja että sen toimitiloissa olevan tieto- ja viestintäteknisen infrastruktuurin sekä LEEd-verkko-oppimisalustan katsottiin olevan täysin vaarantunut; suhtautuu myönteisesti viraston tiiviissä yhteistyössä CERT-EU:n ja komission kanssa omaksumaan koordinoituun toimintatapaan uuden ja turvallisen tietoteknisen infrastruktuurin rakentamisessa; panee merkille, että CEPOL sai 1 153 938 euron lisärahoituksen tietoteknii</w:t>
      </w:r>
      <w:r w:rsidRPr="00583CC8">
        <w:t>kka-alan ylimääräisten kustannusten (1 064 000 euroa) ja palkkojen korotusten (89 938 euroa) tukemiseksi;</w:t>
      </w:r>
    </w:p>
    <w:p w14:paraId="77428F01" w14:textId="077A2471" w:rsidR="00932240" w:rsidRPr="00583CC8" w:rsidRDefault="004E72A3" w:rsidP="00583CC8">
      <w:pPr>
        <w:pStyle w:val="NormalHanging12a"/>
        <w:widowControl/>
      </w:pPr>
      <w:r w:rsidRPr="00583CC8">
        <w:t>49.</w:t>
      </w:r>
      <w:r w:rsidRPr="00583CC8">
        <w:tab/>
        <w:t>toteaa, että kyberhyökkäys vähensi merkittävästi EU:n jäsenvaltioiden koulutettujen lainvalvontaviranomaisten tavoittamista; panee merkille, että virasto toteutti vuonna</w:t>
      </w:r>
      <w:r w:rsidR="00583CC8">
        <w:t> </w:t>
      </w:r>
      <w:r w:rsidRPr="00583CC8">
        <w:t>2024 kyberhyökkäyksestä huolimatta 350 toimea, joissa oli noin 21 600 osallistujaa, kun vuonna 2023 toimia oli 490 (-29 prosenttia) ja osallistujia 46 431</w:t>
      </w:r>
      <w:r w:rsidR="00583CC8">
        <w:t> </w:t>
      </w:r>
      <w:r w:rsidRPr="00583CC8">
        <w:t>(</w:t>
      </w:r>
      <w:r w:rsidR="00583CC8">
        <w:noBreakHyphen/>
      </w:r>
      <w:r w:rsidRPr="00583CC8">
        <w:t>54</w:t>
      </w:r>
      <w:r w:rsidR="00583CC8">
        <w:t> </w:t>
      </w:r>
      <w:r w:rsidRPr="00583CC8">
        <w:t>prosenttia);</w:t>
      </w:r>
    </w:p>
    <w:p w14:paraId="4F751C90" w14:textId="77777777" w:rsidR="00932240" w:rsidRPr="00583CC8" w:rsidRDefault="004E72A3" w:rsidP="00583CC8">
      <w:pPr>
        <w:pStyle w:val="NormalHanging12a"/>
        <w:widowControl/>
        <w:rPr>
          <w:szCs w:val="24"/>
        </w:rPr>
      </w:pPr>
      <w:r w:rsidRPr="00583CC8">
        <w:t>50.</w:t>
      </w:r>
      <w:r w:rsidRPr="00583CC8">
        <w:tab/>
        <w:t>panee merkille, että CERT-EU on saattanut päätökseen kyberhyökkäystä koskevan tutkimuksensa mutta Unkarin lainvalvontaviranomaisten Europolin tuella käynnistämä rikostutkinta on käynnissä; korostaa, että Euroopan parlamentti edellyttää tietoa tutkimuksen tuloksista;</w:t>
      </w:r>
    </w:p>
    <w:p w14:paraId="5AD59C40" w14:textId="77777777" w:rsidR="00932240" w:rsidRPr="00583CC8" w:rsidRDefault="004E72A3" w:rsidP="00583CC8">
      <w:pPr>
        <w:pStyle w:val="NormalHanging12a"/>
        <w:widowControl/>
      </w:pPr>
      <w:r w:rsidRPr="00583CC8">
        <w:t>51.</w:t>
      </w:r>
      <w:r w:rsidRPr="00583CC8">
        <w:tab/>
        <w:t>pitää myönteisenä, että CEPOL jatkoi kyberkoulutuskokonaisuuden tarjoamista kyberrikollisuusakatemiansa kautta; pitää myönteisenä, että kohdennetuilla koulutustoimilla parannettiin kyberrikollisuutta koskevaa tietämystä ja kybervalmiuksia Euroopassa lasten seksuaalisen hyväksikäytön, verkkohuijausten ja kyberhyökkäysten torjunnan aloilla;</w:t>
      </w:r>
    </w:p>
    <w:p w14:paraId="4FD81838" w14:textId="3FCA88FA" w:rsidR="00932240" w:rsidRPr="00583CC8" w:rsidRDefault="004E72A3" w:rsidP="00583CC8">
      <w:pPr>
        <w:pStyle w:val="NormalHanging12a"/>
        <w:widowControl/>
      </w:pPr>
      <w:r w:rsidRPr="00583CC8">
        <w:t>52.</w:t>
      </w:r>
      <w:r w:rsidRPr="00583CC8">
        <w:tab/>
        <w:t>pitää valitettavana, että perusoikeuksien alan koulutustoimet vähenivät vuonna 2024 (10</w:t>
      </w:r>
      <w:r w:rsidR="00583CC8">
        <w:t> </w:t>
      </w:r>
      <w:r w:rsidRPr="00583CC8">
        <w:t>koulutusta, joissa 427 osallistujaa) vuoteen 2023 nähden (19 koulutusta, joissa 2 063 osallistujaa); korostaa, että CEPOLin keskeisenä tavoitteena on tukea, kehittää, toteuttaa ja koordinoida lainvalvontaviranomaisille tarkoitettua koulutusta kiinnittäen erityistä huomiota ihmisoikeuksien ja perusvapauksien suojeluun lainvalvonnassa;</w:t>
      </w:r>
    </w:p>
    <w:p w14:paraId="3025F56F" w14:textId="77777777" w:rsidR="00932240" w:rsidRPr="00583CC8" w:rsidRDefault="004E72A3" w:rsidP="00583CC8">
      <w:pPr>
        <w:pStyle w:val="Normal12a"/>
        <w:widowControl/>
        <w:rPr>
          <w:b/>
          <w:bCs/>
          <w:i/>
          <w:iCs/>
        </w:rPr>
      </w:pPr>
      <w:r w:rsidRPr="00583CC8">
        <w:rPr>
          <w:b/>
          <w:i/>
        </w:rPr>
        <w:t>Osa VII – Vastuuvapauden myöntäminen Euroopan unionin huumeviraston talousarvion toteuttamisesta varainhoitovuonna 2024</w:t>
      </w:r>
    </w:p>
    <w:p w14:paraId="3B457C0A" w14:textId="77777777" w:rsidR="00932240" w:rsidRPr="00583CC8" w:rsidRDefault="004E72A3" w:rsidP="00583CC8">
      <w:pPr>
        <w:pStyle w:val="NormalHanging12a"/>
        <w:widowControl/>
      </w:pPr>
      <w:r w:rsidRPr="00583CC8">
        <w:t>53.</w:t>
      </w:r>
      <w:r w:rsidRPr="00583CC8">
        <w:tab/>
        <w:t>panee merkille, että uusi Euroopan unionin huumevirasto (EUDA) korvasi 2. heinäkuuta 2024 virallisesti Euroopan huumausaineiden ja niiden väärinkäytön seurantakeskuksen; muistuttaa, että viraston perustamisasetuksen tavoitteena on puuttua huumeongelmaan kokonaisvaltaisella ja näyttöön perustuvalla lähestymistavalla;</w:t>
      </w:r>
    </w:p>
    <w:p w14:paraId="73B467DE" w14:textId="77777777" w:rsidR="00932240" w:rsidRPr="00583CC8" w:rsidRDefault="004E72A3" w:rsidP="00583CC8">
      <w:pPr>
        <w:pStyle w:val="NormalHanging12a"/>
        <w:widowControl/>
      </w:pPr>
      <w:r w:rsidRPr="00583CC8">
        <w:t>54.</w:t>
      </w:r>
      <w:r w:rsidRPr="00583CC8">
        <w:tab/>
        <w:t>panee merkille, että EUDA sai vuonna 2024 vuotuiseen talousarvioonsa yli 80 prosentin lisäyksen ja otti palvelukseen henkilöstöä 28 uuden toimen täyttämiseksi, jotta se täyttää uudet tehtävänsä; kehottaa EUDAa varmistamaan, että sen uusi toimeksianto pannaan kaikilta osin täytäntöön;</w:t>
      </w:r>
    </w:p>
    <w:p w14:paraId="6B01A07D" w14:textId="77777777" w:rsidR="00932240" w:rsidRPr="00583CC8" w:rsidRDefault="004E72A3" w:rsidP="00583CC8">
      <w:pPr>
        <w:pStyle w:val="NormalHanging12a"/>
        <w:widowControl/>
      </w:pPr>
      <w:r w:rsidRPr="00583CC8">
        <w:t>55.</w:t>
      </w:r>
      <w:r w:rsidRPr="00583CC8">
        <w:tab/>
        <w:t xml:space="preserve">panee merkille, että EUDAn toimintatalousarvio vuodeksi 2024 oli 32 723 728 euroa; panee tyytyväisenä merkille, että vuonna 2024 EUDAn maksusitoumusmäärärahojen käyttöaste oli </w:t>
      </w:r>
      <w:r w:rsidRPr="00583CC8">
        <w:t>100 prosenttia; toteaa kuitenkin huolestuneena, että vuoden 2024 maksumäärärahojen peruuntumisaste oli 10,49 prosenttia, mikä vastaa 3 401 035 euron peruuntumista; toteaa, että tämä peruuntumisaste johtui rajoitteista, jotka vaikuttivat EUDAn mahdollisuuksiin käyttää vuoden 2024 talousarviotaan siihen saakka, kunnes viraston uusi toimeksianto alkoi 2. heinäkuuta 2024;</w:t>
      </w:r>
    </w:p>
    <w:p w14:paraId="3876CA88" w14:textId="77777777" w:rsidR="00932240" w:rsidRPr="00583CC8" w:rsidRDefault="004E72A3" w:rsidP="00583CC8">
      <w:pPr>
        <w:pStyle w:val="NormalHanging12a"/>
        <w:widowControl/>
      </w:pPr>
      <w:r w:rsidRPr="00583CC8">
        <w:t>56.</w:t>
      </w:r>
      <w:r w:rsidRPr="00583CC8">
        <w:tab/>
        <w:t>pitää myönteisenä EUDAn panosta EMPACT-foorumiin sekä järjestäytynyttä ja vakavaa kansainvälistä rikollisuutta koskevan EU:n toimintapoliittisen syklin operatiivisiin toimintasuunnitelmiin; on tyytyväinen eurooppalaisen huumehälytysjärjestelmän (EDAS) kehittämiseen, jotta voidaan antaa hälytyksiä, kun markkinoilla ilmenee vakavia huumeisiin liittyviä riskejä; suhtautuu myönteisesti rikosteknisten ja toksikologisten laboratorioiden eurooppalaisen verkoston ja eurooppalaisen uhkien arviointijärjestelmän (ETA</w:t>
      </w:r>
      <w:r w:rsidRPr="00583CC8">
        <w:t>S) käynnistämiseen;</w:t>
      </w:r>
    </w:p>
    <w:p w14:paraId="40448545" w14:textId="77777777" w:rsidR="00932240" w:rsidRPr="00583CC8" w:rsidRDefault="004E72A3" w:rsidP="00583CC8">
      <w:pPr>
        <w:pStyle w:val="NormalHanging12a"/>
        <w:widowControl/>
      </w:pPr>
      <w:r w:rsidRPr="00583CC8">
        <w:t>57.</w:t>
      </w:r>
      <w:r w:rsidRPr="00583CC8">
        <w:tab/>
        <w:t>on tyytyväinen EUDAn jatkuviin toimiin EU:n varhaisvaroitusjärjestelmän täytäntöönpanemiseksi yhteistyössä jäsenvaltioissa toimivien kumppaneiden kanssa; panee merkille, että uusia psykoaktiivisia aineita ilmoitettiin 47 kappaletta ja että tällä hetkellä seurataan yhteensä noin tuhatta uutta psykoaktiivista ainetta; on tyytyväinen viraston julkaisemiin teknisiin raportteihin;</w:t>
      </w:r>
    </w:p>
    <w:p w14:paraId="1FB974F2" w14:textId="77777777" w:rsidR="00932240" w:rsidRPr="00583CC8" w:rsidRDefault="004E72A3" w:rsidP="00583CC8">
      <w:pPr>
        <w:pStyle w:val="NormalHanging12a"/>
        <w:widowControl/>
      </w:pPr>
      <w:r w:rsidRPr="00583CC8">
        <w:t>58.</w:t>
      </w:r>
      <w:r w:rsidRPr="00583CC8">
        <w:tab/>
        <w:t>toteaa, että vuonna 2024 EUDA tuotti 33 tieteellistä ja institutionaalista julkaisua ja myös laati yksin tai muiden kanssa 16 tieteellistä artikkelia ja julkaisujen lukua, ja arvostaa sen tarjoamaa tieteellistä ja näyttöön perustuvaa asiantuntemusta;</w:t>
      </w:r>
    </w:p>
    <w:p w14:paraId="28C82954" w14:textId="77777777" w:rsidR="00932240" w:rsidRPr="00583CC8" w:rsidRDefault="004E72A3" w:rsidP="00583CC8">
      <w:pPr>
        <w:pStyle w:val="NormalHanging12a"/>
        <w:widowControl/>
      </w:pPr>
      <w:r w:rsidRPr="00583CC8">
        <w:t>59.</w:t>
      </w:r>
      <w:r w:rsidRPr="00583CC8">
        <w:tab/>
        <w:t>suhtautuu myönteisesti Euroopan huumeraportin 2024 julkaisemiseen ja siihen, että siinä keskitytään voimakkaisiin synteettisiin aineisiin, uusiin huumausaineseoksiin ja käyttötapojen muuttumiseen;</w:t>
      </w:r>
    </w:p>
    <w:p w14:paraId="21E644F3" w14:textId="77777777" w:rsidR="00932240" w:rsidRPr="00583CC8" w:rsidRDefault="004E72A3" w:rsidP="00583CC8">
      <w:pPr>
        <w:pStyle w:val="NormalHanging12a"/>
        <w:widowControl/>
      </w:pPr>
      <w:r w:rsidRPr="00583CC8">
        <w:t>60.</w:t>
      </w:r>
      <w:r w:rsidRPr="00583CC8">
        <w:tab/>
        <w:t>panee tyytyväisenä merkille, että EUDA antoi kansallisille poliittisille päättäjille säännöllisesti arvokasta tukea ja tietoa huumepolitiikoista ja koordinoi valmistelevia tieteellisiä arviointeja huumeisiin liittyvistä haitoista ja niiden hoidoista ja vähentämisestä; pitää tärkeänä jatkaa tätä keskeistä työtä, jotta voidaan vastata muuttuviin suuntauksiin ja haasteisiin, ja kehottaa vahvistamaan näitä toimia entisestään edistämällä tiiviimpää yhteistyötä jäsenvaltioiden kanssa ja varmistamalla, että tulok</w:t>
      </w:r>
      <w:r w:rsidRPr="00583CC8">
        <w:t>sia levitetään asianmukaisesti laajemmalle yleisölle, myös terveydenhuollon ammattilaisille ja suurelle yleisölle;</w:t>
      </w:r>
    </w:p>
    <w:p w14:paraId="19EFD20E" w14:textId="77777777" w:rsidR="00932240" w:rsidRPr="00583CC8" w:rsidRDefault="004E72A3" w:rsidP="00583CC8">
      <w:pPr>
        <w:pStyle w:val="NormalHanging12a"/>
        <w:widowControl/>
      </w:pPr>
      <w:r w:rsidRPr="00583CC8">
        <w:t>61.</w:t>
      </w:r>
      <w:r w:rsidRPr="00583CC8">
        <w:tab/>
        <w:t>tuo esiin, että EUDA antoi koulutusta yli 11 700:lle huumausaineiden parissa työskentelevälle ammattilaiselle, kuten terveydenhuollon työntekijöille, lainvalvontaviranomaisille ja poliittisille päättäjille unionissa ja sen ulkopuolella, ja että EUDAn järjestämiin kahdeksaan verkkoseminaariin osallistui noin 1 400 ammattilaista; suhtautuu myönteisesti muiden EU:n virastojen kanssa tehtävään yhteistyöhön;</w:t>
      </w:r>
    </w:p>
    <w:p w14:paraId="205A2A45" w14:textId="77777777" w:rsidR="00932240" w:rsidRPr="00583CC8" w:rsidRDefault="004E72A3" w:rsidP="00583CC8">
      <w:pPr>
        <w:pStyle w:val="Normal12a"/>
        <w:widowControl/>
        <w:rPr>
          <w:b/>
          <w:bCs/>
          <w:i/>
          <w:iCs/>
        </w:rPr>
      </w:pPr>
      <w:r w:rsidRPr="00583CC8">
        <w:rPr>
          <w:b/>
          <w:i/>
        </w:rPr>
        <w:t>Osa VIII – Vastuuvapauden myöntäminen Euroopan unionin lainvalvontayhteistyöviraston talousarvion toteuttamisesta varainhoitovuonna 2024</w:t>
      </w:r>
    </w:p>
    <w:p w14:paraId="3E1461F9" w14:textId="7C15B025" w:rsidR="00932240" w:rsidRPr="00583CC8" w:rsidRDefault="004E72A3" w:rsidP="00583CC8">
      <w:pPr>
        <w:pStyle w:val="NormalHanging12a"/>
        <w:widowControl/>
      </w:pPr>
      <w:r w:rsidRPr="00583CC8">
        <w:t>62.</w:t>
      </w:r>
      <w:r w:rsidRPr="00583CC8">
        <w:tab/>
        <w:t>korostaa, että vuonna 2024 Europol tuki 3 324:ää operaatiota, 65:ttä operatiivista työryhmää ja 432:a toimintapäivää; korostaa viraston roolia EU:n rikostietokeskuksena, sillä SIENA-sovellusta (suojatun tiedonvaihdon verkkosovellus) käytettiin yli kahden miljoonan viestin vaihtoon ja että virasto hyväksyi verkoston kautta 114 459</w:t>
      </w:r>
      <w:r>
        <w:t> </w:t>
      </w:r>
      <w:r w:rsidRPr="00583CC8">
        <w:t>operatiivista panosta vuonna 2024;</w:t>
      </w:r>
    </w:p>
    <w:p w14:paraId="2EFF5D2F" w14:textId="6FFCEBF6" w:rsidR="00932240" w:rsidRPr="00583CC8" w:rsidRDefault="004E72A3" w:rsidP="00583CC8">
      <w:pPr>
        <w:pStyle w:val="NormalHanging12a"/>
        <w:widowControl/>
      </w:pPr>
      <w:r w:rsidRPr="00583CC8">
        <w:t>63.</w:t>
      </w:r>
      <w:r w:rsidRPr="00583CC8">
        <w:tab/>
        <w:t>panee lisäksi merkille, että Europol toimitti 366 operatiivista analyysiraporttia ja 29</w:t>
      </w:r>
      <w:r>
        <w:t> </w:t>
      </w:r>
      <w:r w:rsidRPr="00583CC8">
        <w:t>strategista analyysiraporttia; pitää myönteisenä sidosryhmien ilmaisemaa tai merkille panemaa suurta tyytyväisyyttä sen analyysituotteisiin;</w:t>
      </w:r>
    </w:p>
    <w:p w14:paraId="15A691BE" w14:textId="77777777" w:rsidR="00932240" w:rsidRPr="00583CC8" w:rsidRDefault="004E72A3" w:rsidP="00583CC8">
      <w:pPr>
        <w:pStyle w:val="NormalHanging12a"/>
        <w:widowControl/>
        <w:rPr>
          <w:szCs w:val="24"/>
        </w:rPr>
      </w:pPr>
      <w:r w:rsidRPr="00583CC8">
        <w:t>64.</w:t>
      </w:r>
      <w:r w:rsidRPr="00583CC8">
        <w:tab/>
        <w:t>kehottaa Europolia panemaan täytäntöön jäljellä olevat suositukset, jotka Euroopan tietosuojavaltuutettu on antanut erityisesti valvontalausuntojensa yhteydessä; panee merkille, että lokakuussa 2023 tehdyssä Euroopan tietosuojavaltuutetun tarkastuksessa havaittiin useita puutteita; kehottaa lisäksi Europolia panemaan nopeasti täytäntöön jäljellä olevat 23 suositusta, joilla varmistetaan, että Europol noudattaa tietosuojaa koskevaa oikeudellista kehystä tai parannetaan tapaa, jolla se noudattaa kehystä; ott</w:t>
      </w:r>
      <w:r w:rsidRPr="00583CC8">
        <w:t>aa huomioon, että Europolin katsotaan tällä välin panneen täytäntöön noin 75 prosenttia suosituksista, jotka liittyvät pääasiassa VIS- ja PNR-tietojen käsittelyyn;</w:t>
      </w:r>
    </w:p>
    <w:p w14:paraId="3231EC4F" w14:textId="77777777" w:rsidR="00932240" w:rsidRPr="00583CC8" w:rsidRDefault="004E72A3" w:rsidP="00583CC8">
      <w:pPr>
        <w:pStyle w:val="NormalHanging12a"/>
        <w:widowControl/>
        <w:rPr>
          <w:bCs/>
          <w:iCs/>
          <w:szCs w:val="24"/>
        </w:rPr>
      </w:pPr>
      <w:r w:rsidRPr="00583CC8">
        <w:t>65.</w:t>
      </w:r>
      <w:r w:rsidRPr="00583CC8">
        <w:tab/>
        <w:t>ottaa huomioon Frontexille vuonna 2024 annetun varoituksen, jossa viitataan muuttajia ja aktivisteja koskevaan tietojenvaihtoon Europolin ja Frontexin välillä tekemättä minkäänlaista arviointia tällaisen tietojenvaihdon tarpeellisuudesta, ja kehottaa sekä Europolia että Frontexia tekemään tiivistä yhteistyötä Euroopan tietosuojavaltuutetun kanssa sen varmistamiseksi, että kaikessa rajatylittävistä rikoksista epäiltyjen henkilöiden henkilötietojen vaihdossa noudatetaan sovellettavia tietosuojasääntöjä ja vi</w:t>
      </w:r>
      <w:r w:rsidRPr="00583CC8">
        <w:t>rastojen toimeksiantoja siten, että niillä on kuitenkin mahdollisuus suorittaa tutkimuksensa asianmukaisesti; panee merkille tässä yhteydessä Europolin toimittaman päivityksen, jossa korostetaan, että vuoden 2020 ja vuoden 2024 lopun välillä Europol käsitteli keskimäärin 260 epäiltyä vuodessa Frontexin saamien tietojen perusteella;</w:t>
      </w:r>
    </w:p>
    <w:p w14:paraId="404354B6" w14:textId="77777777" w:rsidR="00932240" w:rsidRPr="00583CC8" w:rsidRDefault="004E72A3" w:rsidP="00583CC8">
      <w:pPr>
        <w:pStyle w:val="NormalHanging12a"/>
        <w:widowControl/>
        <w:rPr>
          <w:bCs/>
          <w:iCs/>
          <w:szCs w:val="24"/>
        </w:rPr>
      </w:pPr>
      <w:r w:rsidRPr="00583CC8">
        <w:t>66.</w:t>
      </w:r>
      <w:r w:rsidRPr="00583CC8">
        <w:tab/>
        <w:t>on huolissaan Europolissa sattuneesta turvallisuuspoikkeamasta, jossa katosi useiden Europolin henkilöstön jäsenten ja johdon hallinnollisia henkilöstökansioita; kehottaa virastoa ottamaan käyttöön asianmukaisia toimenpiteitä, jotta tällaisten poikkeamien toistuminen voidaan estää; panee merkille, että Europolin kansalaisvapauksien sekä oikeus- ja sisäasioiden valiokunnalle 9. huhtikuuta 2024 antaman katsauksen perusteella todettiin, että mikään Europolin ulkopuolinen kolmas osapuoli ei ollut vastuussa poi</w:t>
      </w:r>
      <w:r w:rsidRPr="00583CC8">
        <w:t>kkeamasta, ja samalla toteutettiin lisätoimenpiteitä poikkeamaa koskevan vastuun selvittämiseksi ja vahvistettiin prosesseja ja että sittemmin 98 prosenttia kaikista henkilöstötiedostoista on digitalisoitu;</w:t>
      </w:r>
    </w:p>
    <w:p w14:paraId="7215A4ED" w14:textId="77777777" w:rsidR="00932240" w:rsidRPr="00583CC8" w:rsidRDefault="004E72A3" w:rsidP="00583CC8">
      <w:pPr>
        <w:pStyle w:val="NormalHanging12a"/>
        <w:widowControl/>
        <w:rPr>
          <w:szCs w:val="24"/>
        </w:rPr>
      </w:pPr>
      <w:r w:rsidRPr="00583CC8">
        <w:t>67.</w:t>
      </w:r>
      <w:r w:rsidRPr="00583CC8">
        <w:tab/>
        <w:t>antaa Europolille tunnustusta sen raportista ”Decoding EU’s most threatening criminal networks” ja toteaa sen olevan uusi lippulaivatuote, jossa kuvataan, miten kaikkein uhkaavimmat rikollisverkostot ovat järjestäytyneet, mitä rikollista toimintaa ne harjoittavat ja miten ja missä ne toimivat; pitää myönteisenä äskettäin perustettua GRIMM-työryhmää, joka on Europolin operatiivinen työryhmä (OTF), jonka tarkoituksena on torjua nuorten värväämistä järjestäytyneeseen rikollisuuteen ja torjua yleistyvää ”väkiv</w:t>
      </w:r>
      <w:r w:rsidRPr="00583CC8">
        <w:t>alta palveluna” -ilmiötä; kannustaa Europolia ja jäsenvaltioita kehittämään edelleen tällaisia erikoistuneita operatiivisia työryhmiä, jotta voidaan puuttua rikollisuuden muuttuviin suuntauksiin tehostetun rajatylittävän yhteistyön, tiedustelutietojen jakamisen ja ennaltaehkäisevien toimien avulla;</w:t>
      </w:r>
    </w:p>
    <w:p w14:paraId="43651DFF" w14:textId="77777777" w:rsidR="00932240" w:rsidRPr="00583CC8" w:rsidRDefault="004E72A3" w:rsidP="00583CC8">
      <w:pPr>
        <w:pStyle w:val="NormalHanging12a"/>
        <w:widowControl/>
        <w:rPr>
          <w:bCs/>
          <w:iCs/>
          <w:szCs w:val="24"/>
        </w:rPr>
      </w:pPr>
      <w:r w:rsidRPr="00583CC8">
        <w:t>68.</w:t>
      </w:r>
      <w:r w:rsidRPr="00583CC8">
        <w:tab/>
        <w:t>suhtautuu myönteisesti tuloksiin Europolin ja Eurojustin yhteisessä vuoden 2024 vuosikertomuksessa, jossa kuvataan yksityiskohtaisesti virastojen onnistunutta yhteistyötä järjestäytyneen rikollisuuden, muuttajien salakuljetuksen, talousrikosten, kyberrikollisuuden, terrorismin ja kaikkein vakavimpien kansainvälisten rikosten aloilla; katsoo, että kaikkien asiaankuuluvien EU:n virastojen, kuten Europolin, Eurojustin, CEPOLin, OLAFin, EPPOn ja muiden virastojen, olisi laadittava säännöllisesti yhteinen vuosi</w:t>
      </w:r>
      <w:r w:rsidRPr="00583CC8">
        <w:t>kertomus, jossa esitetään niiden koordinoidut toimet, yhteiset operaatiot ja virastojen väliset saavutukset, jotta voidaan lisätä avoimuutta, johdonmukaisuutta ja vastavuoroista oppimista unionin oikeus- ja sisäasioiden rakenteessa; panee tyytyväisenä merkille, että Europol ja Eurojust jatkoivat yhteistyötä ja lisäsivät synergioita muun muassa järjestämällä otsikolla ”Reflections on cooperation” Eurojustin kollegion ja Europolin hallintoneuvoston yhteisen kokouksen, joka kutsuttiin koolle Eurojustin päätoim</w:t>
      </w:r>
      <w:r w:rsidRPr="00583CC8">
        <w:t>ipaikkaan 9. lokakuuta 2024;</w:t>
      </w:r>
    </w:p>
    <w:p w14:paraId="193C89E5" w14:textId="77777777" w:rsidR="00932240" w:rsidRPr="00583CC8" w:rsidRDefault="004E72A3" w:rsidP="00583CC8">
      <w:pPr>
        <w:pStyle w:val="NormalHanging12a"/>
        <w:widowControl/>
      </w:pPr>
      <w:r w:rsidRPr="00583CC8">
        <w:t>69.</w:t>
      </w:r>
      <w:r w:rsidRPr="00583CC8">
        <w:tab/>
        <w:t xml:space="preserve">panee merkille </w:t>
      </w:r>
      <w:r w:rsidRPr="00583CC8">
        <w:t>syyskuussa 2024 julkaistun viraston raportin tekoälyn hyödyistä ja haasteista poliisitoiminnassa ”AI and policing – The benefits and challenges of artificial intelligence for law enforcement”; pitää myönteisenä siinä esitettyjä näkemyksiä nykyisistä ja tulevista tekoälyvalmiuksista ja sen, että siinä hahmotellaan etenemistä kohti tehokkaampaa, reagoivampaa ja vaikuttavampaa lainvalvontamallia ja korostetaan samalla huolenaiheita, jotka koskevat datan vinoutumista, oikeudenmukaisuutta ja mahdollisia yksityis</w:t>
      </w:r>
      <w:r w:rsidRPr="00583CC8">
        <w:t>yyteen, vastuuvelvollisuuteen, ihmisoikeuksien suojeluun ja syrjintään kohdistuvia uhkia; kehottaa Europolia noudattamaan lainvalvonnassa täydellisesti tekoälysäädöksen säännöksiä; kehottaa Europolia varmistamaan, että kaikki säädökseen liittyvät tietosuojavaltuutetun ohjeet pannaan täytäntöön, myös varmistamalla, että tekoälyyn perustuvia prosesseja varten otetaan käyttöön ja pannaan täytäntöön vahvat valvontaperiaatteet, joilla taataan, että ihminen valvoo kaikkia tekoälyn avulla tuotettuja tuloksia ennen</w:t>
      </w:r>
      <w:r w:rsidRPr="00583CC8">
        <w:t xml:space="preserve"> kuin niitä käytetään tai siirretään jäsenvaltioille tai yhteistyökumppaneille;</w:t>
      </w:r>
    </w:p>
    <w:p w14:paraId="4282C9E4" w14:textId="77777777" w:rsidR="00932240" w:rsidRPr="00583CC8" w:rsidRDefault="004E72A3" w:rsidP="00583CC8">
      <w:pPr>
        <w:pStyle w:val="NormalHanging12a"/>
        <w:widowControl/>
        <w:rPr>
          <w:bCs/>
          <w:iCs/>
        </w:rPr>
        <w:sectPr w:rsidR="00932240" w:rsidRPr="00583CC8" w:rsidSect="00595048">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docGrid w:linePitch="326"/>
        </w:sectPr>
      </w:pPr>
      <w:r w:rsidRPr="00583CC8">
        <w:t>70.</w:t>
      </w:r>
      <w:r w:rsidRPr="00583CC8">
        <w:tab/>
        <w:t>panee merkille päätelmät EU:n oikeusasiamiehen tutkimuksesta, joka koski kahden entisen henkilöstön jäsenen siirtämistä verkkovälitteisen lapsiin kohdistuvan seksuaaliväkivallan torjuntaan liittyviin tehtäviin; muistuttaa oikeusasiamiehen havainneen, että tapa, jolla Europol oli käsitellyt yhden henkilöstön jäsenen siirtoa, oli hallinnollinen epäkohta.</w:t>
      </w:r>
    </w:p>
    <w:p w14:paraId="2E881668" w14:textId="77777777" w:rsidR="00932240" w:rsidRPr="00583CC8" w:rsidRDefault="00932240" w:rsidP="00583CC8">
      <w:pPr>
        <w:pStyle w:val="PageHeadingNotTOC"/>
        <w:widowControl/>
      </w:pPr>
      <w:bookmarkStart w:id="3" w:name="ProcPageAD"/>
      <w:bookmarkEnd w:id="1"/>
    </w:p>
    <w:p w14:paraId="35D060CF" w14:textId="77777777" w:rsidR="00932240" w:rsidRPr="00583CC8" w:rsidRDefault="004E72A3" w:rsidP="00583CC8">
      <w:pPr>
        <w:pStyle w:val="PageHeadingNotTOC"/>
        <w:widowControl/>
      </w:pPr>
      <w:r w:rsidRPr="00583CC8">
        <w:t>LIITE: ILMOITUS SAADUISTA TIEDOISTA</w:t>
      </w:r>
    </w:p>
    <w:p w14:paraId="161EB48D" w14:textId="77777777" w:rsidR="00F313E3" w:rsidRPr="00583CC8" w:rsidRDefault="004E72A3" w:rsidP="00583CC8">
      <w:pPr>
        <w:pStyle w:val="Normal24a"/>
        <w:widowControl/>
      </w:pPr>
      <w:r w:rsidRPr="00583CC8">
        <w:rPr>
          <w:rStyle w:val="HideTWBExt"/>
        </w:rPr>
        <w:t>&lt;FootprintIntro&gt;</w:t>
      </w:r>
      <w:r w:rsidRPr="00583CC8">
        <w:t xml:space="preserve">Valmistelija ilmoittaa työjärjestyksen </w:t>
      </w:r>
      <w:r w:rsidRPr="00583CC8">
        <w:t>liitteessä I olevan 8 artiklan mukaisesti sisällyttäneensä lausuntoonsa aiheeseen liittyvistä asioista tietoja, jotka hän on saanut laatiessaan lausuntoa ennen sen hyväksymistä valiokunnassa seuraavilta pakollisesta avoimuusrekisteristä tehdyn toimielinten välisen sopimuksen</w:t>
      </w:r>
      <w:r w:rsidRPr="00583CC8">
        <w:rPr>
          <w:rStyle w:val="FootnoteReference"/>
        </w:rPr>
        <w:footnoteReference w:id="1"/>
      </w:r>
      <w:r w:rsidRPr="00583CC8">
        <w:t xml:space="preserve"> soveltamisalaan kuuluvilta edunvalvojilta tai seuraavilta kolmansien maiden viranomaisten edustajilta, mukaan lukien niiden diplomaattiset edustustot ja suurlähetystöt:</w:t>
      </w:r>
      <w:r w:rsidRPr="00583CC8">
        <w:rPr>
          <w:rStyle w:val="HideTWBExt"/>
        </w:rPr>
        <w:t>&lt;/FootprintIntro&gt;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B5544F" w:rsidRPr="00583CC8" w14:paraId="52F70508" w14:textId="77777777" w:rsidTr="00447DA8">
        <w:tc>
          <w:tcPr>
            <w:tcW w:w="9060" w:type="dxa"/>
            <w:shd w:val="clear" w:color="auto" w:fill="auto"/>
          </w:tcPr>
          <w:p w14:paraId="33014669" w14:textId="77777777" w:rsidR="00F313E3" w:rsidRPr="00583CC8" w:rsidRDefault="004E72A3" w:rsidP="00583CC8">
            <w:pPr>
              <w:pStyle w:val="NormalBoldCenter"/>
              <w:widowControl/>
            </w:pPr>
            <w:r w:rsidRPr="00583CC8">
              <w:t>1. Pakollisesta avoimuusrekisteristä tehdyn toimielinten välisen sopimuksen soveltamisalaan kuuluvat edunvalvojat</w:t>
            </w:r>
          </w:p>
        </w:tc>
      </w:tr>
      <w:tr w:rsidR="00B5544F" w:rsidRPr="00583CC8" w14:paraId="44958434" w14:textId="77777777" w:rsidTr="00447DA8">
        <w:tc>
          <w:tcPr>
            <w:tcW w:w="9060" w:type="dxa"/>
            <w:shd w:val="clear" w:color="auto" w:fill="auto"/>
          </w:tcPr>
          <w:p w14:paraId="6988EA68" w14:textId="77777777" w:rsidR="00F313E3" w:rsidRPr="00583CC8" w:rsidRDefault="004E72A3" w:rsidP="00583CC8">
            <w:pPr>
              <w:pStyle w:val="NormalSingle"/>
              <w:widowControl/>
            </w:pPr>
            <w:r w:rsidRPr="00583CC8">
              <w:t>Transparency International EU / EU transparency register: 501222919-71</w:t>
            </w:r>
          </w:p>
        </w:tc>
      </w:tr>
      <w:tr w:rsidR="00B5544F" w:rsidRPr="00583CC8" w14:paraId="38E4BA99" w14:textId="77777777" w:rsidTr="00447DA8">
        <w:tc>
          <w:tcPr>
            <w:tcW w:w="9060" w:type="dxa"/>
            <w:shd w:val="clear" w:color="auto" w:fill="auto"/>
          </w:tcPr>
          <w:p w14:paraId="36FD925D" w14:textId="77777777" w:rsidR="00F313E3" w:rsidRPr="00583CC8" w:rsidRDefault="004E72A3" w:rsidP="00583CC8">
            <w:pPr>
              <w:pStyle w:val="NormalBoldCenter"/>
              <w:widowControl/>
            </w:pPr>
            <w:r w:rsidRPr="00583CC8">
              <w:t xml:space="preserve">2. Kolmansien maiden viranomaisten edustajat, mukaan lukien niiden diplomaattiset edustustot ja </w:t>
            </w:r>
            <w:r w:rsidRPr="00583CC8">
              <w:t>suurlähetystöt</w:t>
            </w:r>
          </w:p>
        </w:tc>
      </w:tr>
      <w:tr w:rsidR="00B5544F" w:rsidRPr="00583CC8" w14:paraId="163DAE05" w14:textId="77777777" w:rsidTr="00447DA8">
        <w:tc>
          <w:tcPr>
            <w:tcW w:w="9060" w:type="dxa"/>
            <w:shd w:val="clear" w:color="auto" w:fill="auto"/>
          </w:tcPr>
          <w:p w14:paraId="39D75DFE" w14:textId="77777777" w:rsidR="00F313E3" w:rsidRPr="00583CC8" w:rsidRDefault="004E72A3" w:rsidP="00583CC8">
            <w:pPr>
              <w:pStyle w:val="NormalSingle"/>
              <w:widowControl/>
            </w:pPr>
            <w:r w:rsidRPr="00583CC8">
              <w:t>Ei ilmoitettavaa</w:t>
            </w:r>
          </w:p>
        </w:tc>
      </w:tr>
    </w:tbl>
    <w:p w14:paraId="5749BA00" w14:textId="77777777" w:rsidR="00F313E3" w:rsidRPr="00583CC8" w:rsidRDefault="004E72A3" w:rsidP="00583CC8">
      <w:pPr>
        <w:pStyle w:val="Footprint12b"/>
        <w:widowControl/>
      </w:pPr>
      <w:r w:rsidRPr="00583CC8">
        <w:t>Valmistelija on yksin vastuussa edellä olevan luettelon laatimisesta.</w:t>
      </w:r>
    </w:p>
    <w:p w14:paraId="42717714" w14:textId="5D0DB6C9" w:rsidR="00F313E3" w:rsidRPr="00583CC8" w:rsidRDefault="004E72A3" w:rsidP="00583CC8">
      <w:pPr>
        <w:pStyle w:val="Footprint12b"/>
        <w:widowControl/>
      </w:pPr>
      <w:r w:rsidRPr="00583CC8">
        <w:t>Kun luettelossa mainitaan luonnollisen henkilön nimi ja/tai tehtävänimike, valmistelija vakuuttaa antaneensa kyseiselle henkilölle Euroopan parlamentin tietosuojaselosteen numero</w:t>
      </w:r>
      <w:r>
        <w:t> </w:t>
      </w:r>
      <w:r w:rsidRPr="00583CC8">
        <w:t>484 (</w:t>
      </w:r>
      <w:hyperlink r:id="rId14" w:tooltip="https://www.europarl.europa.eu/data-protect/index.do" w:history="1">
        <w:r w:rsidR="00F313E3" w:rsidRPr="00583CC8">
          <w:rPr>
            <w:rStyle w:val="Hyperlink"/>
          </w:rPr>
          <w:t>https://www.europarl.europa.eu/data-protect/index.do</w:t>
        </w:r>
      </w:hyperlink>
      <w:r w:rsidRPr="00583CC8">
        <w:t>), jossa määritetään henkilötietojen käsittelyyn sovellettavat ehdot ja siihen liittyvät oikeudet.</w:t>
      </w:r>
    </w:p>
    <w:p w14:paraId="15F21562" w14:textId="77777777" w:rsidR="00F313E3" w:rsidRPr="00583CC8" w:rsidRDefault="00F313E3" w:rsidP="00583CC8">
      <w:pPr>
        <w:widowControl/>
      </w:pPr>
    </w:p>
    <w:p w14:paraId="032AFF49" w14:textId="77777777" w:rsidR="00932240" w:rsidRPr="00583CC8" w:rsidRDefault="00932240" w:rsidP="00583CC8">
      <w:pPr>
        <w:widowControl/>
      </w:pPr>
    </w:p>
    <w:p w14:paraId="23904D37" w14:textId="77777777" w:rsidR="00932240" w:rsidRPr="00583CC8" w:rsidRDefault="00932240" w:rsidP="00583CC8">
      <w:pPr>
        <w:widowControl/>
        <w:sectPr w:rsidR="00932240" w:rsidRPr="00583CC8" w:rsidSect="00932240">
          <w:headerReference w:type="even" r:id="rId15"/>
          <w:headerReference w:type="default" r:id="rId16"/>
          <w:headerReference w:type="first" r:id="rId17"/>
          <w:footerReference w:type="first" r:id="rId18"/>
          <w:footnotePr>
            <w:numRestart w:val="eachSect"/>
          </w:footnotePr>
          <w:endnotePr>
            <w:numFmt w:val="decimal"/>
          </w:endnotePr>
          <w:pgSz w:w="11906" w:h="16838" w:code="9"/>
          <w:pgMar w:top="1134" w:right="1418" w:bottom="1418" w:left="1418" w:header="1134" w:footer="567" w:gutter="0"/>
          <w:cols w:space="720"/>
          <w:noEndnote/>
          <w:docGrid w:linePitch="326"/>
        </w:sectPr>
      </w:pPr>
    </w:p>
    <w:bookmarkEnd w:id="3"/>
    <w:p w14:paraId="71EF0B93" w14:textId="77777777" w:rsidR="00932240" w:rsidRPr="00583CC8" w:rsidRDefault="004E72A3" w:rsidP="00583CC8">
      <w:pPr>
        <w:pStyle w:val="PageHeadingNotTOC"/>
        <w:widowControl/>
      </w:pPr>
      <w:r w:rsidRPr="00583CC8">
        <w:t xml:space="preserve">TIEDOT </w:t>
      </w:r>
      <w:r w:rsidRPr="00583CC8">
        <w:t>HYVÄKSYMISESTÄ</w:t>
      </w:r>
      <w:r w:rsidRPr="00583CC8">
        <w:br/>
        <w:t>LAUSUNNON ANTAVASSA VALIOKUNNASSA</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B5544F" w:rsidRPr="00583CC8" w14:paraId="53D325CA" w14:textId="77777777" w:rsidTr="00221F41">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7A9BFA03" w14:textId="77777777" w:rsidR="00932240" w:rsidRPr="00583CC8" w:rsidRDefault="004E72A3" w:rsidP="00583CC8">
            <w:pPr>
              <w:widowControl/>
              <w:autoSpaceDE w:val="0"/>
              <w:autoSpaceDN w:val="0"/>
              <w:adjustRightInd w:val="0"/>
              <w:rPr>
                <w:b/>
                <w:bCs/>
                <w:color w:val="000000"/>
                <w:sz w:val="20"/>
              </w:rPr>
            </w:pPr>
            <w:r w:rsidRPr="00583CC8">
              <w:rPr>
                <w:b/>
                <w:color w:val="000000"/>
                <w:sz w:val="20"/>
              </w:rPr>
              <w:t>Hyväksytty (pvä)</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4CD34FC8" w14:textId="77777777" w:rsidR="00932240" w:rsidRPr="00583CC8" w:rsidRDefault="004E72A3" w:rsidP="00583CC8">
            <w:pPr>
              <w:widowControl/>
              <w:autoSpaceDE w:val="0"/>
              <w:autoSpaceDN w:val="0"/>
              <w:adjustRightInd w:val="0"/>
              <w:rPr>
                <w:color w:val="000000"/>
                <w:sz w:val="20"/>
              </w:rPr>
            </w:pPr>
            <w:r w:rsidRPr="00583CC8">
              <w:rPr>
                <w:color w:val="000000"/>
                <w:sz w:val="20"/>
              </w:rPr>
              <w:t>3.12.2025</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61A88DE3" w14:textId="77777777" w:rsidR="00932240" w:rsidRPr="00583CC8" w:rsidRDefault="00932240" w:rsidP="00583CC8">
            <w:pPr>
              <w:widowControl/>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1A581C54" w14:textId="77777777" w:rsidR="00932240" w:rsidRPr="00583CC8" w:rsidRDefault="00932240" w:rsidP="00583CC8">
            <w:pPr>
              <w:widowControl/>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41437458" w14:textId="77777777" w:rsidR="00932240" w:rsidRPr="00583CC8" w:rsidRDefault="00932240" w:rsidP="00583CC8">
            <w:pPr>
              <w:widowControl/>
              <w:autoSpaceDE w:val="0"/>
              <w:autoSpaceDN w:val="0"/>
              <w:adjustRightInd w:val="0"/>
              <w:rPr>
                <w:rFonts w:ascii="sans-serif" w:hAnsi="sans-serif" w:cs="sans-serif"/>
                <w:color w:val="000000"/>
              </w:rPr>
            </w:pPr>
          </w:p>
        </w:tc>
      </w:tr>
      <w:tr w:rsidR="00B5544F" w:rsidRPr="00583CC8" w14:paraId="23A9EEFC" w14:textId="77777777" w:rsidTr="00221F41">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665D9DB5" w14:textId="77777777" w:rsidR="00932240" w:rsidRPr="00583CC8" w:rsidRDefault="004E72A3" w:rsidP="00583CC8">
            <w:pPr>
              <w:widowControl/>
              <w:autoSpaceDE w:val="0"/>
              <w:autoSpaceDN w:val="0"/>
              <w:adjustRightInd w:val="0"/>
              <w:rPr>
                <w:b/>
                <w:bCs/>
                <w:color w:val="000000"/>
                <w:sz w:val="20"/>
              </w:rPr>
            </w:pPr>
            <w:r w:rsidRPr="00583CC8">
              <w:rPr>
                <w:b/>
                <w:color w:val="000000"/>
                <w:sz w:val="20"/>
              </w:rPr>
              <w:t>Lopullisen äänestyksen tulos</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3078151A" w14:textId="77777777" w:rsidR="00932240" w:rsidRPr="00583CC8" w:rsidRDefault="004E72A3" w:rsidP="00583CC8">
            <w:pPr>
              <w:widowControl/>
              <w:autoSpaceDE w:val="0"/>
              <w:autoSpaceDN w:val="0"/>
              <w:adjustRightInd w:val="0"/>
              <w:rPr>
                <w:color w:val="000000"/>
                <w:sz w:val="20"/>
              </w:rPr>
            </w:pPr>
            <w:r w:rsidRPr="00583CC8">
              <w:rPr>
                <w:color w:val="000000"/>
                <w:sz w:val="20"/>
              </w:rPr>
              <w:t>+:</w:t>
            </w:r>
          </w:p>
          <w:p w14:paraId="09CE52F3" w14:textId="77777777" w:rsidR="00932240" w:rsidRPr="00583CC8" w:rsidRDefault="004E72A3" w:rsidP="00583CC8">
            <w:pPr>
              <w:widowControl/>
              <w:autoSpaceDE w:val="0"/>
              <w:autoSpaceDN w:val="0"/>
              <w:adjustRightInd w:val="0"/>
              <w:rPr>
                <w:color w:val="000000"/>
                <w:sz w:val="20"/>
              </w:rPr>
            </w:pPr>
            <w:r w:rsidRPr="00583CC8">
              <w:rPr>
                <w:color w:val="000000"/>
                <w:sz w:val="20"/>
              </w:rPr>
              <w:t>–:</w:t>
            </w:r>
          </w:p>
          <w:p w14:paraId="4B50F936" w14:textId="77777777" w:rsidR="00932240" w:rsidRPr="00583CC8" w:rsidRDefault="004E72A3" w:rsidP="00583CC8">
            <w:pPr>
              <w:widowControl/>
              <w:autoSpaceDE w:val="0"/>
              <w:autoSpaceDN w:val="0"/>
              <w:adjustRightInd w:val="0"/>
              <w:rPr>
                <w:color w:val="000000"/>
                <w:sz w:val="20"/>
              </w:rPr>
            </w:pPr>
            <w:r w:rsidRPr="00583CC8">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7C756AA6" w14:textId="77777777" w:rsidR="00932240" w:rsidRPr="00583CC8" w:rsidRDefault="004E72A3" w:rsidP="00583CC8">
            <w:pPr>
              <w:widowControl/>
              <w:autoSpaceDE w:val="0"/>
              <w:autoSpaceDN w:val="0"/>
              <w:adjustRightInd w:val="0"/>
              <w:rPr>
                <w:color w:val="000000"/>
                <w:sz w:val="20"/>
              </w:rPr>
            </w:pPr>
            <w:r w:rsidRPr="00583CC8">
              <w:rPr>
                <w:color w:val="000000"/>
                <w:sz w:val="20"/>
              </w:rPr>
              <w:t>48</w:t>
            </w:r>
          </w:p>
          <w:p w14:paraId="3F8960EF" w14:textId="77777777" w:rsidR="00932240" w:rsidRPr="00583CC8" w:rsidRDefault="004E72A3" w:rsidP="00583CC8">
            <w:pPr>
              <w:widowControl/>
              <w:autoSpaceDE w:val="0"/>
              <w:autoSpaceDN w:val="0"/>
              <w:adjustRightInd w:val="0"/>
              <w:rPr>
                <w:color w:val="000000"/>
                <w:sz w:val="20"/>
              </w:rPr>
            </w:pPr>
            <w:r w:rsidRPr="00583CC8">
              <w:rPr>
                <w:color w:val="000000"/>
                <w:sz w:val="20"/>
              </w:rPr>
              <w:t>14</w:t>
            </w:r>
          </w:p>
          <w:p w14:paraId="145889C4" w14:textId="77777777" w:rsidR="00932240" w:rsidRPr="00583CC8" w:rsidRDefault="004E72A3" w:rsidP="00583CC8">
            <w:pPr>
              <w:widowControl/>
              <w:autoSpaceDE w:val="0"/>
              <w:autoSpaceDN w:val="0"/>
              <w:adjustRightInd w:val="0"/>
              <w:rPr>
                <w:color w:val="000000"/>
                <w:sz w:val="20"/>
              </w:rPr>
            </w:pPr>
            <w:r w:rsidRPr="00583CC8">
              <w:rPr>
                <w:color w:val="000000"/>
                <w:sz w:val="20"/>
              </w:rPr>
              <w:t>9</w:t>
            </w:r>
          </w:p>
        </w:tc>
      </w:tr>
      <w:tr w:rsidR="00B5544F" w:rsidRPr="00583CC8" w14:paraId="271DD110" w14:textId="77777777" w:rsidTr="00221F41">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4941F7AA" w14:textId="77777777" w:rsidR="00932240" w:rsidRPr="00583CC8" w:rsidRDefault="004E72A3" w:rsidP="00583CC8">
            <w:pPr>
              <w:widowControl/>
              <w:autoSpaceDE w:val="0"/>
              <w:autoSpaceDN w:val="0"/>
              <w:adjustRightInd w:val="0"/>
              <w:rPr>
                <w:b/>
                <w:bCs/>
                <w:color w:val="000000"/>
                <w:sz w:val="20"/>
              </w:rPr>
            </w:pPr>
            <w:r w:rsidRPr="00583CC8">
              <w:rPr>
                <w:b/>
                <w:color w:val="000000"/>
                <w:sz w:val="20"/>
              </w:rPr>
              <w:t>Lopullisessa äänestyksessä läsnä olleet jäsenet</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02C6FE7E" w14:textId="77777777" w:rsidR="00932240" w:rsidRPr="00583CC8" w:rsidRDefault="004E72A3" w:rsidP="00583CC8">
            <w:pPr>
              <w:widowControl/>
              <w:autoSpaceDE w:val="0"/>
              <w:autoSpaceDN w:val="0"/>
              <w:adjustRightInd w:val="0"/>
              <w:rPr>
                <w:color w:val="000000"/>
                <w:sz w:val="20"/>
              </w:rPr>
            </w:pPr>
            <w:r w:rsidRPr="00583CC8">
              <w:rPr>
                <w:color w:val="000000"/>
                <w:sz w:val="20"/>
              </w:rPr>
              <w:t xml:space="preserve">Magdalena Adamowicz, Abir Al-Sahlani, Giuseppe Antoci, Jaume Asens Llodrà, </w:t>
            </w:r>
            <w:r w:rsidRPr="00583CC8">
              <w:rPr>
                <w:color w:val="000000"/>
                <w:sz w:val="20"/>
              </w:rPr>
              <w:t>Pernando Barrena Arza, Nikola Bartůšek, François-Xavier Bellamy, Ioan-Rareş Bogdan, Saskia Bricmont, Jaroslav Bžoch, Damien Carême, Susanna Ceccardi, Caterina Chinnici, Veronika Cifrová Ostrihoňová, Alessandro Ciriani, Lena Düpont, Marieke Ehlers, Estrella Galán, Raquel García Hermida-Van Der Walle, Paolo Inselvini, Irena Joveva, Erik Kaliňák, Marina Kaljurand, Mariusz Kamiński, Fabienne Keller, Mary Khan, Alice Kuhnke, Murielle Laurent, Fabrice Leggeri, Jeroen Lenaers, Lukas Mandl, Michael McNamara, Ana Ca</w:t>
            </w:r>
            <w:r w:rsidRPr="00583CC8">
              <w:rPr>
                <w:color w:val="000000"/>
                <w:sz w:val="20"/>
              </w:rPr>
              <w:t>tarina Mendes, Verena Mertens, Nadine Morano, Matjaž Nemec, Ana Miguel Pedro, Ilaria Salis, Birgit Sippel, Krzysztof Śmiszek, Petra Steger, Cecilia Strada, Alice Teodorescu Måwe, Tomas Tobé, Milan Uhrík, Tom Vandendriessche, Kristian Vigenin, Elissavet Vozemberg-Vrionidi, Isabel Wiseler-Lima, Ewa Zajączkowska-Hernik, Alessandro Zan, Javier Zarzalejos, Tomáš Zdechovský</w:t>
            </w:r>
          </w:p>
        </w:tc>
      </w:tr>
      <w:tr w:rsidR="00B5544F" w:rsidRPr="00583CC8" w14:paraId="65B46092" w14:textId="77777777" w:rsidTr="00221F41">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3DEA0983" w14:textId="77777777" w:rsidR="00932240" w:rsidRPr="00583CC8" w:rsidRDefault="004E72A3" w:rsidP="00583CC8">
            <w:pPr>
              <w:widowControl/>
              <w:autoSpaceDE w:val="0"/>
              <w:autoSpaceDN w:val="0"/>
              <w:adjustRightInd w:val="0"/>
              <w:rPr>
                <w:b/>
                <w:bCs/>
                <w:color w:val="000000"/>
                <w:sz w:val="20"/>
              </w:rPr>
            </w:pPr>
            <w:r w:rsidRPr="00583CC8">
              <w:rPr>
                <w:b/>
                <w:color w:val="000000"/>
                <w:sz w:val="20"/>
              </w:rPr>
              <w:t>Lopullisessa äänestyksessä läsnä olleet varajäsenet</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14:paraId="567BC7FF" w14:textId="77777777" w:rsidR="00932240" w:rsidRPr="00583CC8" w:rsidRDefault="004E72A3" w:rsidP="00583CC8">
            <w:pPr>
              <w:widowControl/>
              <w:autoSpaceDE w:val="0"/>
              <w:autoSpaceDN w:val="0"/>
              <w:adjustRightInd w:val="0"/>
              <w:rPr>
                <w:color w:val="000000"/>
                <w:sz w:val="20"/>
              </w:rPr>
            </w:pPr>
            <w:r w:rsidRPr="00583CC8">
              <w:rPr>
                <w:color w:val="000000"/>
                <w:sz w:val="20"/>
              </w:rPr>
              <w:t xml:space="preserve">Katarina Barley, Anna Maria Cisint, Markéta Gregorová, Monika Hohlmeier, Nikola </w:t>
            </w:r>
            <w:r w:rsidRPr="00583CC8">
              <w:rPr>
                <w:color w:val="000000"/>
                <w:sz w:val="20"/>
              </w:rPr>
              <w:t>Minchev, Javier Moreno Sánchez, Jan-Christoph Oetjen, Leoluca Orlando, Oliver Schenk, Sebastian Tynkkynen, Alexandre Varaut, Maciej Wąsik</w:t>
            </w:r>
          </w:p>
        </w:tc>
      </w:tr>
      <w:tr w:rsidR="00B5544F" w:rsidRPr="00583CC8" w14:paraId="37FDA2C6" w14:textId="77777777" w:rsidTr="00221F41">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53E9A032" w14:textId="77777777" w:rsidR="00932240" w:rsidRPr="00583CC8" w:rsidRDefault="004E72A3" w:rsidP="00583CC8">
            <w:pPr>
              <w:widowControl/>
              <w:autoSpaceDE w:val="0"/>
              <w:autoSpaceDN w:val="0"/>
              <w:adjustRightInd w:val="0"/>
              <w:rPr>
                <w:b/>
                <w:bCs/>
                <w:color w:val="000000"/>
                <w:sz w:val="20"/>
              </w:rPr>
            </w:pPr>
            <w:r w:rsidRPr="00583CC8">
              <w:rPr>
                <w:b/>
                <w:color w:val="000000"/>
                <w:sz w:val="20"/>
              </w:rPr>
              <w:t>Lopullisessa äänestyksessä läsnä olleet sijaiset (216 art. 7 kohta)</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14:paraId="44B3923A" w14:textId="77777777" w:rsidR="00932240" w:rsidRPr="00583CC8" w:rsidRDefault="004E72A3" w:rsidP="00583CC8">
            <w:pPr>
              <w:widowControl/>
              <w:autoSpaceDE w:val="0"/>
              <w:autoSpaceDN w:val="0"/>
              <w:adjustRightInd w:val="0"/>
              <w:rPr>
                <w:color w:val="000000"/>
                <w:sz w:val="20"/>
              </w:rPr>
            </w:pPr>
            <w:r w:rsidRPr="00583CC8">
              <w:rPr>
                <w:color w:val="000000"/>
                <w:sz w:val="20"/>
              </w:rPr>
              <w:t>Stefano Cavedagna, José Cepeda, Pietro Fiocchi, Andrey Kovatchev, Marcos Ros Sempere, Michał Szczerba, Catarina Vieira</w:t>
            </w:r>
          </w:p>
        </w:tc>
      </w:tr>
    </w:tbl>
    <w:p w14:paraId="185A4865" w14:textId="77777777" w:rsidR="00932240" w:rsidRPr="00583CC8" w:rsidRDefault="00932240" w:rsidP="00583CC8">
      <w:pPr>
        <w:widowControl/>
      </w:pPr>
    </w:p>
    <w:p w14:paraId="5A980296" w14:textId="77777777" w:rsidR="00932240" w:rsidRPr="00583CC8" w:rsidRDefault="00932240" w:rsidP="00583CC8">
      <w:pPr>
        <w:widowControl/>
        <w:sectPr w:rsidR="00932240" w:rsidRPr="00583CC8" w:rsidSect="00932240">
          <w:headerReference w:type="even" r:id="rId19"/>
          <w:headerReference w:type="default" r:id="rId20"/>
          <w:headerReference w:type="first" r:id="rId21"/>
          <w:footerReference w:type="first" r:id="rId22"/>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11204330" w14:textId="6994E9D3" w:rsidR="00932240" w:rsidRPr="004E72A3" w:rsidRDefault="004E72A3" w:rsidP="004E72A3">
      <w:pPr>
        <w:pStyle w:val="PageHeadingNotTOC"/>
      </w:pPr>
      <w:r w:rsidRPr="004E72A3">
        <w:t xml:space="preserve">LOPULLINEN ÄÄNESTYS </w:t>
      </w:r>
      <w:r w:rsidRPr="004E72A3">
        <w:t>NIMENHUUTOÄÄNESTYKSENÄ</w:t>
      </w:r>
      <w:r w:rsidRPr="004E72A3">
        <w:br/>
      </w:r>
      <w:r w:rsidRPr="004E72A3">
        <w:t>LAUSUNNON ANTAVASSA VALIOKUNNASSA</w:t>
      </w:r>
    </w:p>
    <w:p w14:paraId="1DBE4668" w14:textId="77777777" w:rsidR="00932240" w:rsidRPr="00583CC8" w:rsidRDefault="00932240" w:rsidP="00583CC8">
      <w:pPr>
        <w:keepNext/>
        <w:widowControl/>
        <w:jc w:val="center"/>
        <w:rPr>
          <w:rFonts w:ascii="Arial" w:hAnsi="Arial" w:cs="Arial"/>
          <w:b/>
        </w:rPr>
      </w:pP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B5544F" w:rsidRPr="00583CC8" w14:paraId="314D138F" w14:textId="77777777" w:rsidTr="00221F41">
        <w:trPr>
          <w:cantSplit/>
        </w:trPr>
        <w:tc>
          <w:tcPr>
            <w:tcW w:w="1701" w:type="dxa"/>
            <w:shd w:val="pct10" w:color="000000" w:fill="FFFFFF"/>
            <w:vAlign w:val="center"/>
          </w:tcPr>
          <w:p w14:paraId="279FBF93" w14:textId="77777777" w:rsidR="00932240" w:rsidRPr="00583CC8" w:rsidRDefault="004E72A3" w:rsidP="00583CC8">
            <w:pPr>
              <w:widowControl/>
              <w:spacing w:before="120" w:after="120"/>
              <w:jc w:val="center"/>
              <w:rPr>
                <w:b/>
                <w:bCs/>
                <w:snapToGrid w:val="0"/>
                <w:sz w:val="16"/>
              </w:rPr>
            </w:pPr>
            <w:r w:rsidRPr="00583CC8">
              <w:rPr>
                <w:b/>
                <w:snapToGrid w:val="0"/>
                <w:sz w:val="16"/>
              </w:rPr>
              <w:t>48</w:t>
            </w:r>
          </w:p>
        </w:tc>
        <w:tc>
          <w:tcPr>
            <w:tcW w:w="7371" w:type="dxa"/>
            <w:shd w:val="pct10" w:color="000000" w:fill="FFFFFF"/>
          </w:tcPr>
          <w:p w14:paraId="3685424B" w14:textId="77777777" w:rsidR="00932240" w:rsidRPr="00583CC8" w:rsidRDefault="004E72A3" w:rsidP="00583CC8">
            <w:pPr>
              <w:widowControl/>
              <w:spacing w:before="120" w:after="120"/>
              <w:jc w:val="center"/>
              <w:rPr>
                <w:rFonts w:ascii="Arial" w:hAnsi="Arial"/>
                <w:b/>
                <w:bCs/>
                <w:snapToGrid w:val="0"/>
                <w:sz w:val="28"/>
              </w:rPr>
            </w:pPr>
            <w:r w:rsidRPr="00583CC8">
              <w:rPr>
                <w:rFonts w:ascii="Arial" w:hAnsi="Arial"/>
                <w:b/>
                <w:snapToGrid w:val="0"/>
                <w:sz w:val="28"/>
              </w:rPr>
              <w:t>+</w:t>
            </w:r>
          </w:p>
        </w:tc>
      </w:tr>
      <w:tr w:rsidR="00B5544F" w:rsidRPr="00583CC8" w14:paraId="0C0017E0" w14:textId="77777777" w:rsidTr="00221F41">
        <w:trPr>
          <w:cantSplit/>
        </w:trPr>
        <w:tc>
          <w:tcPr>
            <w:tcW w:w="1701" w:type="dxa"/>
            <w:shd w:val="clear" w:color="auto" w:fill="FFFFFF"/>
          </w:tcPr>
          <w:p w14:paraId="74F42665" w14:textId="77777777" w:rsidR="00932240" w:rsidRPr="00583CC8" w:rsidRDefault="004E72A3" w:rsidP="00583CC8">
            <w:pPr>
              <w:widowControl/>
              <w:spacing w:before="120" w:after="120"/>
              <w:rPr>
                <w:snapToGrid w:val="0"/>
                <w:sz w:val="16"/>
              </w:rPr>
            </w:pPr>
            <w:r w:rsidRPr="00583CC8">
              <w:rPr>
                <w:snapToGrid w:val="0"/>
                <w:sz w:val="16"/>
              </w:rPr>
              <w:t>PPE</w:t>
            </w:r>
          </w:p>
        </w:tc>
        <w:tc>
          <w:tcPr>
            <w:tcW w:w="7371" w:type="dxa"/>
            <w:shd w:val="clear" w:color="auto" w:fill="FFFFFF"/>
          </w:tcPr>
          <w:p w14:paraId="5571DB8A" w14:textId="77777777" w:rsidR="00932240" w:rsidRPr="00583CC8" w:rsidRDefault="004E72A3" w:rsidP="00583CC8">
            <w:pPr>
              <w:widowControl/>
              <w:spacing w:before="120" w:after="120"/>
              <w:rPr>
                <w:snapToGrid w:val="0"/>
                <w:sz w:val="16"/>
              </w:rPr>
            </w:pPr>
            <w:r w:rsidRPr="00583CC8">
              <w:rPr>
                <w:snapToGrid w:val="0"/>
                <w:sz w:val="16"/>
              </w:rPr>
              <w:t xml:space="preserve">Magdalena Adamowicz, François-Xavier Bellamy, Ioan-Rareş Bogdan, Caterina Chinnici, Lena Düpont, Monika Hohlmeier, Andrey Kovatchev, Jeroen Lenaers, Lukas Mandl, Verena Mertens, </w:t>
            </w:r>
            <w:r w:rsidRPr="00583CC8">
              <w:rPr>
                <w:snapToGrid w:val="0"/>
                <w:sz w:val="16"/>
              </w:rPr>
              <w:t>Nadine Morano, Ana Miguel Pedro, Oliver Schenk, Michał Szczerba, Alice Teodorescu Måwe, Tomas Tobé, Elissavet Vozemberg-Vrionidi, Isabel Wiseler-Lima, Javier Zarzalejos, Tomáš Zdechovský</w:t>
            </w:r>
          </w:p>
        </w:tc>
      </w:tr>
      <w:tr w:rsidR="00B5544F" w:rsidRPr="00583CC8" w14:paraId="66EEF8F8" w14:textId="77777777" w:rsidTr="00221F41">
        <w:trPr>
          <w:cantSplit/>
        </w:trPr>
        <w:tc>
          <w:tcPr>
            <w:tcW w:w="1701" w:type="dxa"/>
            <w:shd w:val="clear" w:color="auto" w:fill="FFFFFF"/>
          </w:tcPr>
          <w:p w14:paraId="7AA09E93" w14:textId="77777777" w:rsidR="00932240" w:rsidRPr="00583CC8" w:rsidRDefault="004E72A3" w:rsidP="00583CC8">
            <w:pPr>
              <w:widowControl/>
              <w:spacing w:before="120" w:after="120"/>
              <w:rPr>
                <w:snapToGrid w:val="0"/>
                <w:sz w:val="16"/>
              </w:rPr>
            </w:pPr>
            <w:r w:rsidRPr="00583CC8">
              <w:rPr>
                <w:snapToGrid w:val="0"/>
                <w:sz w:val="16"/>
              </w:rPr>
              <w:t>PfE</w:t>
            </w:r>
          </w:p>
        </w:tc>
        <w:tc>
          <w:tcPr>
            <w:tcW w:w="7371" w:type="dxa"/>
            <w:shd w:val="clear" w:color="auto" w:fill="FFFFFF"/>
          </w:tcPr>
          <w:p w14:paraId="7EF06210" w14:textId="77777777" w:rsidR="00932240" w:rsidRPr="00583CC8" w:rsidRDefault="004E72A3" w:rsidP="00583CC8">
            <w:pPr>
              <w:widowControl/>
              <w:spacing w:before="120" w:after="120"/>
              <w:rPr>
                <w:snapToGrid w:val="0"/>
                <w:sz w:val="16"/>
              </w:rPr>
            </w:pPr>
            <w:r w:rsidRPr="00583CC8">
              <w:rPr>
                <w:snapToGrid w:val="0"/>
                <w:sz w:val="16"/>
              </w:rPr>
              <w:t>Tom Vandendriessche</w:t>
            </w:r>
          </w:p>
        </w:tc>
      </w:tr>
      <w:tr w:rsidR="00B5544F" w:rsidRPr="00583CC8" w14:paraId="7C685281" w14:textId="77777777" w:rsidTr="00221F41">
        <w:trPr>
          <w:cantSplit/>
        </w:trPr>
        <w:tc>
          <w:tcPr>
            <w:tcW w:w="1701" w:type="dxa"/>
            <w:shd w:val="clear" w:color="auto" w:fill="FFFFFF"/>
          </w:tcPr>
          <w:p w14:paraId="78D2375A" w14:textId="77777777" w:rsidR="00932240" w:rsidRPr="00583CC8" w:rsidRDefault="004E72A3" w:rsidP="00583CC8">
            <w:pPr>
              <w:widowControl/>
              <w:spacing w:before="120" w:after="120"/>
              <w:rPr>
                <w:snapToGrid w:val="0"/>
                <w:sz w:val="16"/>
              </w:rPr>
            </w:pPr>
            <w:r w:rsidRPr="00583CC8">
              <w:rPr>
                <w:snapToGrid w:val="0"/>
                <w:sz w:val="16"/>
              </w:rPr>
              <w:t>Renew</w:t>
            </w:r>
          </w:p>
        </w:tc>
        <w:tc>
          <w:tcPr>
            <w:tcW w:w="7371" w:type="dxa"/>
            <w:shd w:val="clear" w:color="auto" w:fill="FFFFFF"/>
          </w:tcPr>
          <w:p w14:paraId="33A2822A" w14:textId="77777777" w:rsidR="00932240" w:rsidRPr="00583CC8" w:rsidRDefault="004E72A3" w:rsidP="00583CC8">
            <w:pPr>
              <w:widowControl/>
              <w:spacing w:before="120" w:after="120"/>
              <w:rPr>
                <w:snapToGrid w:val="0"/>
                <w:sz w:val="16"/>
              </w:rPr>
            </w:pPr>
            <w:r w:rsidRPr="00583CC8">
              <w:rPr>
                <w:snapToGrid w:val="0"/>
                <w:sz w:val="16"/>
              </w:rPr>
              <w:t>Abir Al-Sahlani, Veronika Cifrová Ostrihoňová, Raquel García Hermida-Van Der Walle, Irena Joveva, Fabienne Keller, Michael McNamara, Nikola Minchev, Jan-Christoph Oetjen</w:t>
            </w:r>
          </w:p>
        </w:tc>
      </w:tr>
      <w:tr w:rsidR="00B5544F" w:rsidRPr="00583CC8" w14:paraId="320EBCC4" w14:textId="77777777" w:rsidTr="00221F41">
        <w:trPr>
          <w:cantSplit/>
        </w:trPr>
        <w:tc>
          <w:tcPr>
            <w:tcW w:w="1701" w:type="dxa"/>
            <w:shd w:val="clear" w:color="auto" w:fill="FFFFFF"/>
          </w:tcPr>
          <w:p w14:paraId="4932297B" w14:textId="77777777" w:rsidR="00932240" w:rsidRPr="00583CC8" w:rsidRDefault="004E72A3" w:rsidP="00583CC8">
            <w:pPr>
              <w:widowControl/>
              <w:spacing w:before="120" w:after="120"/>
              <w:rPr>
                <w:snapToGrid w:val="0"/>
                <w:sz w:val="16"/>
              </w:rPr>
            </w:pPr>
            <w:r w:rsidRPr="00583CC8">
              <w:rPr>
                <w:snapToGrid w:val="0"/>
                <w:sz w:val="16"/>
              </w:rPr>
              <w:t>S&amp;D</w:t>
            </w:r>
          </w:p>
        </w:tc>
        <w:tc>
          <w:tcPr>
            <w:tcW w:w="7371" w:type="dxa"/>
            <w:shd w:val="clear" w:color="auto" w:fill="FFFFFF"/>
          </w:tcPr>
          <w:p w14:paraId="246E2F06" w14:textId="77777777" w:rsidR="00932240" w:rsidRPr="00583CC8" w:rsidRDefault="004E72A3" w:rsidP="00583CC8">
            <w:pPr>
              <w:widowControl/>
              <w:spacing w:before="120" w:after="120"/>
              <w:rPr>
                <w:snapToGrid w:val="0"/>
                <w:sz w:val="16"/>
              </w:rPr>
            </w:pPr>
            <w:r w:rsidRPr="00583CC8">
              <w:rPr>
                <w:snapToGrid w:val="0"/>
                <w:sz w:val="16"/>
              </w:rPr>
              <w:t>Katarina Barley, José Cepeda, Marina Kaljurand, Murielle Laurent, Ana Catarina Mendes, Javier Moreno Sánchez, Matjaž Nemec, Marcos Ros Sempere, Birgit Sippel, Krzysztof Śmiszek, Cecilia Strada, Kristian Vigenin, Alessandro Zan</w:t>
            </w:r>
          </w:p>
        </w:tc>
      </w:tr>
      <w:tr w:rsidR="00B5544F" w:rsidRPr="00583CC8" w14:paraId="3AE9367A" w14:textId="77777777" w:rsidTr="00221F41">
        <w:trPr>
          <w:cantSplit/>
        </w:trPr>
        <w:tc>
          <w:tcPr>
            <w:tcW w:w="1701" w:type="dxa"/>
            <w:shd w:val="clear" w:color="auto" w:fill="FFFFFF"/>
          </w:tcPr>
          <w:p w14:paraId="7A6C7EE5" w14:textId="77777777" w:rsidR="00932240" w:rsidRPr="00583CC8" w:rsidRDefault="004E72A3" w:rsidP="00583CC8">
            <w:pPr>
              <w:widowControl/>
              <w:spacing w:before="120" w:after="120"/>
              <w:rPr>
                <w:snapToGrid w:val="0"/>
                <w:sz w:val="16"/>
              </w:rPr>
            </w:pPr>
            <w:r w:rsidRPr="00583CC8">
              <w:rPr>
                <w:snapToGrid w:val="0"/>
                <w:sz w:val="16"/>
              </w:rPr>
              <w:t>Verts/ALE</w:t>
            </w:r>
          </w:p>
        </w:tc>
        <w:tc>
          <w:tcPr>
            <w:tcW w:w="7371" w:type="dxa"/>
            <w:shd w:val="clear" w:color="auto" w:fill="FFFFFF"/>
          </w:tcPr>
          <w:p w14:paraId="2F4D1346" w14:textId="77777777" w:rsidR="00932240" w:rsidRPr="00583CC8" w:rsidRDefault="004E72A3" w:rsidP="00583CC8">
            <w:pPr>
              <w:widowControl/>
              <w:spacing w:before="120" w:after="120"/>
              <w:rPr>
                <w:snapToGrid w:val="0"/>
                <w:sz w:val="16"/>
              </w:rPr>
            </w:pPr>
            <w:r w:rsidRPr="00583CC8">
              <w:rPr>
                <w:snapToGrid w:val="0"/>
                <w:sz w:val="16"/>
              </w:rPr>
              <w:t>Jaume Asens Llodrà, Saskia Bricmont, Markéta Gregorová, Alice Kuhnke, Leoluca Orlando, Catarina Vieira</w:t>
            </w:r>
          </w:p>
        </w:tc>
      </w:tr>
    </w:tbl>
    <w:p w14:paraId="1FDBBC31" w14:textId="77777777" w:rsidR="00932240" w:rsidRPr="00583CC8" w:rsidRDefault="00932240" w:rsidP="00583CC8">
      <w:pPr>
        <w:widowControl/>
      </w:pP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B5544F" w:rsidRPr="00583CC8" w14:paraId="429669A8" w14:textId="77777777" w:rsidTr="00221F41">
        <w:trPr>
          <w:cantSplit/>
        </w:trPr>
        <w:tc>
          <w:tcPr>
            <w:tcW w:w="1701" w:type="dxa"/>
            <w:shd w:val="pct10" w:color="000000" w:fill="FFFFFF"/>
            <w:vAlign w:val="center"/>
          </w:tcPr>
          <w:p w14:paraId="4BCF5D6C" w14:textId="77777777" w:rsidR="00932240" w:rsidRPr="00583CC8" w:rsidRDefault="004E72A3" w:rsidP="00583CC8">
            <w:pPr>
              <w:widowControl/>
              <w:spacing w:before="120" w:after="120"/>
              <w:jc w:val="center"/>
              <w:rPr>
                <w:b/>
                <w:bCs/>
                <w:snapToGrid w:val="0"/>
                <w:sz w:val="16"/>
              </w:rPr>
            </w:pPr>
            <w:r w:rsidRPr="00583CC8">
              <w:rPr>
                <w:b/>
                <w:snapToGrid w:val="0"/>
                <w:sz w:val="16"/>
              </w:rPr>
              <w:t>14</w:t>
            </w:r>
          </w:p>
        </w:tc>
        <w:tc>
          <w:tcPr>
            <w:tcW w:w="7371" w:type="dxa"/>
            <w:shd w:val="pct10" w:color="000000" w:fill="FFFFFF"/>
          </w:tcPr>
          <w:p w14:paraId="6D3FC5DC" w14:textId="77777777" w:rsidR="00932240" w:rsidRPr="00583CC8" w:rsidRDefault="004E72A3" w:rsidP="00583CC8">
            <w:pPr>
              <w:widowControl/>
              <w:spacing w:before="120" w:after="120"/>
              <w:jc w:val="center"/>
              <w:rPr>
                <w:rFonts w:ascii="Arial" w:hAnsi="Arial"/>
                <w:b/>
                <w:bCs/>
                <w:snapToGrid w:val="0"/>
                <w:sz w:val="28"/>
              </w:rPr>
            </w:pPr>
            <w:r w:rsidRPr="00583CC8">
              <w:rPr>
                <w:rFonts w:ascii="Arial" w:hAnsi="Arial"/>
                <w:b/>
                <w:snapToGrid w:val="0"/>
                <w:sz w:val="28"/>
              </w:rPr>
              <w:t>-</w:t>
            </w:r>
          </w:p>
        </w:tc>
      </w:tr>
      <w:tr w:rsidR="00B5544F" w:rsidRPr="00583CC8" w14:paraId="48B1BDF4" w14:textId="77777777" w:rsidTr="00221F41">
        <w:trPr>
          <w:cantSplit/>
        </w:trPr>
        <w:tc>
          <w:tcPr>
            <w:tcW w:w="1701" w:type="dxa"/>
            <w:shd w:val="clear" w:color="auto" w:fill="FFFFFF"/>
          </w:tcPr>
          <w:p w14:paraId="1F6018B1" w14:textId="77777777" w:rsidR="00932240" w:rsidRPr="00583CC8" w:rsidRDefault="004E72A3" w:rsidP="00583CC8">
            <w:pPr>
              <w:widowControl/>
              <w:spacing w:before="120" w:after="120"/>
              <w:rPr>
                <w:snapToGrid w:val="0"/>
                <w:sz w:val="16"/>
              </w:rPr>
            </w:pPr>
            <w:r w:rsidRPr="00583CC8">
              <w:rPr>
                <w:snapToGrid w:val="0"/>
                <w:sz w:val="16"/>
              </w:rPr>
              <w:t>ECR</w:t>
            </w:r>
          </w:p>
        </w:tc>
        <w:tc>
          <w:tcPr>
            <w:tcW w:w="7371" w:type="dxa"/>
            <w:shd w:val="clear" w:color="auto" w:fill="FFFFFF"/>
          </w:tcPr>
          <w:p w14:paraId="449FFCCB" w14:textId="77777777" w:rsidR="00932240" w:rsidRPr="00583CC8" w:rsidRDefault="004E72A3" w:rsidP="00583CC8">
            <w:pPr>
              <w:widowControl/>
              <w:spacing w:before="120" w:after="120"/>
              <w:rPr>
                <w:snapToGrid w:val="0"/>
                <w:sz w:val="16"/>
              </w:rPr>
            </w:pPr>
            <w:r w:rsidRPr="00583CC8">
              <w:rPr>
                <w:snapToGrid w:val="0"/>
                <w:sz w:val="16"/>
              </w:rPr>
              <w:t xml:space="preserve">Mariusz </w:t>
            </w:r>
            <w:r w:rsidRPr="00583CC8">
              <w:rPr>
                <w:snapToGrid w:val="0"/>
                <w:sz w:val="16"/>
              </w:rPr>
              <w:t>Kamiński, Sebastian Tynkkynen, Maciej Wąsik</w:t>
            </w:r>
          </w:p>
        </w:tc>
      </w:tr>
      <w:tr w:rsidR="00B5544F" w:rsidRPr="00583CC8" w14:paraId="13EB6E68" w14:textId="77777777" w:rsidTr="00221F41">
        <w:trPr>
          <w:cantSplit/>
        </w:trPr>
        <w:tc>
          <w:tcPr>
            <w:tcW w:w="1701" w:type="dxa"/>
            <w:shd w:val="clear" w:color="auto" w:fill="FFFFFF"/>
          </w:tcPr>
          <w:p w14:paraId="65D11B0C" w14:textId="77777777" w:rsidR="00932240" w:rsidRPr="00583CC8" w:rsidRDefault="004E72A3" w:rsidP="00583CC8">
            <w:pPr>
              <w:widowControl/>
              <w:spacing w:before="120" w:after="120"/>
              <w:rPr>
                <w:snapToGrid w:val="0"/>
                <w:sz w:val="16"/>
              </w:rPr>
            </w:pPr>
            <w:r w:rsidRPr="00583CC8">
              <w:rPr>
                <w:snapToGrid w:val="0"/>
                <w:sz w:val="16"/>
              </w:rPr>
              <w:t>ESN</w:t>
            </w:r>
          </w:p>
        </w:tc>
        <w:tc>
          <w:tcPr>
            <w:tcW w:w="7371" w:type="dxa"/>
            <w:shd w:val="clear" w:color="auto" w:fill="FFFFFF"/>
          </w:tcPr>
          <w:p w14:paraId="22077A4C" w14:textId="77777777" w:rsidR="00932240" w:rsidRPr="00583CC8" w:rsidRDefault="004E72A3" w:rsidP="00583CC8">
            <w:pPr>
              <w:widowControl/>
              <w:spacing w:before="120" w:after="120"/>
              <w:rPr>
                <w:snapToGrid w:val="0"/>
                <w:sz w:val="16"/>
              </w:rPr>
            </w:pPr>
            <w:r w:rsidRPr="00583CC8">
              <w:rPr>
                <w:snapToGrid w:val="0"/>
                <w:sz w:val="16"/>
              </w:rPr>
              <w:t>Mary Khan, Milan Uhrík, Ewa Zajączkowska-Hernik</w:t>
            </w:r>
          </w:p>
        </w:tc>
      </w:tr>
      <w:tr w:rsidR="00B5544F" w:rsidRPr="00583CC8" w14:paraId="332BB76D" w14:textId="77777777" w:rsidTr="00221F41">
        <w:trPr>
          <w:cantSplit/>
        </w:trPr>
        <w:tc>
          <w:tcPr>
            <w:tcW w:w="1701" w:type="dxa"/>
            <w:shd w:val="clear" w:color="auto" w:fill="FFFFFF"/>
          </w:tcPr>
          <w:p w14:paraId="49F7597B" w14:textId="77777777" w:rsidR="00932240" w:rsidRPr="00583CC8" w:rsidRDefault="004E72A3" w:rsidP="00583CC8">
            <w:pPr>
              <w:widowControl/>
              <w:spacing w:before="120" w:after="120"/>
              <w:rPr>
                <w:snapToGrid w:val="0"/>
                <w:sz w:val="16"/>
              </w:rPr>
            </w:pPr>
            <w:r w:rsidRPr="00583CC8">
              <w:rPr>
                <w:snapToGrid w:val="0"/>
                <w:sz w:val="16"/>
              </w:rPr>
              <w:t>NI</w:t>
            </w:r>
          </w:p>
        </w:tc>
        <w:tc>
          <w:tcPr>
            <w:tcW w:w="7371" w:type="dxa"/>
            <w:shd w:val="clear" w:color="auto" w:fill="FFFFFF"/>
          </w:tcPr>
          <w:p w14:paraId="3130AB63" w14:textId="77777777" w:rsidR="00932240" w:rsidRPr="00583CC8" w:rsidRDefault="004E72A3" w:rsidP="00583CC8">
            <w:pPr>
              <w:widowControl/>
              <w:spacing w:before="120" w:after="120"/>
              <w:rPr>
                <w:snapToGrid w:val="0"/>
                <w:sz w:val="16"/>
              </w:rPr>
            </w:pPr>
            <w:r w:rsidRPr="00583CC8">
              <w:rPr>
                <w:snapToGrid w:val="0"/>
                <w:sz w:val="16"/>
              </w:rPr>
              <w:t>Erik Kaliňák</w:t>
            </w:r>
          </w:p>
        </w:tc>
      </w:tr>
      <w:tr w:rsidR="00B5544F" w:rsidRPr="00583CC8" w14:paraId="2661765D" w14:textId="77777777" w:rsidTr="00221F41">
        <w:trPr>
          <w:cantSplit/>
        </w:trPr>
        <w:tc>
          <w:tcPr>
            <w:tcW w:w="1701" w:type="dxa"/>
            <w:shd w:val="clear" w:color="auto" w:fill="FFFFFF"/>
          </w:tcPr>
          <w:p w14:paraId="2F28AEDC" w14:textId="77777777" w:rsidR="00932240" w:rsidRPr="00583CC8" w:rsidRDefault="004E72A3" w:rsidP="00583CC8">
            <w:pPr>
              <w:widowControl/>
              <w:spacing w:before="120" w:after="120"/>
              <w:rPr>
                <w:snapToGrid w:val="0"/>
                <w:sz w:val="16"/>
              </w:rPr>
            </w:pPr>
            <w:r w:rsidRPr="00583CC8">
              <w:rPr>
                <w:snapToGrid w:val="0"/>
                <w:sz w:val="16"/>
              </w:rPr>
              <w:t>PfE</w:t>
            </w:r>
          </w:p>
        </w:tc>
        <w:tc>
          <w:tcPr>
            <w:tcW w:w="7371" w:type="dxa"/>
            <w:shd w:val="clear" w:color="auto" w:fill="FFFFFF"/>
          </w:tcPr>
          <w:p w14:paraId="46C8F4BB" w14:textId="77777777" w:rsidR="00932240" w:rsidRPr="00583CC8" w:rsidRDefault="004E72A3" w:rsidP="00583CC8">
            <w:pPr>
              <w:widowControl/>
              <w:spacing w:before="120" w:after="120"/>
              <w:rPr>
                <w:snapToGrid w:val="0"/>
                <w:sz w:val="16"/>
              </w:rPr>
            </w:pPr>
            <w:r w:rsidRPr="00583CC8">
              <w:rPr>
                <w:snapToGrid w:val="0"/>
                <w:sz w:val="16"/>
              </w:rPr>
              <w:t>Nikola Bartůšek, Susanna Ceccardi, Anna Maria Cisint, Marieke Ehlers, Fabrice Leggeri, Petra Steger, Alexandre Varaut</w:t>
            </w:r>
          </w:p>
        </w:tc>
      </w:tr>
    </w:tbl>
    <w:p w14:paraId="04068BC1" w14:textId="77777777" w:rsidR="00932240" w:rsidRPr="00583CC8" w:rsidRDefault="00932240" w:rsidP="00583CC8">
      <w:pPr>
        <w:widowControl/>
      </w:pP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B5544F" w:rsidRPr="00583CC8" w14:paraId="7B3EF64B" w14:textId="77777777" w:rsidTr="00221F41">
        <w:trPr>
          <w:cantSplit/>
        </w:trPr>
        <w:tc>
          <w:tcPr>
            <w:tcW w:w="1701" w:type="dxa"/>
            <w:shd w:val="pct10" w:color="000000" w:fill="FFFFFF"/>
            <w:vAlign w:val="center"/>
          </w:tcPr>
          <w:p w14:paraId="0A2C26E9" w14:textId="77777777" w:rsidR="00932240" w:rsidRPr="00583CC8" w:rsidRDefault="004E72A3" w:rsidP="00583CC8">
            <w:pPr>
              <w:widowControl/>
              <w:spacing w:before="120" w:after="120"/>
              <w:jc w:val="center"/>
              <w:rPr>
                <w:b/>
                <w:bCs/>
                <w:snapToGrid w:val="0"/>
                <w:sz w:val="16"/>
              </w:rPr>
            </w:pPr>
            <w:r w:rsidRPr="00583CC8">
              <w:rPr>
                <w:b/>
                <w:snapToGrid w:val="0"/>
                <w:sz w:val="16"/>
              </w:rPr>
              <w:t>9</w:t>
            </w:r>
          </w:p>
        </w:tc>
        <w:tc>
          <w:tcPr>
            <w:tcW w:w="7371" w:type="dxa"/>
            <w:shd w:val="pct10" w:color="000000" w:fill="FFFFFF"/>
          </w:tcPr>
          <w:p w14:paraId="5ADD6A2C" w14:textId="77777777" w:rsidR="00932240" w:rsidRPr="00583CC8" w:rsidRDefault="004E72A3" w:rsidP="00583CC8">
            <w:pPr>
              <w:widowControl/>
              <w:spacing w:before="120" w:after="120"/>
              <w:jc w:val="center"/>
              <w:rPr>
                <w:rFonts w:ascii="Arial" w:hAnsi="Arial"/>
                <w:b/>
                <w:bCs/>
                <w:snapToGrid w:val="0"/>
                <w:sz w:val="28"/>
              </w:rPr>
            </w:pPr>
            <w:r w:rsidRPr="00583CC8">
              <w:rPr>
                <w:rFonts w:ascii="Arial" w:hAnsi="Arial"/>
                <w:b/>
                <w:snapToGrid w:val="0"/>
                <w:sz w:val="28"/>
              </w:rPr>
              <w:t>0</w:t>
            </w:r>
          </w:p>
        </w:tc>
      </w:tr>
      <w:tr w:rsidR="00B5544F" w:rsidRPr="00583CC8" w14:paraId="34A70D49" w14:textId="77777777" w:rsidTr="00221F41">
        <w:trPr>
          <w:cantSplit/>
        </w:trPr>
        <w:tc>
          <w:tcPr>
            <w:tcW w:w="1701" w:type="dxa"/>
            <w:shd w:val="clear" w:color="auto" w:fill="FFFFFF"/>
          </w:tcPr>
          <w:p w14:paraId="397B930F" w14:textId="77777777" w:rsidR="00932240" w:rsidRPr="00583CC8" w:rsidRDefault="004E72A3" w:rsidP="00583CC8">
            <w:pPr>
              <w:widowControl/>
              <w:spacing w:before="120" w:after="120"/>
              <w:rPr>
                <w:snapToGrid w:val="0"/>
                <w:sz w:val="16"/>
              </w:rPr>
            </w:pPr>
            <w:r w:rsidRPr="00583CC8">
              <w:rPr>
                <w:snapToGrid w:val="0"/>
                <w:sz w:val="16"/>
              </w:rPr>
              <w:t>ECR</w:t>
            </w:r>
          </w:p>
        </w:tc>
        <w:tc>
          <w:tcPr>
            <w:tcW w:w="7371" w:type="dxa"/>
            <w:shd w:val="clear" w:color="auto" w:fill="FFFFFF"/>
          </w:tcPr>
          <w:p w14:paraId="54C56B02" w14:textId="77777777" w:rsidR="00932240" w:rsidRPr="00583CC8" w:rsidRDefault="004E72A3" w:rsidP="00583CC8">
            <w:pPr>
              <w:widowControl/>
              <w:spacing w:before="120" w:after="120"/>
              <w:rPr>
                <w:snapToGrid w:val="0"/>
                <w:sz w:val="16"/>
              </w:rPr>
            </w:pPr>
            <w:r w:rsidRPr="00583CC8">
              <w:rPr>
                <w:snapToGrid w:val="0"/>
                <w:sz w:val="16"/>
              </w:rPr>
              <w:t>Stefano Cavedagna, Alessandro Ciriani, Pietro Fiocchi, Paolo Inselvini</w:t>
            </w:r>
          </w:p>
        </w:tc>
      </w:tr>
      <w:tr w:rsidR="00B5544F" w:rsidRPr="00583CC8" w14:paraId="1000E452" w14:textId="77777777" w:rsidTr="00221F41">
        <w:trPr>
          <w:cantSplit/>
        </w:trPr>
        <w:tc>
          <w:tcPr>
            <w:tcW w:w="1701" w:type="dxa"/>
            <w:shd w:val="clear" w:color="auto" w:fill="FFFFFF"/>
          </w:tcPr>
          <w:p w14:paraId="07B57008" w14:textId="77777777" w:rsidR="00932240" w:rsidRPr="00583CC8" w:rsidRDefault="004E72A3" w:rsidP="00583CC8">
            <w:pPr>
              <w:widowControl/>
              <w:spacing w:before="120" w:after="120"/>
              <w:rPr>
                <w:snapToGrid w:val="0"/>
                <w:sz w:val="16"/>
              </w:rPr>
            </w:pPr>
            <w:r w:rsidRPr="00583CC8">
              <w:rPr>
                <w:snapToGrid w:val="0"/>
                <w:sz w:val="16"/>
              </w:rPr>
              <w:t>PfE</w:t>
            </w:r>
          </w:p>
        </w:tc>
        <w:tc>
          <w:tcPr>
            <w:tcW w:w="7371" w:type="dxa"/>
            <w:shd w:val="clear" w:color="auto" w:fill="FFFFFF"/>
          </w:tcPr>
          <w:p w14:paraId="56979375" w14:textId="77777777" w:rsidR="00932240" w:rsidRPr="00583CC8" w:rsidRDefault="004E72A3" w:rsidP="00583CC8">
            <w:pPr>
              <w:widowControl/>
              <w:spacing w:before="120" w:after="120"/>
              <w:rPr>
                <w:snapToGrid w:val="0"/>
                <w:sz w:val="16"/>
              </w:rPr>
            </w:pPr>
            <w:r w:rsidRPr="00583CC8">
              <w:rPr>
                <w:snapToGrid w:val="0"/>
                <w:sz w:val="16"/>
              </w:rPr>
              <w:t>Jaroslav Bžoch</w:t>
            </w:r>
          </w:p>
        </w:tc>
      </w:tr>
      <w:tr w:rsidR="00B5544F" w:rsidRPr="00583CC8" w14:paraId="7A56B350" w14:textId="77777777" w:rsidTr="00221F41">
        <w:trPr>
          <w:cantSplit/>
        </w:trPr>
        <w:tc>
          <w:tcPr>
            <w:tcW w:w="1701" w:type="dxa"/>
            <w:shd w:val="clear" w:color="auto" w:fill="FFFFFF"/>
          </w:tcPr>
          <w:p w14:paraId="0D43D816" w14:textId="77777777" w:rsidR="00932240" w:rsidRPr="00583CC8" w:rsidRDefault="004E72A3" w:rsidP="00583CC8">
            <w:pPr>
              <w:widowControl/>
              <w:spacing w:before="120" w:after="120"/>
              <w:rPr>
                <w:snapToGrid w:val="0"/>
                <w:sz w:val="16"/>
              </w:rPr>
            </w:pPr>
            <w:r w:rsidRPr="00583CC8">
              <w:rPr>
                <w:snapToGrid w:val="0"/>
                <w:sz w:val="16"/>
              </w:rPr>
              <w:t>The Left</w:t>
            </w:r>
          </w:p>
        </w:tc>
        <w:tc>
          <w:tcPr>
            <w:tcW w:w="7371" w:type="dxa"/>
            <w:shd w:val="clear" w:color="auto" w:fill="FFFFFF"/>
          </w:tcPr>
          <w:p w14:paraId="7EC5839A" w14:textId="77777777" w:rsidR="00932240" w:rsidRPr="00583CC8" w:rsidRDefault="004E72A3" w:rsidP="00583CC8">
            <w:pPr>
              <w:widowControl/>
              <w:spacing w:before="120" w:after="120"/>
              <w:rPr>
                <w:snapToGrid w:val="0"/>
                <w:sz w:val="16"/>
              </w:rPr>
            </w:pPr>
            <w:r w:rsidRPr="00583CC8">
              <w:rPr>
                <w:snapToGrid w:val="0"/>
                <w:sz w:val="16"/>
              </w:rPr>
              <w:t>Pernando Barrena Arza, Damien Carême, Estrella Galán, Ilaria Salis</w:t>
            </w:r>
          </w:p>
        </w:tc>
      </w:tr>
    </w:tbl>
    <w:p w14:paraId="6B29F461" w14:textId="77777777" w:rsidR="00932240" w:rsidRPr="00583CC8" w:rsidRDefault="00932240" w:rsidP="00583CC8">
      <w:pPr>
        <w:widowControl/>
        <w:spacing w:after="240"/>
      </w:pPr>
    </w:p>
    <w:p w14:paraId="439111DE" w14:textId="77777777" w:rsidR="00932240" w:rsidRPr="00583CC8" w:rsidRDefault="004E72A3" w:rsidP="00583CC8">
      <w:pPr>
        <w:widowControl/>
      </w:pPr>
      <w:r w:rsidRPr="00583CC8">
        <w:t>Symbolien selitys:</w:t>
      </w:r>
    </w:p>
    <w:p w14:paraId="2F674964" w14:textId="77777777" w:rsidR="00932240" w:rsidRPr="00583CC8" w:rsidRDefault="004E72A3" w:rsidP="00583CC8">
      <w:pPr>
        <w:widowControl/>
        <w:tabs>
          <w:tab w:val="center" w:pos="284"/>
          <w:tab w:val="left" w:pos="426"/>
        </w:tabs>
        <w:rPr>
          <w:snapToGrid w:val="0"/>
        </w:rPr>
      </w:pPr>
      <w:r w:rsidRPr="00583CC8">
        <w:rPr>
          <w:snapToGrid w:val="0"/>
        </w:rPr>
        <w:t>+</w:t>
      </w:r>
      <w:r w:rsidRPr="00583CC8">
        <w:rPr>
          <w:snapToGrid w:val="0"/>
        </w:rPr>
        <w:tab/>
        <w:t>:</w:t>
      </w:r>
      <w:r w:rsidRPr="00583CC8">
        <w:rPr>
          <w:snapToGrid w:val="0"/>
        </w:rPr>
        <w:tab/>
        <w:t>puolesta</w:t>
      </w:r>
    </w:p>
    <w:p w14:paraId="28774FB4" w14:textId="77777777" w:rsidR="00932240" w:rsidRPr="00583CC8" w:rsidRDefault="004E72A3" w:rsidP="00583CC8">
      <w:pPr>
        <w:widowControl/>
        <w:tabs>
          <w:tab w:val="center" w:pos="284"/>
          <w:tab w:val="left" w:pos="426"/>
        </w:tabs>
        <w:rPr>
          <w:snapToGrid w:val="0"/>
        </w:rPr>
      </w:pPr>
      <w:r w:rsidRPr="00583CC8">
        <w:rPr>
          <w:snapToGrid w:val="0"/>
        </w:rPr>
        <w:t>-</w:t>
      </w:r>
      <w:r w:rsidRPr="00583CC8">
        <w:rPr>
          <w:snapToGrid w:val="0"/>
        </w:rPr>
        <w:tab/>
        <w:t>:</w:t>
      </w:r>
      <w:r w:rsidRPr="00583CC8">
        <w:rPr>
          <w:snapToGrid w:val="0"/>
        </w:rPr>
        <w:tab/>
        <w:t>vastaan</w:t>
      </w:r>
    </w:p>
    <w:p w14:paraId="04398615" w14:textId="77777777" w:rsidR="00932240" w:rsidRPr="00583CC8" w:rsidRDefault="004E72A3" w:rsidP="00583CC8">
      <w:pPr>
        <w:widowControl/>
        <w:tabs>
          <w:tab w:val="center" w:pos="284"/>
          <w:tab w:val="left" w:pos="426"/>
        </w:tabs>
        <w:rPr>
          <w:snapToGrid w:val="0"/>
        </w:rPr>
      </w:pPr>
      <w:r w:rsidRPr="00583CC8">
        <w:rPr>
          <w:snapToGrid w:val="0"/>
        </w:rPr>
        <w:t>0</w:t>
      </w:r>
      <w:r w:rsidRPr="00583CC8">
        <w:rPr>
          <w:snapToGrid w:val="0"/>
        </w:rPr>
        <w:tab/>
        <w:t>:</w:t>
      </w:r>
      <w:r w:rsidRPr="00583CC8">
        <w:rPr>
          <w:snapToGrid w:val="0"/>
        </w:rPr>
        <w:tab/>
        <w:t>tyhjää</w:t>
      </w:r>
    </w:p>
    <w:p w14:paraId="2DD9975E" w14:textId="77777777" w:rsidR="00932240" w:rsidRPr="00583CC8" w:rsidRDefault="00932240" w:rsidP="00583CC8">
      <w:pPr>
        <w:widowControl/>
      </w:pPr>
    </w:p>
    <w:p w14:paraId="0F90AC6C" w14:textId="77777777" w:rsidR="002E2F2E" w:rsidRPr="00583CC8" w:rsidRDefault="002E2F2E" w:rsidP="00583CC8">
      <w:pPr>
        <w:pStyle w:val="PageHeadingNotTOC"/>
        <w:widowControl/>
        <w:jc w:val="left"/>
      </w:pPr>
    </w:p>
    <w:sectPr w:rsidR="002E2F2E" w:rsidRPr="00583CC8" w:rsidSect="00932240">
      <w:headerReference w:type="even" r:id="rId23"/>
      <w:headerReference w:type="default" r:id="rId24"/>
      <w:headerReference w:type="first" r:id="rId25"/>
      <w:footerReference w:type="first" r:id="rId2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4987E5" w14:textId="77777777" w:rsidR="004E72A3" w:rsidRPr="00595048" w:rsidRDefault="004E72A3">
      <w:r w:rsidRPr="00595048">
        <w:separator/>
      </w:r>
    </w:p>
  </w:endnote>
  <w:endnote w:type="continuationSeparator" w:id="0">
    <w:p w14:paraId="1A63294E" w14:textId="77777777" w:rsidR="004E72A3" w:rsidRPr="00595048" w:rsidRDefault="004E72A3">
      <w:r w:rsidRPr="0059504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ans-serif">
    <w:altName w:val="Calibri"/>
    <w:panose1 w:val="00000000000000000000"/>
    <w:charset w:val="00"/>
    <w:family w:val="auto"/>
    <w:notTrueType/>
    <w:pitch w:val="default"/>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4FFA2E" w14:textId="77777777" w:rsidR="00595048" w:rsidRPr="00595048" w:rsidRDefault="00595048" w:rsidP="00595048">
    <w:pPr>
      <w:pStyle w:val="EPFooter"/>
    </w:pPr>
    <w:r w:rsidRPr="00595048">
      <w:t>PE</w:t>
    </w:r>
    <w:r w:rsidRPr="00595048">
      <w:rPr>
        <w:rStyle w:val="HideTWBExt"/>
      </w:rPr>
      <w:t>&lt;NoPE&gt;</w:t>
    </w:r>
    <w:r w:rsidRPr="00595048">
      <w:t>778.227</w:t>
    </w:r>
    <w:r w:rsidRPr="00595048">
      <w:rPr>
        <w:rStyle w:val="HideTWBExt"/>
      </w:rPr>
      <w:t>&lt;/NoPE&gt;&lt;Version&gt;</w:t>
    </w:r>
    <w:r w:rsidRPr="00595048">
      <w:t>v05-00</w:t>
    </w:r>
    <w:r w:rsidRPr="00595048">
      <w:rPr>
        <w:rStyle w:val="HideTWBExt"/>
      </w:rPr>
      <w:t>&lt;/Version&gt;</w:t>
    </w:r>
    <w:r w:rsidRPr="00595048">
      <w:tab/>
    </w:r>
    <w:r w:rsidRPr="00595048">
      <w:fldChar w:fldCharType="begin"/>
    </w:r>
    <w:r w:rsidRPr="00595048">
      <w:instrText xml:space="preserve"> PAGE  \* MERGEFORMAT </w:instrText>
    </w:r>
    <w:r w:rsidRPr="00595048">
      <w:fldChar w:fldCharType="separate"/>
    </w:r>
    <w:r w:rsidRPr="00595048">
      <w:rPr>
        <w:noProof/>
      </w:rPr>
      <w:t>2</w:t>
    </w:r>
    <w:r w:rsidRPr="00595048">
      <w:fldChar w:fldCharType="end"/>
    </w:r>
    <w:r w:rsidRPr="00595048">
      <w:t>/</w:t>
    </w:r>
    <w:fldSimple w:instr=" NUMPAGES  \* MERGEFORMAT ">
      <w:r w:rsidRPr="00595048">
        <w:rPr>
          <w:noProof/>
        </w:rPr>
        <w:t>18</w:t>
      </w:r>
    </w:fldSimple>
    <w:r w:rsidRPr="00595048">
      <w:tab/>
    </w:r>
    <w:r w:rsidRPr="00595048">
      <w:rPr>
        <w:rStyle w:val="HideTWBExt"/>
      </w:rPr>
      <w:t>&lt;PathFdR&gt;</w:t>
    </w:r>
    <w:r w:rsidRPr="00595048">
      <w:t>AD\1341059FI.docx</w:t>
    </w:r>
    <w:r w:rsidRPr="00595048">
      <w:rPr>
        <w:rStyle w:val="HideTWBExt"/>
      </w:rPr>
      <w:t>&lt;/PathFdR&gt;</w:t>
    </w:r>
  </w:p>
  <w:p w14:paraId="5AFBD1F8" w14:textId="49DFF6A9" w:rsidR="00932240" w:rsidRPr="00595048" w:rsidRDefault="00595048" w:rsidP="00595048">
    <w:pPr>
      <w:pStyle w:val="EPFooter2"/>
    </w:pPr>
    <w:r w:rsidRPr="00595048">
      <w:t>FI</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881AEB" w14:textId="77777777" w:rsidR="00595048" w:rsidRPr="00595048" w:rsidRDefault="00595048" w:rsidP="00595048">
    <w:pPr>
      <w:pStyle w:val="EPFooter"/>
    </w:pPr>
    <w:r w:rsidRPr="00595048">
      <w:rPr>
        <w:rStyle w:val="HideTWBExt"/>
      </w:rPr>
      <w:t>&lt;PathFdR&gt;</w:t>
    </w:r>
    <w:r w:rsidRPr="00595048">
      <w:t>AD\1341059FI.docx</w:t>
    </w:r>
    <w:r w:rsidRPr="00595048">
      <w:rPr>
        <w:rStyle w:val="HideTWBExt"/>
      </w:rPr>
      <w:t>&lt;/PathFdR&gt;</w:t>
    </w:r>
    <w:r w:rsidRPr="00595048">
      <w:tab/>
    </w:r>
    <w:r w:rsidRPr="00595048">
      <w:fldChar w:fldCharType="begin"/>
    </w:r>
    <w:r w:rsidRPr="00595048">
      <w:instrText xml:space="preserve"> PAGE  \* MERGEFORMAT </w:instrText>
    </w:r>
    <w:r w:rsidRPr="00595048">
      <w:fldChar w:fldCharType="separate"/>
    </w:r>
    <w:r w:rsidRPr="00595048">
      <w:rPr>
        <w:noProof/>
      </w:rPr>
      <w:t>3</w:t>
    </w:r>
    <w:r w:rsidRPr="00595048">
      <w:fldChar w:fldCharType="end"/>
    </w:r>
    <w:r w:rsidRPr="00595048">
      <w:t>/</w:t>
    </w:r>
    <w:fldSimple w:instr=" NUMPAGES  \* MERGEFORMAT ">
      <w:r w:rsidRPr="00595048">
        <w:rPr>
          <w:noProof/>
        </w:rPr>
        <w:t>18</w:t>
      </w:r>
    </w:fldSimple>
    <w:r w:rsidRPr="00595048">
      <w:tab/>
      <w:t>PE</w:t>
    </w:r>
    <w:r w:rsidRPr="00595048">
      <w:rPr>
        <w:rStyle w:val="HideTWBExt"/>
      </w:rPr>
      <w:t>&lt;NoPE&gt;</w:t>
    </w:r>
    <w:r w:rsidRPr="00595048">
      <w:t>778.227</w:t>
    </w:r>
    <w:r w:rsidRPr="00595048">
      <w:rPr>
        <w:rStyle w:val="HideTWBExt"/>
      </w:rPr>
      <w:t>&lt;/NoPE&gt;&lt;Version&gt;</w:t>
    </w:r>
    <w:r w:rsidRPr="00595048">
      <w:t>v05-00</w:t>
    </w:r>
    <w:r w:rsidRPr="00595048">
      <w:rPr>
        <w:rStyle w:val="HideTWBExt"/>
      </w:rPr>
      <w:t>&lt;/Version&gt;</w:t>
    </w:r>
  </w:p>
  <w:p w14:paraId="533E3602" w14:textId="30DA6F18" w:rsidR="00932240" w:rsidRPr="00595048" w:rsidRDefault="00595048" w:rsidP="00595048">
    <w:pPr>
      <w:pStyle w:val="EPFooter2"/>
    </w:pPr>
    <w:r w:rsidRPr="00595048">
      <w:tab/>
    </w:r>
    <w:r w:rsidRPr="00595048">
      <w:tab/>
      <w:t>FI</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A2697B" w14:textId="77777777" w:rsidR="00595048" w:rsidRPr="00595048" w:rsidRDefault="00595048" w:rsidP="00595048">
    <w:pPr>
      <w:pStyle w:val="EPFooter"/>
    </w:pPr>
    <w:r w:rsidRPr="00595048">
      <w:rPr>
        <w:rStyle w:val="HideTWBExt"/>
      </w:rPr>
      <w:t>&lt;PathFdR&gt;</w:t>
    </w:r>
    <w:r w:rsidRPr="00595048">
      <w:t>AD\1341059FI.docx</w:t>
    </w:r>
    <w:r w:rsidRPr="00595048">
      <w:rPr>
        <w:rStyle w:val="HideTWBExt"/>
      </w:rPr>
      <w:t>&lt;/PathFdR&gt;</w:t>
    </w:r>
    <w:r w:rsidRPr="00595048">
      <w:tab/>
    </w:r>
    <w:r w:rsidRPr="00595048">
      <w:tab/>
      <w:t>PE</w:t>
    </w:r>
    <w:r w:rsidRPr="00595048">
      <w:rPr>
        <w:rStyle w:val="HideTWBExt"/>
      </w:rPr>
      <w:t>&lt;NoPE&gt;</w:t>
    </w:r>
    <w:r w:rsidRPr="00595048">
      <w:t>778.227</w:t>
    </w:r>
    <w:r w:rsidRPr="00595048">
      <w:rPr>
        <w:rStyle w:val="HideTWBExt"/>
      </w:rPr>
      <w:t>&lt;/NoPE&gt;&lt;Version&gt;</w:t>
    </w:r>
    <w:r w:rsidRPr="00595048">
      <w:t>v05-00</w:t>
    </w:r>
    <w:r w:rsidRPr="00595048">
      <w:rPr>
        <w:rStyle w:val="HideTWBExt"/>
      </w:rPr>
      <w:t>&lt;/Version&gt;</w:t>
    </w:r>
  </w:p>
  <w:p w14:paraId="16F7E00A" w14:textId="17584A41" w:rsidR="00932240" w:rsidRPr="00595048" w:rsidRDefault="00595048" w:rsidP="00595048">
    <w:pPr>
      <w:pStyle w:val="EPFooter2"/>
    </w:pPr>
    <w:r w:rsidRPr="00595048">
      <w:t>FI</w:t>
    </w:r>
    <w:r w:rsidRPr="00595048">
      <w:tab/>
    </w:r>
    <w:r w:rsidRPr="00595048">
      <w:rPr>
        <w:b w:val="0"/>
        <w:i/>
        <w:color w:val="C0C0C0"/>
        <w:sz w:val="22"/>
      </w:rPr>
      <w:t>Moninaisuudessaan yhtenäinen</w:t>
    </w:r>
    <w:r w:rsidRPr="00595048">
      <w:tab/>
      <w:t>FI</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560F03" w14:textId="77777777" w:rsidR="00932240" w:rsidRPr="00595048" w:rsidRDefault="004E72A3" w:rsidP="007D590C">
    <w:pPr>
      <w:pStyle w:val="EPFooter"/>
    </w:pPr>
    <w:r w:rsidRPr="00595048">
      <w:rPr>
        <w:rStyle w:val="HideTWBExt"/>
      </w:rPr>
      <w:t>&lt;PathFdR&gt;</w:t>
    </w:r>
    <w:r w:rsidR="00B5168E" w:rsidRPr="00595048">
      <w:t>AD\1341059EN.docx</w:t>
    </w:r>
    <w:r w:rsidRPr="00595048">
      <w:rPr>
        <w:rStyle w:val="HideTWBExt"/>
      </w:rPr>
      <w:t>&lt;/PathFdR&gt;</w:t>
    </w:r>
    <w:r w:rsidRPr="00595048">
      <w:tab/>
    </w:r>
    <w:r w:rsidRPr="00595048">
      <w:tab/>
      <w:t>PE</w:t>
    </w:r>
    <w:r w:rsidRPr="00595048">
      <w:rPr>
        <w:rStyle w:val="HideTWBExt"/>
      </w:rPr>
      <w:t>&lt;NoPE&gt;</w:t>
    </w:r>
    <w:r w:rsidRPr="00595048">
      <w:t>778.277</w:t>
    </w:r>
    <w:r w:rsidRPr="00595048">
      <w:rPr>
        <w:rStyle w:val="HideTWBExt"/>
      </w:rPr>
      <w:t>&lt;/NoPE&gt;&lt;Version&gt;</w:t>
    </w:r>
    <w:r w:rsidRPr="00595048">
      <w:t>v04-00</w:t>
    </w:r>
    <w:r w:rsidRPr="00595048">
      <w:rPr>
        <w:rStyle w:val="HideTWBExt"/>
      </w:rPr>
      <w:t>&lt;/Version&gt;</w:t>
    </w:r>
  </w:p>
  <w:p w14:paraId="458AA45B" w14:textId="77777777" w:rsidR="00932240" w:rsidRPr="00595048" w:rsidRDefault="004E72A3" w:rsidP="007D590C">
    <w:pPr>
      <w:pStyle w:val="EPFooter2"/>
    </w:pPr>
    <w:r w:rsidRPr="00595048">
      <w:t>XT</w:t>
    </w:r>
    <w:r w:rsidRPr="00595048">
      <w:tab/>
    </w:r>
    <w:r w:rsidRPr="00595048">
      <w:rPr>
        <w:b w:val="0"/>
        <w:i/>
        <w:color w:val="C0C0C0"/>
        <w:sz w:val="22"/>
      </w:rPr>
      <w:t>United in diversity</w:t>
    </w:r>
    <w:r w:rsidRPr="00595048">
      <w:tab/>
      <w:t>XT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1EA04C" w14:textId="77777777" w:rsidR="00932240" w:rsidRPr="00595048" w:rsidRDefault="004E72A3" w:rsidP="007D590C">
    <w:pPr>
      <w:pStyle w:val="EPFooter"/>
    </w:pPr>
    <w:r w:rsidRPr="00595048">
      <w:rPr>
        <w:rStyle w:val="HideTWBExt"/>
      </w:rPr>
      <w:t>&lt;PathFdR&gt;</w:t>
    </w:r>
    <w:r w:rsidR="00B5168E" w:rsidRPr="00595048">
      <w:t>AD\1341059EN.docx</w:t>
    </w:r>
    <w:r w:rsidRPr="00595048">
      <w:rPr>
        <w:rStyle w:val="HideTWBExt"/>
      </w:rPr>
      <w:t>&lt;/PathFdR&gt;</w:t>
    </w:r>
    <w:r w:rsidRPr="00595048">
      <w:tab/>
    </w:r>
    <w:r w:rsidRPr="00595048">
      <w:tab/>
      <w:t>PE</w:t>
    </w:r>
    <w:r w:rsidRPr="00595048">
      <w:rPr>
        <w:rStyle w:val="HideTWBExt"/>
      </w:rPr>
      <w:t>&lt;NoPE&gt;</w:t>
    </w:r>
    <w:r w:rsidRPr="00595048">
      <w:t>778.277</w:t>
    </w:r>
    <w:r w:rsidRPr="00595048">
      <w:rPr>
        <w:rStyle w:val="HideTWBExt"/>
      </w:rPr>
      <w:t>&lt;/NoPE&gt;&lt;Version&gt;</w:t>
    </w:r>
    <w:r w:rsidRPr="00595048">
      <w:t>v04-00</w:t>
    </w:r>
    <w:r w:rsidRPr="00595048">
      <w:rPr>
        <w:rStyle w:val="HideTWBExt"/>
      </w:rPr>
      <w:t>&lt;/Version&gt;</w:t>
    </w:r>
  </w:p>
  <w:p w14:paraId="26F87D4B" w14:textId="77777777" w:rsidR="00932240" w:rsidRPr="00595048" w:rsidRDefault="004E72A3" w:rsidP="007D590C">
    <w:pPr>
      <w:pStyle w:val="EPFooter2"/>
    </w:pPr>
    <w:r w:rsidRPr="00595048">
      <w:t>XT</w:t>
    </w:r>
    <w:r w:rsidRPr="00595048">
      <w:tab/>
    </w:r>
    <w:r w:rsidRPr="00595048">
      <w:rPr>
        <w:b w:val="0"/>
        <w:i/>
        <w:color w:val="C0C0C0"/>
        <w:sz w:val="22"/>
      </w:rPr>
      <w:t>United in diversity</w:t>
    </w:r>
    <w:r w:rsidRPr="00595048">
      <w:tab/>
      <w:t>XT</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4B11D3" w14:textId="77777777" w:rsidR="007D590C" w:rsidRPr="00595048" w:rsidRDefault="004E72A3" w:rsidP="007D590C">
    <w:pPr>
      <w:pStyle w:val="EPFooter"/>
    </w:pPr>
    <w:r w:rsidRPr="00595048">
      <w:rPr>
        <w:rStyle w:val="HideTWBExt"/>
      </w:rPr>
      <w:t>&lt;PathFdR&gt;</w:t>
    </w:r>
    <w:r w:rsidR="00B5168E" w:rsidRPr="00595048">
      <w:t>AD\1341059EN.docx</w:t>
    </w:r>
    <w:r w:rsidRPr="00595048">
      <w:rPr>
        <w:rStyle w:val="HideTWBExt"/>
      </w:rPr>
      <w:t>&lt;/PathFdR&gt;</w:t>
    </w:r>
    <w:r w:rsidRPr="00595048">
      <w:tab/>
    </w:r>
    <w:r w:rsidRPr="00595048">
      <w:tab/>
      <w:t>PE</w:t>
    </w:r>
    <w:r w:rsidRPr="00595048">
      <w:rPr>
        <w:rStyle w:val="HideTWBExt"/>
      </w:rPr>
      <w:t>&lt;NoPE&gt;</w:t>
    </w:r>
    <w:r w:rsidRPr="00595048">
      <w:t>778.277</w:t>
    </w:r>
    <w:r w:rsidRPr="00595048">
      <w:rPr>
        <w:rStyle w:val="HideTWBExt"/>
      </w:rPr>
      <w:t>&lt;/NoPE&gt;&lt;Version&gt;</w:t>
    </w:r>
    <w:r w:rsidRPr="00595048">
      <w:t>v04-00</w:t>
    </w:r>
    <w:r w:rsidRPr="00595048">
      <w:rPr>
        <w:rStyle w:val="HideTWBExt"/>
      </w:rPr>
      <w:t>&lt;/Version&gt;</w:t>
    </w:r>
  </w:p>
  <w:p w14:paraId="69F7B3E0" w14:textId="77777777" w:rsidR="00C75378" w:rsidRPr="00595048" w:rsidRDefault="004E72A3" w:rsidP="007D590C">
    <w:pPr>
      <w:pStyle w:val="EPFooter2"/>
    </w:pPr>
    <w:r w:rsidRPr="00595048">
      <w:t>XT</w:t>
    </w:r>
    <w:r w:rsidRPr="00595048">
      <w:tab/>
    </w:r>
    <w:r w:rsidRPr="00595048">
      <w:rPr>
        <w:b w:val="0"/>
        <w:i/>
        <w:color w:val="C0C0C0"/>
        <w:sz w:val="22"/>
      </w:rPr>
      <w:t>United in diversity</w:t>
    </w:r>
    <w:r w:rsidRPr="00595048">
      <w:tab/>
      <w:t>XT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FE93B3" w14:textId="77777777" w:rsidR="001F470B" w:rsidRPr="00595048" w:rsidRDefault="004E72A3">
      <w:r w:rsidRPr="00595048">
        <w:separator/>
      </w:r>
    </w:p>
  </w:footnote>
  <w:footnote w:type="continuationSeparator" w:id="0">
    <w:p w14:paraId="3E432BEF" w14:textId="77777777" w:rsidR="001F470B" w:rsidRPr="00595048" w:rsidRDefault="004E72A3">
      <w:r w:rsidRPr="00595048">
        <w:continuationSeparator/>
      </w:r>
    </w:p>
  </w:footnote>
  <w:footnote w:id="1">
    <w:p w14:paraId="29640DFE" w14:textId="3591F70B" w:rsidR="00F313E3" w:rsidRPr="00595048" w:rsidRDefault="004E72A3" w:rsidP="00F313E3">
      <w:pPr>
        <w:pStyle w:val="FootnoteText"/>
      </w:pPr>
      <w:r w:rsidRPr="00595048">
        <w:rPr>
          <w:rStyle w:val="FootnoteReference"/>
        </w:rPr>
        <w:footnoteRef/>
      </w:r>
      <w:r w:rsidRPr="00595048">
        <w:t xml:space="preserve"> Euroopan parlamentin, Euroopan unionin neuvoston ja Euroopan komission toimielinten välinen sopimus, tehty 20. toukokuuta 2021, pakollisesta avoimuusrekisteristä (EUVL L 207, 11.6.2021, s. 1, ELI: </w:t>
      </w:r>
      <w:hyperlink r:id="rId1" w:tooltip="http://data.europa.eu/eli/agree_interinstit/2021/611/oj" w:history="1">
        <w:r w:rsidR="00F313E3" w:rsidRPr="00595048">
          <w:rPr>
            <w:rStyle w:val="Hyperlink"/>
          </w:rPr>
          <w:t>http://data.europa.eu/eli/agree_interinstit/2021/611/oj</w:t>
        </w:r>
      </w:hyperlink>
      <w:r w:rsidRPr="00595048">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04305E" w14:textId="77777777" w:rsidR="004E72A3" w:rsidRDefault="004E72A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5FF0DF" w14:textId="77777777" w:rsidR="004E72A3" w:rsidRDefault="004E72A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0CF909" w14:textId="77777777" w:rsidR="004E72A3" w:rsidRDefault="004E72A3">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297216" w14:textId="77777777" w:rsidR="00932240" w:rsidRDefault="00932240">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426FCB" w14:textId="77777777" w:rsidR="00932240" w:rsidRDefault="00932240">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E8132A" w14:textId="77777777" w:rsidR="00932240" w:rsidRDefault="00932240">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D1BCFA" w14:textId="77777777" w:rsidR="00932240" w:rsidRDefault="00932240">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610A14" w14:textId="77777777" w:rsidR="00932240" w:rsidRDefault="00932240">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6F3DED" w14:textId="77777777" w:rsidR="00932240" w:rsidRDefault="00932240">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869EB3" w14:textId="77777777" w:rsidR="007D590C" w:rsidRDefault="007D590C">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976A69" w14:textId="77777777" w:rsidR="007D590C" w:rsidRDefault="007D590C">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339A1F" w14:textId="77777777" w:rsidR="007D590C" w:rsidRDefault="007D590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94175292">
    <w:abstractNumId w:val="9"/>
  </w:num>
  <w:num w:numId="2" w16cid:durableId="1987590181">
    <w:abstractNumId w:val="9"/>
  </w:num>
  <w:num w:numId="3" w16cid:durableId="661930877">
    <w:abstractNumId w:val="7"/>
  </w:num>
  <w:num w:numId="4" w16cid:durableId="1011369849">
    <w:abstractNumId w:val="7"/>
  </w:num>
  <w:num w:numId="5" w16cid:durableId="609288861">
    <w:abstractNumId w:val="6"/>
  </w:num>
  <w:num w:numId="6" w16cid:durableId="1875919752">
    <w:abstractNumId w:val="6"/>
  </w:num>
  <w:num w:numId="7" w16cid:durableId="477841226">
    <w:abstractNumId w:val="5"/>
  </w:num>
  <w:num w:numId="8" w16cid:durableId="1036274501">
    <w:abstractNumId w:val="5"/>
  </w:num>
  <w:num w:numId="9" w16cid:durableId="772096971">
    <w:abstractNumId w:val="4"/>
  </w:num>
  <w:num w:numId="10" w16cid:durableId="265117398">
    <w:abstractNumId w:val="4"/>
  </w:num>
  <w:num w:numId="11" w16cid:durableId="2102752478">
    <w:abstractNumId w:val="8"/>
  </w:num>
  <w:num w:numId="12" w16cid:durableId="1981808909">
    <w:abstractNumId w:val="8"/>
  </w:num>
  <w:num w:numId="13" w16cid:durableId="676232478">
    <w:abstractNumId w:val="3"/>
  </w:num>
  <w:num w:numId="14" w16cid:durableId="1285963319">
    <w:abstractNumId w:val="3"/>
  </w:num>
  <w:num w:numId="15" w16cid:durableId="179901252">
    <w:abstractNumId w:val="2"/>
  </w:num>
  <w:num w:numId="16" w16cid:durableId="992029999">
    <w:abstractNumId w:val="2"/>
  </w:num>
  <w:num w:numId="17" w16cid:durableId="1984697487">
    <w:abstractNumId w:val="1"/>
  </w:num>
  <w:num w:numId="18" w16cid:durableId="1615401595">
    <w:abstractNumId w:val="1"/>
  </w:num>
  <w:num w:numId="19" w16cid:durableId="244069370">
    <w:abstractNumId w:val="0"/>
  </w:num>
  <w:num w:numId="20" w16cid:durableId="2009597964">
    <w:abstractNumId w:val="0"/>
  </w:num>
  <w:num w:numId="21" w16cid:durableId="1739786983">
    <w:abstractNumId w:val="9"/>
  </w:num>
  <w:num w:numId="22" w16cid:durableId="1456607187">
    <w:abstractNumId w:val="7"/>
  </w:num>
  <w:num w:numId="23" w16cid:durableId="1316840900">
    <w:abstractNumId w:val="6"/>
  </w:num>
  <w:num w:numId="24" w16cid:durableId="2040665234">
    <w:abstractNumId w:val="5"/>
  </w:num>
  <w:num w:numId="25" w16cid:durableId="1735393666">
    <w:abstractNumId w:val="4"/>
  </w:num>
  <w:num w:numId="26" w16cid:durableId="2042893943">
    <w:abstractNumId w:val="8"/>
  </w:num>
  <w:num w:numId="27" w16cid:durableId="1447887224">
    <w:abstractNumId w:val="3"/>
  </w:num>
  <w:num w:numId="28" w16cid:durableId="907687154">
    <w:abstractNumId w:val="2"/>
  </w:num>
  <w:num w:numId="29" w16cid:durableId="137695818">
    <w:abstractNumId w:val="1"/>
  </w:num>
  <w:num w:numId="30" w16cid:durableId="1716656599">
    <w:abstractNumId w:val="0"/>
  </w:num>
  <w:num w:numId="31" w16cid:durableId="1704286411">
    <w:abstractNumId w:val="9"/>
  </w:num>
  <w:num w:numId="32" w16cid:durableId="897740376">
    <w:abstractNumId w:val="7"/>
  </w:num>
  <w:num w:numId="33" w16cid:durableId="802118895">
    <w:abstractNumId w:val="6"/>
  </w:num>
  <w:num w:numId="34" w16cid:durableId="117258843">
    <w:abstractNumId w:val="5"/>
  </w:num>
  <w:num w:numId="35" w16cid:durableId="1665082236">
    <w:abstractNumId w:val="4"/>
  </w:num>
  <w:num w:numId="36" w16cid:durableId="864712067">
    <w:abstractNumId w:val="8"/>
  </w:num>
  <w:num w:numId="37" w16cid:durableId="869756316">
    <w:abstractNumId w:val="3"/>
  </w:num>
  <w:num w:numId="38" w16cid:durableId="2128574804">
    <w:abstractNumId w:val="2"/>
  </w:num>
  <w:num w:numId="39" w16cid:durableId="333538826">
    <w:abstractNumId w:val="1"/>
  </w:num>
  <w:num w:numId="40" w16cid:durableId="1643691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DOPTIONMNU" w:val=" 1"/>
    <w:docVar w:name="AUTHORMFMNU" w:val=" 1"/>
    <w:docVar w:name="COMKEY" w:val="LIBE"/>
    <w:docVar w:name="CONTRIBUTIONMNU" w:val=" 1"/>
    <w:docVar w:name="CopyToNetwork" w:val="-1"/>
    <w:docVar w:name="FONCTIONMNU" w:val=" 1"/>
    <w:docVar w:name="LastEditedSection" w:val=" 1"/>
    <w:docVar w:name="PARTCOUNT" w:val="0"/>
    <w:docVar w:name="strDocTypeID" w:val="PA_NonLegDec"/>
    <w:docVar w:name="strSubDir" w:val="1341"/>
    <w:docVar w:name="TITLEMNU" w:val=" 1"/>
    <w:docVar w:name="TXTAUTHOR" w:val="mm"/>
    <w:docVar w:name="TXTBUDYEAR" w:val="mm"/>
    <w:docVar w:name="TXTLANGUE" w:val="EN"/>
    <w:docVar w:name="TXTLANGUEMIN" w:val="en"/>
    <w:docVar w:name="TXTNRPE" w:val="778.227"/>
    <w:docVar w:name="TXTNRPROC" w:val="99"/>
    <w:docVar w:name="TXTPEorAP" w:val="PE"/>
    <w:docVar w:name="TXTROUTE" w:val="AD\1341059EN.docx"/>
    <w:docVar w:name="TXTVERSION" w:val="05-00"/>
  </w:docVars>
  <w:rsids>
    <w:rsidRoot w:val="001F470B"/>
    <w:rsid w:val="000048A8"/>
    <w:rsid w:val="00007A18"/>
    <w:rsid w:val="00062634"/>
    <w:rsid w:val="000A05CA"/>
    <w:rsid w:val="000A2EFA"/>
    <w:rsid w:val="000B6C4B"/>
    <w:rsid w:val="000C4CDD"/>
    <w:rsid w:val="000D001F"/>
    <w:rsid w:val="000D099F"/>
    <w:rsid w:val="000D19A2"/>
    <w:rsid w:val="000D6813"/>
    <w:rsid w:val="000E6813"/>
    <w:rsid w:val="000F07FE"/>
    <w:rsid w:val="001275F4"/>
    <w:rsid w:val="00136C76"/>
    <w:rsid w:val="001503C5"/>
    <w:rsid w:val="001A455F"/>
    <w:rsid w:val="001F2766"/>
    <w:rsid w:val="001F470B"/>
    <w:rsid w:val="001F6ED8"/>
    <w:rsid w:val="00212D35"/>
    <w:rsid w:val="00221F41"/>
    <w:rsid w:val="00235AB7"/>
    <w:rsid w:val="00245C7F"/>
    <w:rsid w:val="00271180"/>
    <w:rsid w:val="002744AE"/>
    <w:rsid w:val="002A4AC9"/>
    <w:rsid w:val="002B2892"/>
    <w:rsid w:val="002C0EE6"/>
    <w:rsid w:val="002C34AE"/>
    <w:rsid w:val="002E2F2E"/>
    <w:rsid w:val="00307C14"/>
    <w:rsid w:val="003707A7"/>
    <w:rsid w:val="00380FCD"/>
    <w:rsid w:val="00385BAB"/>
    <w:rsid w:val="0039003E"/>
    <w:rsid w:val="00396A50"/>
    <w:rsid w:val="00396FA9"/>
    <w:rsid w:val="003B72FC"/>
    <w:rsid w:val="003D684B"/>
    <w:rsid w:val="003E06CF"/>
    <w:rsid w:val="003E35FB"/>
    <w:rsid w:val="003F3B83"/>
    <w:rsid w:val="00425153"/>
    <w:rsid w:val="00431E30"/>
    <w:rsid w:val="00447DA8"/>
    <w:rsid w:val="00467D0A"/>
    <w:rsid w:val="00487232"/>
    <w:rsid w:val="0049491C"/>
    <w:rsid w:val="00495CA4"/>
    <w:rsid w:val="004A34E6"/>
    <w:rsid w:val="004C28FB"/>
    <w:rsid w:val="004E54DC"/>
    <w:rsid w:val="004E72A3"/>
    <w:rsid w:val="004F48ED"/>
    <w:rsid w:val="004F7A24"/>
    <w:rsid w:val="005051DD"/>
    <w:rsid w:val="00514664"/>
    <w:rsid w:val="0055017A"/>
    <w:rsid w:val="00577018"/>
    <w:rsid w:val="005779E7"/>
    <w:rsid w:val="00583CC8"/>
    <w:rsid w:val="00595048"/>
    <w:rsid w:val="005D0786"/>
    <w:rsid w:val="005D1938"/>
    <w:rsid w:val="005D771E"/>
    <w:rsid w:val="005E3670"/>
    <w:rsid w:val="00600DC9"/>
    <w:rsid w:val="00643F39"/>
    <w:rsid w:val="0066728C"/>
    <w:rsid w:val="006819E0"/>
    <w:rsid w:val="006C21AA"/>
    <w:rsid w:val="0071319E"/>
    <w:rsid w:val="00722749"/>
    <w:rsid w:val="007611A2"/>
    <w:rsid w:val="007D590C"/>
    <w:rsid w:val="007F1F92"/>
    <w:rsid w:val="00806587"/>
    <w:rsid w:val="008425DD"/>
    <w:rsid w:val="0086451E"/>
    <w:rsid w:val="008818A9"/>
    <w:rsid w:val="008C6240"/>
    <w:rsid w:val="008E7061"/>
    <w:rsid w:val="008E7494"/>
    <w:rsid w:val="008F36CD"/>
    <w:rsid w:val="008F7002"/>
    <w:rsid w:val="009239ED"/>
    <w:rsid w:val="00932240"/>
    <w:rsid w:val="0095301E"/>
    <w:rsid w:val="0095497D"/>
    <w:rsid w:val="009669A8"/>
    <w:rsid w:val="00972FD8"/>
    <w:rsid w:val="00977F76"/>
    <w:rsid w:val="0098140C"/>
    <w:rsid w:val="009A33F4"/>
    <w:rsid w:val="009A403C"/>
    <w:rsid w:val="009B1A61"/>
    <w:rsid w:val="009B4367"/>
    <w:rsid w:val="009B5265"/>
    <w:rsid w:val="00A2041C"/>
    <w:rsid w:val="00A722B1"/>
    <w:rsid w:val="00A8267E"/>
    <w:rsid w:val="00A93570"/>
    <w:rsid w:val="00A9617A"/>
    <w:rsid w:val="00AA1A2C"/>
    <w:rsid w:val="00AA223C"/>
    <w:rsid w:val="00AA46F0"/>
    <w:rsid w:val="00AF77DA"/>
    <w:rsid w:val="00B030CA"/>
    <w:rsid w:val="00B0320F"/>
    <w:rsid w:val="00B107A4"/>
    <w:rsid w:val="00B1441B"/>
    <w:rsid w:val="00B362F7"/>
    <w:rsid w:val="00B43990"/>
    <w:rsid w:val="00B5168E"/>
    <w:rsid w:val="00B5544F"/>
    <w:rsid w:val="00B93668"/>
    <w:rsid w:val="00BB2AC1"/>
    <w:rsid w:val="00BC15CB"/>
    <w:rsid w:val="00BC356D"/>
    <w:rsid w:val="00BC5578"/>
    <w:rsid w:val="00C04938"/>
    <w:rsid w:val="00C175C0"/>
    <w:rsid w:val="00C47E30"/>
    <w:rsid w:val="00C54F53"/>
    <w:rsid w:val="00C75378"/>
    <w:rsid w:val="00C84F87"/>
    <w:rsid w:val="00C85D0F"/>
    <w:rsid w:val="00CA0D01"/>
    <w:rsid w:val="00CF7076"/>
    <w:rsid w:val="00D41244"/>
    <w:rsid w:val="00D438D0"/>
    <w:rsid w:val="00D44697"/>
    <w:rsid w:val="00D47632"/>
    <w:rsid w:val="00D625A2"/>
    <w:rsid w:val="00D71751"/>
    <w:rsid w:val="00D759AA"/>
    <w:rsid w:val="00DA7632"/>
    <w:rsid w:val="00DB0FE5"/>
    <w:rsid w:val="00E01434"/>
    <w:rsid w:val="00E05697"/>
    <w:rsid w:val="00E12435"/>
    <w:rsid w:val="00E3462E"/>
    <w:rsid w:val="00E729C7"/>
    <w:rsid w:val="00E83B40"/>
    <w:rsid w:val="00E9601C"/>
    <w:rsid w:val="00EA78B3"/>
    <w:rsid w:val="00EB19AA"/>
    <w:rsid w:val="00EC2C85"/>
    <w:rsid w:val="00F036E0"/>
    <w:rsid w:val="00F129D0"/>
    <w:rsid w:val="00F24442"/>
    <w:rsid w:val="00F313E3"/>
    <w:rsid w:val="00F46E44"/>
    <w:rsid w:val="00F611FC"/>
    <w:rsid w:val="00F61E8C"/>
    <w:rsid w:val="00F707AB"/>
    <w:rsid w:val="00F96D53"/>
    <w:rsid w:val="00FB459D"/>
    <w:rsid w:val="00FF00D4"/>
    <w:rsid w:val="00FF158E"/>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F12793"/>
  <w15:chartTrackingRefBased/>
  <w15:docId w15:val="{F4B71830-46AF-43A2-AE2D-53D6CA581A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i-FI"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62634"/>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sid w:val="00DA7632"/>
    <w:rPr>
      <w:rFonts w:ascii="Arial" w:hAnsi="Arial" w:cs="Arial"/>
      <w:noProof/>
      <w:vanish/>
      <w:color w:val="000080"/>
      <w:sz w:val="20"/>
    </w:rPr>
  </w:style>
  <w:style w:type="paragraph" w:customStyle="1" w:styleId="EPFooter2">
    <w:name w:val="EPFooter2"/>
    <w:basedOn w:val="Normal"/>
    <w:next w:val="Normal"/>
    <w:rsid w:val="00DA7632"/>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DA7632"/>
    <w:pPr>
      <w:spacing w:after="240"/>
    </w:pPr>
  </w:style>
  <w:style w:type="paragraph" w:styleId="TOC1">
    <w:name w:val="toc 1"/>
    <w:basedOn w:val="Normal12a"/>
    <w:next w:val="Normal12a"/>
    <w:autoRedefine/>
    <w:semiHidden/>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sid w:val="00DA7632"/>
    <w:rPr>
      <w:rFonts w:ascii="Arial" w:hAnsi="Arial"/>
      <w:vanish/>
      <w:color w:val="808080"/>
      <w:sz w:val="20"/>
    </w:rPr>
  </w:style>
  <w:style w:type="paragraph" w:customStyle="1" w:styleId="PageHeadingNotTOC">
    <w:name w:val="PageHeadingNotTOC"/>
    <w:basedOn w:val="Normal"/>
    <w:rsid w:val="00DA7632"/>
    <w:pPr>
      <w:keepNext/>
      <w:spacing w:after="480"/>
      <w:jc w:val="center"/>
    </w:pPr>
    <w:rPr>
      <w:rFonts w:ascii="Arial" w:hAnsi="Arial" w:cs="Arial"/>
      <w:b/>
    </w:rPr>
  </w:style>
  <w:style w:type="paragraph" w:customStyle="1" w:styleId="EPName">
    <w:name w:val="EPName"/>
    <w:basedOn w:val="Normal"/>
    <w:rsid w:val="00DA7632"/>
    <w:pPr>
      <w:spacing w:before="80" w:after="80"/>
    </w:pPr>
    <w:rPr>
      <w:rFonts w:ascii="Arial Narrow" w:hAnsi="Arial Narrow" w:cs="Arial"/>
      <w:b/>
      <w:sz w:val="32"/>
      <w:szCs w:val="22"/>
    </w:rPr>
  </w:style>
  <w:style w:type="paragraph" w:customStyle="1" w:styleId="CoverNormal24a">
    <w:name w:val="CoverNormal24a"/>
    <w:basedOn w:val="Normal"/>
    <w:rsid w:val="00DA7632"/>
    <w:pPr>
      <w:spacing w:after="480"/>
      <w:ind w:left="1417"/>
    </w:pPr>
  </w:style>
  <w:style w:type="paragraph" w:customStyle="1" w:styleId="CoverNormal">
    <w:name w:val="CoverNormal"/>
    <w:basedOn w:val="Normal"/>
    <w:rsid w:val="00DA7632"/>
    <w:pPr>
      <w:ind w:left="1418"/>
    </w:pPr>
  </w:style>
  <w:style w:type="paragraph" w:styleId="Header">
    <w:name w:val="header"/>
    <w:basedOn w:val="Normal"/>
    <w:link w:val="HeaderChar"/>
    <w:semiHidden/>
    <w:rsid w:val="00FF158E"/>
    <w:pPr>
      <w:tabs>
        <w:tab w:val="center" w:pos="4513"/>
        <w:tab w:val="right" w:pos="9026"/>
      </w:tabs>
    </w:pPr>
  </w:style>
  <w:style w:type="paragraph" w:customStyle="1" w:styleId="CoverReference">
    <w:name w:val="CoverReference"/>
    <w:basedOn w:val="Normal"/>
    <w:rsid w:val="00DA7632"/>
    <w:pPr>
      <w:spacing w:before="1080"/>
      <w:jc w:val="right"/>
    </w:pPr>
    <w:rPr>
      <w:rFonts w:ascii="Arial" w:hAnsi="Arial"/>
      <w:b/>
    </w:rPr>
  </w:style>
  <w:style w:type="paragraph" w:customStyle="1" w:styleId="CoverDocType24a">
    <w:name w:val="CoverDocType24a"/>
    <w:basedOn w:val="Normal"/>
    <w:rsid w:val="00DA7632"/>
    <w:pPr>
      <w:spacing w:after="480"/>
      <w:ind w:left="1417"/>
    </w:pPr>
    <w:rPr>
      <w:rFonts w:ascii="Arial" w:hAnsi="Arial" w:cs="Arial"/>
      <w:b/>
      <w:sz w:val="48"/>
    </w:rPr>
  </w:style>
  <w:style w:type="paragraph" w:customStyle="1" w:styleId="CoverDate">
    <w:name w:val="CoverDate"/>
    <w:basedOn w:val="Normal"/>
    <w:rsid w:val="00DA7632"/>
    <w:pPr>
      <w:spacing w:before="240" w:after="1200"/>
    </w:pPr>
  </w:style>
  <w:style w:type="paragraph" w:customStyle="1" w:styleId="NormalHanging12a">
    <w:name w:val="NormalHanging12a"/>
    <w:basedOn w:val="Normal"/>
    <w:link w:val="NormalHanging12aChar"/>
    <w:rsid w:val="00DA7632"/>
    <w:pPr>
      <w:spacing w:after="240"/>
      <w:ind w:left="567" w:hanging="567"/>
    </w:pPr>
  </w:style>
  <w:style w:type="paragraph" w:customStyle="1" w:styleId="Subheading">
    <w:name w:val="Subheading"/>
    <w:basedOn w:val="Normal"/>
    <w:rsid w:val="00DA7632"/>
    <w:pPr>
      <w:spacing w:before="480" w:after="240"/>
    </w:pPr>
    <w:rPr>
      <w:b/>
      <w:i/>
      <w:szCs w:val="24"/>
    </w:rPr>
  </w:style>
  <w:style w:type="table" w:styleId="TableGrid">
    <w:name w:val="Table Grid"/>
    <w:basedOn w:val="TableNormal"/>
    <w:rsid w:val="00E960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DA7632"/>
    <w:pPr>
      <w:jc w:val="center"/>
    </w:pPr>
    <w:rPr>
      <w:rFonts w:ascii="Arial" w:hAnsi="Arial" w:cs="Arial"/>
      <w:i/>
      <w:sz w:val="22"/>
      <w:szCs w:val="22"/>
    </w:rPr>
  </w:style>
  <w:style w:type="paragraph" w:customStyle="1" w:styleId="LineTop">
    <w:name w:val="LineTop"/>
    <w:basedOn w:val="Normal"/>
    <w:next w:val="Normal"/>
    <w:rsid w:val="00DA7632"/>
    <w:pPr>
      <w:pBdr>
        <w:top w:val="single" w:sz="4" w:space="1" w:color="auto"/>
      </w:pBdr>
      <w:jc w:val="center"/>
    </w:pPr>
    <w:rPr>
      <w:rFonts w:ascii="Arial" w:hAnsi="Arial"/>
      <w:sz w:val="16"/>
      <w:szCs w:val="16"/>
    </w:rPr>
  </w:style>
  <w:style w:type="paragraph" w:customStyle="1" w:styleId="LineBottom">
    <w:name w:val="LineBottom"/>
    <w:basedOn w:val="Normal"/>
    <w:next w:val="Normal"/>
    <w:rsid w:val="00DA7632"/>
    <w:pPr>
      <w:pBdr>
        <w:bottom w:val="single" w:sz="4" w:space="1" w:color="auto"/>
      </w:pBdr>
      <w:spacing w:after="240"/>
      <w:jc w:val="center"/>
    </w:pPr>
    <w:rPr>
      <w:rFonts w:ascii="Arial" w:hAnsi="Arial"/>
      <w:sz w:val="16"/>
      <w:szCs w:val="16"/>
    </w:rPr>
  </w:style>
  <w:style w:type="paragraph" w:customStyle="1" w:styleId="EPTerm">
    <w:name w:val="EPTerm"/>
    <w:basedOn w:val="Normal"/>
    <w:next w:val="Normal"/>
    <w:rsid w:val="00DA7632"/>
    <w:pPr>
      <w:spacing w:after="80"/>
    </w:pPr>
    <w:rPr>
      <w:rFonts w:ascii="Arial" w:hAnsi="Arial" w:cs="Arial"/>
      <w:sz w:val="20"/>
      <w:szCs w:val="22"/>
    </w:rPr>
  </w:style>
  <w:style w:type="paragraph" w:customStyle="1" w:styleId="EPLogo">
    <w:name w:val="EPLogo"/>
    <w:basedOn w:val="Normal"/>
    <w:qFormat/>
    <w:rsid w:val="00DA7632"/>
    <w:pPr>
      <w:jc w:val="right"/>
    </w:pPr>
  </w:style>
  <w:style w:type="paragraph" w:customStyle="1" w:styleId="EPFooter">
    <w:name w:val="EPFooter"/>
    <w:basedOn w:val="Normal"/>
    <w:rsid w:val="00DA7632"/>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FF158E"/>
    <w:rPr>
      <w:sz w:val="24"/>
    </w:rPr>
  </w:style>
  <w:style w:type="character" w:customStyle="1" w:styleId="NormalHanging12aChar">
    <w:name w:val="NormalHanging12a Char"/>
    <w:basedOn w:val="DefaultParagraphFont"/>
    <w:link w:val="NormalHanging12a"/>
    <w:rsid w:val="007D590C"/>
    <w:rPr>
      <w:sz w:val="24"/>
    </w:rPr>
  </w:style>
  <w:style w:type="paragraph" w:customStyle="1" w:styleId="Normal24a">
    <w:name w:val="Normal24a"/>
    <w:basedOn w:val="Normal"/>
    <w:rsid w:val="007D590C"/>
    <w:pPr>
      <w:spacing w:after="480"/>
    </w:pPr>
    <w:rPr>
      <w:szCs w:val="24"/>
    </w:rPr>
  </w:style>
  <w:style w:type="paragraph" w:customStyle="1" w:styleId="NormalBoldCenter">
    <w:name w:val="NormalBoldCenter"/>
    <w:basedOn w:val="Normal"/>
    <w:rsid w:val="007D590C"/>
    <w:pPr>
      <w:jc w:val="center"/>
    </w:pPr>
    <w:rPr>
      <w:b/>
      <w:szCs w:val="24"/>
    </w:rPr>
  </w:style>
  <w:style w:type="paragraph" w:customStyle="1" w:styleId="Footprint12b">
    <w:name w:val="Footprint12b"/>
    <w:basedOn w:val="Normal"/>
    <w:rsid w:val="007D590C"/>
    <w:pPr>
      <w:spacing w:before="240"/>
    </w:pPr>
    <w:rPr>
      <w:szCs w:val="24"/>
    </w:rPr>
  </w:style>
  <w:style w:type="paragraph" w:customStyle="1" w:styleId="NormalSingle">
    <w:name w:val="NormalSingle"/>
    <w:basedOn w:val="Normal"/>
    <w:qFormat/>
    <w:rsid w:val="007D590C"/>
    <w:rPr>
      <w:szCs w:val="24"/>
    </w:rPr>
  </w:style>
  <w:style w:type="paragraph" w:styleId="FootnoteText">
    <w:name w:val="footnote text"/>
    <w:basedOn w:val="Normal"/>
    <w:link w:val="FootnoteTextChar"/>
    <w:rsid w:val="007D590C"/>
    <w:rPr>
      <w:sz w:val="20"/>
    </w:rPr>
  </w:style>
  <w:style w:type="character" w:customStyle="1" w:styleId="FootnoteTextChar">
    <w:name w:val="Footnote Text Char"/>
    <w:basedOn w:val="DefaultParagraphFont"/>
    <w:link w:val="FootnoteText"/>
    <w:rsid w:val="007D590C"/>
  </w:style>
  <w:style w:type="character" w:styleId="FootnoteReference">
    <w:name w:val="footnote reference"/>
    <w:basedOn w:val="DefaultParagraphFont"/>
    <w:rsid w:val="007D590C"/>
    <w:rPr>
      <w:vertAlign w:val="superscript"/>
    </w:rPr>
  </w:style>
  <w:style w:type="character" w:styleId="Hyperlink">
    <w:name w:val="Hyperlink"/>
    <w:basedOn w:val="DefaultParagraphFont"/>
    <w:rsid w:val="007D590C"/>
    <w:rPr>
      <w:color w:val="0563C1" w:themeColor="hyperlink"/>
      <w:u w:val="single"/>
    </w:rPr>
  </w:style>
  <w:style w:type="character" w:styleId="UnresolvedMention">
    <w:name w:val="Unresolved Mention"/>
    <w:basedOn w:val="DefaultParagraphFont"/>
    <w:uiPriority w:val="99"/>
    <w:semiHidden/>
    <w:unhideWhenUsed/>
    <w:rsid w:val="007D590C"/>
    <w:rPr>
      <w:color w:val="605E5C"/>
      <w:shd w:val="clear" w:color="auto" w:fill="E1DFDD"/>
    </w:rPr>
  </w:style>
  <w:style w:type="paragraph" w:styleId="Footer">
    <w:name w:val="footer"/>
    <w:basedOn w:val="Normal"/>
    <w:link w:val="FooterChar"/>
    <w:semiHidden/>
    <w:rsid w:val="007D590C"/>
    <w:pPr>
      <w:tabs>
        <w:tab w:val="center" w:pos="4513"/>
        <w:tab w:val="right" w:pos="9026"/>
      </w:tabs>
    </w:pPr>
  </w:style>
  <w:style w:type="character" w:customStyle="1" w:styleId="FooterChar">
    <w:name w:val="Footer Char"/>
    <w:basedOn w:val="DefaultParagraphFont"/>
    <w:link w:val="Footer"/>
    <w:semiHidden/>
    <w:rsid w:val="007D590C"/>
    <w:rPr>
      <w:sz w:val="24"/>
    </w:rPr>
  </w:style>
  <w:style w:type="paragraph" w:styleId="Revision">
    <w:name w:val="Revision"/>
    <w:hidden/>
    <w:uiPriority w:val="99"/>
    <w:semiHidden/>
    <w:rsid w:val="00F313E3"/>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4.xml"/><Relationship Id="rId26" Type="http://schemas.openxmlformats.org/officeDocument/2006/relationships/footer" Target="footer6.xml"/><Relationship Id="rId3" Type="http://schemas.openxmlformats.org/officeDocument/2006/relationships/settings" Target="settings.xml"/><Relationship Id="rId21" Type="http://schemas.openxmlformats.org/officeDocument/2006/relationships/header" Target="header9.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header" Target="header6.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10.xml"/><Relationship Id="rId28"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yperlink" Target="https://www.europarl.europa.eu/data-protect/index.do" TargetMode="External"/><Relationship Id="rId22" Type="http://schemas.openxmlformats.org/officeDocument/2006/relationships/footer" Target="footer5.xml"/><Relationship Id="rId27"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instit/2021/61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18</Pages>
  <Words>4824</Words>
  <Characters>40959</Characters>
  <Application>Microsoft Office Word</Application>
  <DocSecurity>0</DocSecurity>
  <Lines>660</Lines>
  <Paragraphs>171</Paragraphs>
  <ScaleCrop>false</ScaleCrop>
  <HeadingPairs>
    <vt:vector size="2" baseType="variant">
      <vt:variant>
        <vt:lpstr>Title</vt:lpstr>
      </vt:variant>
      <vt:variant>
        <vt:i4>1</vt:i4>
      </vt:variant>
    </vt:vector>
  </HeadingPairs>
  <TitlesOfParts>
    <vt:vector size="1" baseType="lpstr">
      <vt:lpstr>PA_NonLegDec</vt:lpstr>
    </vt:vector>
  </TitlesOfParts>
  <Company/>
  <LinksUpToDate>false</LinksUpToDate>
  <CharactersWithSpaces>45612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PA_NonLegDec</dc:title>
  <dc:creator>European Parliament</dc:creator>
  <cp:lastModifiedBy>European Parliament</cp:lastModifiedBy>
  <cp:revision>2</cp:revision>
  <cp:lastPrinted>2026-04-08T06:25:00Z</cp:lastPrinted>
  <dcterms:created xsi:type="dcterms:W3CDTF">2026-04-10T09:01:00Z</dcterms:created>
  <dcterms:modified xsi:type="dcterms:W3CDTF">2026-04-10T09:01:00Z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1341059</vt:lpwstr>
  </property>
  <property fmtid="{D5CDD505-2E9C-101B-9397-08002B2CF9AE}" pid="4" name="&lt;Model&gt;">
    <vt:lpwstr>PA_NonLegDec</vt:lpwstr>
  </property>
  <property fmtid="{D5CDD505-2E9C-101B-9397-08002B2CF9AE}" pid="5" name="&lt;ModelCod&gt;">
    <vt:lpwstr>\\eiciBRUpr1\pdocep$\DocEP\DOCS\General\PA\PA_NonLeg\PA_NonLegDec.dotx(08/11/2024 10:44:10)</vt:lpwstr>
  </property>
  <property fmtid="{D5CDD505-2E9C-101B-9397-08002B2CF9AE}" pid="6" name="&lt;ModelTra&gt;">
    <vt:lpwstr>\\eiciBRUpr1\pdocep$\DocEP\TRANSFIL\EN\PA_NonLegDec.EN(21/01/2025 15:39:00)</vt:lpwstr>
  </property>
  <property fmtid="{D5CDD505-2E9C-101B-9397-08002B2CF9AE}" pid="7" name="&lt;Type&gt;">
    <vt:lpwstr>AD</vt:lpwstr>
  </property>
  <property fmtid="{D5CDD505-2E9C-101B-9397-08002B2CF9AE}" pid="8" name="Created with">
    <vt:lpwstr>10.2.1 Build [20260301]</vt:lpwstr>
  </property>
  <property fmtid="{D5CDD505-2E9C-101B-9397-08002B2CF9AE}" pid="9" name="FooterPath">
    <vt:lpwstr>AD\1341059FI.docx</vt:lpwstr>
  </property>
  <property fmtid="{D5CDD505-2E9C-101B-9397-08002B2CF9AE}" pid="10" name="LastEdited with">
    <vt:lpwstr>10.2.1 Build [20260301]</vt:lpwstr>
  </property>
  <property fmtid="{D5CDD505-2E9C-101B-9397-08002B2CF9AE}" pid="11" name="PE number">
    <vt:lpwstr>778.227</vt:lpwstr>
  </property>
  <property fmtid="{D5CDD505-2E9C-101B-9397-08002B2CF9AE}" pid="12" name="RegistreCheck">
    <vt:lpwstr>OK</vt:lpwstr>
  </property>
  <property fmtid="{D5CDD505-2E9C-101B-9397-08002B2CF9AE}" pid="13" name="SDLStudio">
    <vt:lpwstr/>
  </property>
  <property fmtid="{D5CDD505-2E9C-101B-9397-08002B2CF9AE}" pid="14" name="SendToEpades">
    <vt:lpwstr>OK - 2026/04/09 16:09</vt:lpwstr>
  </property>
  <property fmtid="{D5CDD505-2E9C-101B-9397-08002B2CF9AE}" pid="15" name="Bookout">
    <vt:lpwstr>OK - 2026/04/10 11:01</vt:lpwstr>
  </property>
</Properties>
</file>