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83BFE" w:rsidRPr="008E0CBB" w14:paraId="6F2BD545" w14:textId="77777777" w:rsidTr="00C85D0F">
        <w:trPr>
          <w:trHeight w:hRule="exact" w:val="1418"/>
        </w:trPr>
        <w:tc>
          <w:tcPr>
            <w:tcW w:w="6804" w:type="dxa"/>
            <w:shd w:val="clear" w:color="auto" w:fill="auto"/>
            <w:vAlign w:val="center"/>
          </w:tcPr>
          <w:p w14:paraId="02064961" w14:textId="77777777" w:rsidR="004F48ED" w:rsidRPr="008E0CBB" w:rsidRDefault="00B04730" w:rsidP="00C85D0F">
            <w:pPr>
              <w:pStyle w:val="EPName"/>
            </w:pPr>
            <w:r w:rsidRPr="008E0CBB">
              <w:t>Europos Parlamentas</w:t>
            </w:r>
          </w:p>
          <w:p w14:paraId="4639B593" w14:textId="77777777" w:rsidR="004F48ED" w:rsidRPr="008E0CBB" w:rsidRDefault="00B04730" w:rsidP="00C85D0F">
            <w:pPr>
              <w:pStyle w:val="EPTerm"/>
            </w:pPr>
            <w:r w:rsidRPr="008E0CBB">
              <w:t>2024-2029</w:t>
            </w:r>
          </w:p>
        </w:tc>
        <w:tc>
          <w:tcPr>
            <w:tcW w:w="2268" w:type="dxa"/>
            <w:shd w:val="clear" w:color="auto" w:fill="auto"/>
          </w:tcPr>
          <w:p w14:paraId="2EF7B01B" w14:textId="77777777" w:rsidR="004F48ED" w:rsidRPr="008E0CBB" w:rsidRDefault="00B04730" w:rsidP="00C85D0F">
            <w:pPr>
              <w:pStyle w:val="EPLogo"/>
            </w:pPr>
            <w:r w:rsidRPr="008E0CBB">
              <w:rPr>
                <w:noProof/>
                <w:lang w:eastAsia="ja-JP"/>
              </w:rPr>
              <w:drawing>
                <wp:inline distT="0" distB="0" distL="0" distR="0" wp14:anchorId="3CE2874E" wp14:editId="596D87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FA1B39F" w14:textId="77777777" w:rsidR="00E9601C" w:rsidRPr="008E0CBB" w:rsidRDefault="00E9601C" w:rsidP="00E9601C">
      <w:pPr>
        <w:pStyle w:val="LineTop"/>
      </w:pPr>
    </w:p>
    <w:p w14:paraId="7974C8D4" w14:textId="77777777" w:rsidR="00E9601C" w:rsidRPr="008E0CBB" w:rsidRDefault="00B04730" w:rsidP="00E9601C">
      <w:pPr>
        <w:pStyle w:val="EPBody"/>
      </w:pPr>
      <w:r w:rsidRPr="008E0CBB">
        <w:rPr>
          <w:rStyle w:val="HideTWBExt"/>
        </w:rPr>
        <w:t>&lt;</w:t>
      </w:r>
      <w:r w:rsidRPr="008E0CBB">
        <w:rPr>
          <w:rStyle w:val="HideTWBExt"/>
          <w:i w:val="0"/>
        </w:rPr>
        <w:t>Commission</w:t>
      </w:r>
      <w:r w:rsidRPr="008E0CBB">
        <w:rPr>
          <w:rStyle w:val="HideTWBExt"/>
        </w:rPr>
        <w:t>&gt;</w:t>
      </w:r>
      <w:r w:rsidRPr="008E0CBB">
        <w:rPr>
          <w:rStyle w:val="HideTWBInt"/>
          <w:color w:val="auto"/>
        </w:rPr>
        <w:t>{LIBE}</w:t>
      </w:r>
      <w:r w:rsidRPr="008E0CBB">
        <w:t>Piliečių laisvių, teisingumo ir vidaus reikalų komitetas</w:t>
      </w:r>
      <w:r w:rsidRPr="008E0CBB">
        <w:rPr>
          <w:rStyle w:val="HideTWBExt"/>
        </w:rPr>
        <w:t>&lt;/</w:t>
      </w:r>
      <w:proofErr w:type="spellStart"/>
      <w:r w:rsidRPr="008E0CBB">
        <w:rPr>
          <w:rStyle w:val="HideTWBExt"/>
          <w:i w:val="0"/>
        </w:rPr>
        <w:t>Commission</w:t>
      </w:r>
      <w:proofErr w:type="spellEnd"/>
      <w:r w:rsidRPr="008E0CBB">
        <w:rPr>
          <w:rStyle w:val="HideTWBExt"/>
        </w:rPr>
        <w:t>&gt;</w:t>
      </w:r>
    </w:p>
    <w:p w14:paraId="104966C7" w14:textId="77777777" w:rsidR="00E9601C" w:rsidRPr="008E0CBB" w:rsidRDefault="00E9601C" w:rsidP="00E9601C">
      <w:pPr>
        <w:pStyle w:val="LineBottom"/>
      </w:pPr>
    </w:p>
    <w:p w14:paraId="6AF89A36" w14:textId="77777777" w:rsidR="00932240" w:rsidRPr="008E0CBB" w:rsidRDefault="00B04730" w:rsidP="00932240">
      <w:pPr>
        <w:pStyle w:val="CoverReference"/>
      </w:pPr>
      <w:r w:rsidRPr="008E0CBB">
        <w:rPr>
          <w:rStyle w:val="HideTWBExt"/>
          <w:b w:val="0"/>
        </w:rPr>
        <w:t>&lt;RefProc&gt;</w:t>
      </w:r>
      <w:r w:rsidRPr="008E0CBB">
        <w:t>2025/2156</w:t>
      </w:r>
      <w:r w:rsidRPr="008E0CBB">
        <w:rPr>
          <w:rStyle w:val="HideTWBExt"/>
          <w:b w:val="0"/>
        </w:rPr>
        <w:t>&lt;/</w:t>
      </w:r>
      <w:proofErr w:type="spellStart"/>
      <w:r w:rsidRPr="008E0CBB">
        <w:rPr>
          <w:rStyle w:val="HideTWBExt"/>
          <w:b w:val="0"/>
        </w:rPr>
        <w:t>RefProc</w:t>
      </w:r>
      <w:proofErr w:type="spellEnd"/>
      <w:r w:rsidRPr="008E0CBB">
        <w:rPr>
          <w:rStyle w:val="HideTWBExt"/>
          <w:b w:val="0"/>
        </w:rPr>
        <w:t>&gt;&lt;RefTypeProc&gt;</w:t>
      </w:r>
      <w:r w:rsidRPr="008E0CBB">
        <w:t>(DEC)</w:t>
      </w:r>
      <w:r w:rsidRPr="008E0CBB">
        <w:rPr>
          <w:rStyle w:val="HideTWBExt"/>
          <w:b w:val="0"/>
        </w:rPr>
        <w:t>&lt;/</w:t>
      </w:r>
      <w:proofErr w:type="spellStart"/>
      <w:r w:rsidRPr="008E0CBB">
        <w:rPr>
          <w:rStyle w:val="HideTWBExt"/>
          <w:b w:val="0"/>
        </w:rPr>
        <w:t>RefTypeProc</w:t>
      </w:r>
      <w:proofErr w:type="spellEnd"/>
      <w:r w:rsidRPr="008E0CBB">
        <w:rPr>
          <w:rStyle w:val="HideTWBExt"/>
          <w:b w:val="0"/>
        </w:rPr>
        <w:t>&gt;</w:t>
      </w:r>
    </w:p>
    <w:p w14:paraId="5E40F31D" w14:textId="77777777" w:rsidR="002E2F2E" w:rsidRPr="008E0CBB" w:rsidRDefault="00B04730">
      <w:pPr>
        <w:pStyle w:val="CoverDate"/>
      </w:pPr>
      <w:r w:rsidRPr="008E0CBB">
        <w:rPr>
          <w:rStyle w:val="HideTWBExt"/>
        </w:rPr>
        <w:t>&lt;Date&gt;</w:t>
      </w:r>
      <w:r w:rsidRPr="008E0CBB">
        <w:rPr>
          <w:rStyle w:val="HideTWBInt"/>
          <w:color w:val="auto"/>
        </w:rPr>
        <w:t>{07/04/2026}</w:t>
      </w:r>
      <w:r w:rsidRPr="008E0CBB">
        <w:t>7.4.2026</w:t>
      </w:r>
      <w:r w:rsidRPr="008E0CBB">
        <w:rPr>
          <w:rStyle w:val="HideTWBExt"/>
        </w:rPr>
        <w:t>&lt;/</w:t>
      </w:r>
      <w:proofErr w:type="spellStart"/>
      <w:r w:rsidRPr="008E0CBB">
        <w:rPr>
          <w:rStyle w:val="HideTWBExt"/>
        </w:rPr>
        <w:t>Date</w:t>
      </w:r>
      <w:proofErr w:type="spellEnd"/>
      <w:r w:rsidRPr="008E0CBB">
        <w:rPr>
          <w:rStyle w:val="HideTWBExt"/>
        </w:rPr>
        <w:t>&gt;</w:t>
      </w:r>
    </w:p>
    <w:p w14:paraId="7CBB9625" w14:textId="77777777" w:rsidR="002E2F2E" w:rsidRPr="008E0CBB" w:rsidRDefault="00B04730">
      <w:pPr>
        <w:pStyle w:val="CoverDocType24a"/>
      </w:pPr>
      <w:r w:rsidRPr="008E0CBB">
        <w:rPr>
          <w:rStyle w:val="HideTWBExt"/>
          <w:b w:val="0"/>
        </w:rPr>
        <w:t>&lt;TitreType&gt;</w:t>
      </w:r>
      <w:r w:rsidRPr="008E0CBB">
        <w:t>NUOMONĖ</w:t>
      </w:r>
      <w:r w:rsidRPr="008E0CBB">
        <w:rPr>
          <w:rStyle w:val="HideTWBExt"/>
          <w:b w:val="0"/>
        </w:rPr>
        <w:t>&lt;/</w:t>
      </w:r>
      <w:proofErr w:type="spellStart"/>
      <w:r w:rsidRPr="008E0CBB">
        <w:rPr>
          <w:rStyle w:val="HideTWBExt"/>
          <w:b w:val="0"/>
        </w:rPr>
        <w:t>TitreType</w:t>
      </w:r>
      <w:proofErr w:type="spellEnd"/>
      <w:r w:rsidRPr="008E0CBB">
        <w:rPr>
          <w:rStyle w:val="HideTWBExt"/>
          <w:b w:val="0"/>
        </w:rPr>
        <w:t>&gt;</w:t>
      </w:r>
    </w:p>
    <w:p w14:paraId="437BF7E3" w14:textId="77777777" w:rsidR="002E2F2E" w:rsidRPr="008E0CBB" w:rsidRDefault="00B04730">
      <w:pPr>
        <w:pStyle w:val="CoverNormal24a"/>
      </w:pPr>
      <w:r w:rsidRPr="008E0CBB">
        <w:rPr>
          <w:rStyle w:val="HideTWBExt"/>
        </w:rPr>
        <w:t>&lt;CommissionResp&gt;</w:t>
      </w:r>
      <w:r w:rsidRPr="008E0CBB">
        <w:t>Piliečių laisvių, teisingumo ir vidaus reikalų komiteto</w:t>
      </w:r>
      <w:r w:rsidRPr="008E0CBB">
        <w:rPr>
          <w:rStyle w:val="HideTWBExt"/>
        </w:rPr>
        <w:t>&lt;/</w:t>
      </w:r>
      <w:proofErr w:type="spellStart"/>
      <w:r w:rsidRPr="008E0CBB">
        <w:rPr>
          <w:rStyle w:val="HideTWBExt"/>
        </w:rPr>
        <w:t>CommissionResp</w:t>
      </w:r>
      <w:proofErr w:type="spellEnd"/>
      <w:r w:rsidRPr="008E0CBB">
        <w:rPr>
          <w:rStyle w:val="HideTWBExt"/>
        </w:rPr>
        <w:t>&gt;</w:t>
      </w:r>
    </w:p>
    <w:p w14:paraId="05E18F6B" w14:textId="77777777" w:rsidR="002E2F2E" w:rsidRPr="008E0CBB" w:rsidRDefault="00B04730" w:rsidP="0095497D">
      <w:pPr>
        <w:pStyle w:val="CoverNormal24a"/>
      </w:pPr>
      <w:r w:rsidRPr="008E0CBB">
        <w:rPr>
          <w:rStyle w:val="HideTWBExt"/>
        </w:rPr>
        <w:t>&lt;CommissionInt&gt;</w:t>
      </w:r>
      <w:r w:rsidRPr="008E0CBB">
        <w:t>pateikta Biudžeto kontrolės komitetui</w:t>
      </w:r>
      <w:r w:rsidRPr="008E0CBB">
        <w:rPr>
          <w:rStyle w:val="HideTWBExt"/>
        </w:rPr>
        <w:t>&lt;/</w:t>
      </w:r>
      <w:proofErr w:type="spellStart"/>
      <w:r w:rsidRPr="008E0CBB">
        <w:rPr>
          <w:rStyle w:val="HideTWBExt"/>
        </w:rPr>
        <w:t>CommissionInt</w:t>
      </w:r>
      <w:proofErr w:type="spellEnd"/>
      <w:r w:rsidRPr="008E0CBB">
        <w:rPr>
          <w:rStyle w:val="HideTWBExt"/>
        </w:rPr>
        <w:t>&gt;</w:t>
      </w:r>
    </w:p>
    <w:p w14:paraId="3947A814" w14:textId="77777777" w:rsidR="00932240" w:rsidRPr="008E0CBB" w:rsidRDefault="00B04730" w:rsidP="00932240">
      <w:pPr>
        <w:pStyle w:val="CoverNormal"/>
      </w:pPr>
      <w:r w:rsidRPr="008E0CBB">
        <w:rPr>
          <w:rStyle w:val="HideTWBExt"/>
        </w:rPr>
        <w:t>&lt;Titre&gt;</w:t>
      </w:r>
      <w:r w:rsidRPr="008E0CBB">
        <w:t>dėl 2024 finansinių metų Europos Sąjungos agentūrų biudžeto įvykdymo patvirtinimo</w:t>
      </w:r>
      <w:r w:rsidRPr="008E0CBB">
        <w:rPr>
          <w:rStyle w:val="HideTWBExt"/>
        </w:rPr>
        <w:t>&lt;/Titre&gt;</w:t>
      </w:r>
    </w:p>
    <w:p w14:paraId="0D07E78D" w14:textId="77777777" w:rsidR="00932240" w:rsidRPr="008E0CBB" w:rsidRDefault="00B04730" w:rsidP="00932240">
      <w:pPr>
        <w:pStyle w:val="CoverNormal24a"/>
      </w:pPr>
      <w:r w:rsidRPr="008E0CBB">
        <w:rPr>
          <w:rStyle w:val="HideTWBExt"/>
        </w:rPr>
        <w:t>&lt;DocRef&gt;</w:t>
      </w:r>
      <w:r w:rsidRPr="008E0CBB">
        <w:t>(2025/2156(DEC))</w:t>
      </w:r>
      <w:r w:rsidRPr="008E0CBB">
        <w:rPr>
          <w:rStyle w:val="HideTWBExt"/>
        </w:rPr>
        <w:t>&lt;/</w:t>
      </w:r>
      <w:proofErr w:type="spellStart"/>
      <w:r w:rsidRPr="008E0CBB">
        <w:rPr>
          <w:rStyle w:val="HideTWBExt"/>
        </w:rPr>
        <w:t>DocRef</w:t>
      </w:r>
      <w:proofErr w:type="spellEnd"/>
      <w:r w:rsidRPr="008E0CBB">
        <w:rPr>
          <w:rStyle w:val="HideTWBExt"/>
        </w:rPr>
        <w:t>&gt;</w:t>
      </w:r>
    </w:p>
    <w:p w14:paraId="034ACF5D" w14:textId="77777777" w:rsidR="00977F76" w:rsidRPr="008E0CBB" w:rsidRDefault="00B04730" w:rsidP="00932240">
      <w:pPr>
        <w:pStyle w:val="CoverNormal"/>
        <w:rPr>
          <w:rStyle w:val="HideTWBExt"/>
        </w:rPr>
      </w:pPr>
      <w:r w:rsidRPr="008E0CBB">
        <w:t xml:space="preserve">Nuomonės referentė: </w:t>
      </w:r>
      <w:r w:rsidRPr="008E0CBB">
        <w:rPr>
          <w:rStyle w:val="HideTWBExt"/>
        </w:rPr>
        <w:t>&lt;Depute&gt;</w:t>
      </w:r>
      <w:bookmarkStart w:id="0" w:name="DocEPLastVariable"/>
      <w:bookmarkEnd w:id="0"/>
      <w:proofErr w:type="spellStart"/>
      <w:r w:rsidRPr="008E0CBB">
        <w:t>Evin</w:t>
      </w:r>
      <w:proofErr w:type="spellEnd"/>
      <w:r w:rsidRPr="008E0CBB">
        <w:t xml:space="preserve"> </w:t>
      </w:r>
      <w:proofErr w:type="spellStart"/>
      <w:r w:rsidRPr="008E0CBB">
        <w:t>Incir</w:t>
      </w:r>
      <w:proofErr w:type="spellEnd"/>
      <w:r w:rsidRPr="008E0CBB">
        <w:rPr>
          <w:rStyle w:val="HideTWBExt"/>
        </w:rPr>
        <w:t>&lt;/Depute&gt;</w:t>
      </w:r>
    </w:p>
    <w:p w14:paraId="6801CCAB" w14:textId="77777777" w:rsidR="00BC15CB" w:rsidRPr="008E0CBB" w:rsidRDefault="00BC15CB" w:rsidP="00932240">
      <w:pPr>
        <w:pStyle w:val="CoverNormal"/>
      </w:pPr>
    </w:p>
    <w:p w14:paraId="2815AA92" w14:textId="77777777" w:rsidR="00932240" w:rsidRPr="008E0CBB" w:rsidRDefault="00B04730" w:rsidP="00932240">
      <w:pPr>
        <w:widowControl/>
        <w:tabs>
          <w:tab w:val="center" w:pos="4677"/>
        </w:tabs>
      </w:pPr>
      <w:r w:rsidRPr="008E0CBB">
        <w:br w:type="page"/>
      </w:r>
      <w:bookmarkStart w:id="1" w:name="FootprintPageAD"/>
      <w:proofErr w:type="spellStart"/>
      <w:r w:rsidRPr="008E0CBB">
        <w:lastRenderedPageBreak/>
        <w:t>PA_NonLegDec</w:t>
      </w:r>
      <w:proofErr w:type="spellEnd"/>
    </w:p>
    <w:p w14:paraId="1D4F64A8" w14:textId="77777777" w:rsidR="00B04730" w:rsidRPr="008E0CBB" w:rsidRDefault="00B04730" w:rsidP="00B04730">
      <w:pPr>
        <w:pStyle w:val="PageHeadingNotTOC"/>
      </w:pPr>
      <w:r w:rsidRPr="008E0CBB">
        <w:br w:type="page"/>
      </w:r>
      <w:bookmarkStart w:id="2" w:name="ProcPageAD"/>
      <w:bookmarkEnd w:id="1"/>
      <w:r w:rsidRPr="008E0CBB">
        <w:lastRenderedPageBreak/>
        <w:t>NUOMONĖ</w:t>
      </w:r>
    </w:p>
    <w:p w14:paraId="09D534CF" w14:textId="77777777" w:rsidR="00B04730" w:rsidRPr="008E0CBB" w:rsidRDefault="00B04730" w:rsidP="00B04730">
      <w:pPr>
        <w:pStyle w:val="Normal12a"/>
      </w:pPr>
      <w:r w:rsidRPr="008E0CBB">
        <w:t>Piliečių laisvių, teisingumo ir vidaus reikalų komitetas ragina atsakingą Biudžeto kontrolės komitetą į savo pasiūlymą dėl rezoliucijos įtraukti toliau pateikiamą tekstą:</w:t>
      </w:r>
    </w:p>
    <w:p w14:paraId="5357B061" w14:textId="77777777" w:rsidR="00B04730" w:rsidRPr="008E0CBB" w:rsidRDefault="00B04730" w:rsidP="00B04730">
      <w:pPr>
        <w:pStyle w:val="NormalHanging12a"/>
        <w:rPr>
          <w:szCs w:val="24"/>
        </w:rPr>
      </w:pPr>
      <w:r w:rsidRPr="008E0CBB">
        <w:t>1.</w:t>
      </w:r>
      <w:r w:rsidRPr="008E0CBB">
        <w:tab/>
        <w:t>ragina visas teisingumo ir vidaus reikalų srities agentūras stiprinti vidaus veiksmingumo auditus ir vengti administracinių struktūrų dubliavimosi; primygtinai ragina, kad kiekvieną kartą didinant biudžetą ar darbuotojų skaičių būtų taikomi išmatuojami veiklos rezultatų rodikliai;</w:t>
      </w:r>
    </w:p>
    <w:p w14:paraId="66166881" w14:textId="77777777" w:rsidR="00B04730" w:rsidRPr="008E0CBB" w:rsidRDefault="00B04730" w:rsidP="00B04730">
      <w:pPr>
        <w:pStyle w:val="NormalHanging12a"/>
        <w:rPr>
          <w:szCs w:val="24"/>
        </w:rPr>
      </w:pPr>
      <w:r w:rsidRPr="008E0CBB">
        <w:t>(Atkreipiame dėmesį į tai, kad šis tekstas įterpiamas prieš I dalį.)</w:t>
      </w:r>
    </w:p>
    <w:p w14:paraId="04B412F4" w14:textId="77777777" w:rsidR="00B04730" w:rsidRPr="008E0CBB" w:rsidRDefault="00B04730" w:rsidP="00B04730">
      <w:pPr>
        <w:pStyle w:val="Normal12a"/>
        <w:rPr>
          <w:b/>
          <w:bCs/>
          <w:i/>
          <w:iCs/>
        </w:rPr>
      </w:pPr>
      <w:r w:rsidRPr="008E0CBB">
        <w:rPr>
          <w:b/>
          <w:i/>
        </w:rPr>
        <w:t>I dalis. Europos Sąjungos bendradarbiavimo baudžiamosios teisenos srityje agentūros 2024 finansinių metų biudžeto įvykdymo patvirtinimas</w:t>
      </w:r>
    </w:p>
    <w:p w14:paraId="0B47D84F" w14:textId="77777777" w:rsidR="00B04730" w:rsidRPr="008E0CBB" w:rsidRDefault="00B04730" w:rsidP="00B04730">
      <w:pPr>
        <w:pStyle w:val="Normal12a"/>
        <w:ind w:left="720" w:hanging="720"/>
      </w:pPr>
      <w:bookmarkStart w:id="3" w:name="_Hlk211414452"/>
      <w:r w:rsidRPr="008E0CBB">
        <w:t>2.</w:t>
      </w:r>
      <w:r w:rsidRPr="008E0CBB">
        <w:tab/>
        <w:t>pažymi, kad nuolat plečiama Europos Sąjungos bendradarbiavimo baudžiamosios teisenos srityje agentūros (Eurojusto) operatyvinė veikla, ji apėmė 12 972 bylų nagrinėjimą 2024 m., daugiau kaip 640 koordinavimo posėdžių, 32 koordinavimo centrus ir 361 jungtines tyrimo grupes (JTG) (25 proc. padidėjimas per metus) ir sudarė palankesnes sąlygas 452 Europos arešto orderių vykdymui bei 2 668 Europos tyrimo orderių naudojimui;</w:t>
      </w:r>
    </w:p>
    <w:p w14:paraId="5E4214FB" w14:textId="77777777" w:rsidR="00B04730" w:rsidRPr="008E0CBB" w:rsidRDefault="00B04730" w:rsidP="00B04730">
      <w:pPr>
        <w:pStyle w:val="Normal12a"/>
        <w:ind w:left="720" w:hanging="720"/>
      </w:pPr>
      <w:r w:rsidRPr="008E0CBB">
        <w:t>3.</w:t>
      </w:r>
      <w:r w:rsidRPr="008E0CBB">
        <w:tab/>
        <w:t>palankiai vertina didesnį Eurojusto veiksmingumą, nes jis įgyvendino 99,94 proc. savo biudžeto ir įvykdė 98,35 proc. savo etatų plano; pažymi, kad šie rezultatai pasiekti esant dideliems biudžeto suvaržymams, atsiradusiems dėl padidėjusio operatyvinės veiklos krūvio ir didelės infliacijos;</w:t>
      </w:r>
    </w:p>
    <w:bookmarkEnd w:id="3"/>
    <w:p w14:paraId="282BC98F" w14:textId="77777777" w:rsidR="00B04730" w:rsidRPr="008E0CBB" w:rsidRDefault="00B04730" w:rsidP="00B04730">
      <w:pPr>
        <w:pStyle w:val="NormalHanging12a"/>
        <w:ind w:left="709" w:hanging="709"/>
        <w:rPr>
          <w:szCs w:val="24"/>
        </w:rPr>
      </w:pPr>
      <w:r w:rsidRPr="008E0CBB">
        <w:t>4.</w:t>
      </w:r>
      <w:r w:rsidRPr="008E0CBB">
        <w:tab/>
        <w:t>palankiai vertina Eurojusto paramą veiklai, susijusiai su agresijos karu prieš Ukrainą, jungtinėmis tyrimo grupėmis, tiriančiomis įtariamus sunkiausius tarptautinius nusikaltimus, Sunkiausių tarptautinių nusikaltimų įrodymų duomenų bazės (CICED) diegimu ir parama Eurojusto vadovaujamo Tarptautinio baudžiamojo persekiojimo už agresijos nusikaltimą centro plėtrai; primygtinai pabrėžia, kad šiai veiklai ir jos plėtojimui reikia skirti pakankamai finansinių ir žmogiškųjų išteklių;</w:t>
      </w:r>
    </w:p>
    <w:p w14:paraId="32E04DC3" w14:textId="77777777" w:rsidR="00B04730" w:rsidRPr="008E0CBB" w:rsidRDefault="00B04730" w:rsidP="00B04730">
      <w:pPr>
        <w:pStyle w:val="Normal12a"/>
        <w:ind w:left="720" w:hanging="720"/>
      </w:pPr>
      <w:r w:rsidRPr="008E0CBB">
        <w:t>5.</w:t>
      </w:r>
      <w:r w:rsidRPr="008E0CBB">
        <w:tab/>
        <w:t>palankiai vertina tai, kad 2024 m. rugsėjo mėn. pradėjo veikti Eurojusto vadovaujamas Europos teisminis tinklas organizuoto nusikalstamumo klausimais, kaip unikalus teisminių institucijų, dalyvaujančių tiriant organizuotą nusikalstamumą ir vykdant baudžiamąjį persekiojimą už jį, keitimosi ekspertinėmis žiniomis centras; atkreipia dėmesį į tai, kad reikia apibrėžti nuoseklią Europos teisminio tinklo organizuoto nusikalstamumo klausimais plėtros strategiją, siekiant padidinti jo aktualumą specialistams;</w:t>
      </w:r>
    </w:p>
    <w:p w14:paraId="6214115F" w14:textId="77777777" w:rsidR="00B04730" w:rsidRPr="008E0CBB" w:rsidRDefault="00B04730" w:rsidP="00B04730">
      <w:pPr>
        <w:pStyle w:val="Normal12a"/>
        <w:ind w:left="720" w:hanging="720"/>
      </w:pPr>
      <w:r w:rsidRPr="008E0CBB">
        <w:t>6.</w:t>
      </w:r>
      <w:r w:rsidRPr="008E0CBB">
        <w:tab/>
        <w:t>palankiai vertina tai, kad Eurojustas sudarė darbo susitarimus su trečiosiomis šalimis ir priėmė bendradarbiavimo su tarptautiniais partneriais strategiją (2024–2027 m.); ragina stiprinti tarptautinio bendradarbiavimo veiklą toliau plėtojant darbo susitarimus, sudarant partnerystes ir bendradarbiavimo susitarimus;</w:t>
      </w:r>
    </w:p>
    <w:p w14:paraId="36EB5A0E" w14:textId="77777777" w:rsidR="00B04730" w:rsidRPr="008E0CBB" w:rsidRDefault="00B04730" w:rsidP="00B04730">
      <w:pPr>
        <w:pStyle w:val="NormalHanging12a"/>
      </w:pPr>
      <w:r w:rsidRPr="008E0CBB">
        <w:t>7.</w:t>
      </w:r>
      <w:r w:rsidRPr="008E0CBB">
        <w:tab/>
        <w:t xml:space="preserve">palankiai vertina glaudų Eurojusto bendradarbiavimą su Europos Sąjungos teisėsaugos </w:t>
      </w:r>
      <w:r w:rsidRPr="008E0CBB">
        <w:lastRenderedPageBreak/>
        <w:t>bendradarbiavimo agentūra (Europolu) ir tarpžinybinės darbo grupės įsteigimą siekiant toliau nagrinėti bendradarbiavimo galimybes; primygtinai pabrėžia, kad Eurojusto, Europolo ir Europos prokuratūros teisėkūros peržiūros ciklas suteikia unikalią galimybę toliau stiprinti jų sąveiką, visų pirma operatyvinio bendradarbiavimo, keitimosi duomenimis ir informacija srityse, kartu užtikrinant papildomumą ir vengiant dubliavimosi ar jų įgaliojimų sutapimo;</w:t>
      </w:r>
    </w:p>
    <w:p w14:paraId="7DEA9E2E" w14:textId="77777777" w:rsidR="00B04730" w:rsidRPr="008E0CBB" w:rsidRDefault="00B04730" w:rsidP="00B04730">
      <w:pPr>
        <w:pStyle w:val="NormalHanging12a"/>
        <w:rPr>
          <w:bCs/>
          <w:iCs/>
          <w:szCs w:val="24"/>
        </w:rPr>
      </w:pPr>
      <w:r w:rsidRPr="008E0CBB">
        <w:t>8.</w:t>
      </w:r>
      <w:r w:rsidRPr="008E0CBB">
        <w:tab/>
        <w:t>ragina Europolą paskirti specialų kontaktinį punktą Eurojusto klausimais, kuris būtų atsakingas už keitimosi informacija palengvinimą, ryšių palaikymą bendrose bylose ir Eurojusto jungtinių tyrimo grupių (JTG) bei Europolo operatyvinių darbo grupių veiklos koordinavimo gerinimą;</w:t>
      </w:r>
    </w:p>
    <w:p w14:paraId="2CC33569" w14:textId="77777777" w:rsidR="00B04730" w:rsidRPr="008E0CBB" w:rsidRDefault="00B04730" w:rsidP="00B04730">
      <w:pPr>
        <w:pStyle w:val="NormalHanging12a"/>
        <w:rPr>
          <w:bCs/>
          <w:iCs/>
          <w:szCs w:val="24"/>
        </w:rPr>
      </w:pPr>
      <w:r w:rsidRPr="008E0CBB">
        <w:t>9.</w:t>
      </w:r>
      <w:r w:rsidRPr="008E0CBB">
        <w:tab/>
        <w:t>taip pat ragina siekti tikslingo Eurojusto ir Europolo sąveikumo, užtikrinant proporcingumą, teisinį tikrumą ir konfidencialumą, kad būtų pagerintas ankstyvasis teisminių ir teisėsaugos tyrimų sąsajų nustatymas;</w:t>
      </w:r>
    </w:p>
    <w:p w14:paraId="57E4C9CC" w14:textId="77777777" w:rsidR="00B04730" w:rsidRPr="008E0CBB" w:rsidRDefault="00B04730" w:rsidP="00B04730">
      <w:pPr>
        <w:pStyle w:val="NormalHanging12a"/>
        <w:rPr>
          <w:szCs w:val="24"/>
        </w:rPr>
      </w:pPr>
      <w:r w:rsidRPr="008E0CBB">
        <w:t>10.</w:t>
      </w:r>
      <w:r w:rsidRPr="008E0CBB">
        <w:tab/>
        <w:t>su dideliu susirūpinimu pažymi, kad labai vėluojama įdiegti naująją bylų valdymo sistemą; atkreipia dėmesį į tai, kad šie vėlavimai gali daryti poveikį įrodymų priimtinumui Eurojusto nagrinėjamose bylose, įskaitant CICED saugomus įrodymus; ragina Europos Komisiją ir Eurojustą kartu parengti skaidrų bylų valdymo sistemos diegimo tvarkaraštį ir rizikos valdymo planą, užtikrinant visų vykdomų tyrimų veiklos tęstinumą ir duomenų vientisumą; ragina Europos Komisiją atlikti sistemingus poveikio vertinimus ir pastangų kuriant sudėtingas IT sistemas įverčius, ypač kai pasiūlymuose dėl teisėkūros procedūra priimamų aktų nustatomi jų sukūrimo ir taikymo pradžios terminai;</w:t>
      </w:r>
    </w:p>
    <w:p w14:paraId="7F1E69FA" w14:textId="77777777" w:rsidR="00B04730" w:rsidRPr="008E0CBB" w:rsidRDefault="00B04730" w:rsidP="00B04730">
      <w:pPr>
        <w:pStyle w:val="Normal12a"/>
        <w:rPr>
          <w:i/>
          <w:iCs/>
        </w:rPr>
      </w:pPr>
      <w:r w:rsidRPr="008E0CBB">
        <w:rPr>
          <w:b/>
          <w:i/>
        </w:rPr>
        <w:t>II dalis. Europos Sąjungos pagrindinių teisių agentūros 2024 finansinių metų biudžeto įvykdymo patvirtinimas</w:t>
      </w:r>
    </w:p>
    <w:p w14:paraId="4CD497FA" w14:textId="77777777" w:rsidR="00B04730" w:rsidRPr="008E0CBB" w:rsidRDefault="00B04730" w:rsidP="00B04730">
      <w:pPr>
        <w:pStyle w:val="Normal12a"/>
        <w:ind w:left="720" w:hanging="720"/>
      </w:pPr>
      <w:r w:rsidRPr="008E0CBB">
        <w:t>11.</w:t>
      </w:r>
      <w:r w:rsidRPr="008E0CBB">
        <w:tab/>
        <w:t>palankiai vertina tai, kad Europos Sąjungos pagrindinių teisių agentūra (FRA), nepaisant nuolatinio žmogiškųjų ir finansinių išteklių trūkumo, sugebėjo pasiekti savo tikslus ir vykdyti savo metinėje darbo programoje numatytą veiklą, visų pirma turint omenyje tai, kad FRA įgaliojimai buvo gerokai išplėsti; pabrėžia ir pakartoja, jog yra susirūpinęs dėl to, kad FRA ir toliau patiria finansinių bei personalo išteklių apribojimų; ir ragina skirti FRA papildomų išteklių tiek biudžeto, tiek darbuotojų požiūriu, pažymi, kad parengtų publikacijų skaičius buvo 102, palyginti su nustatytu tikslu (50), išvažiuojamųjų posėdžių ir renginių, kuriuose FRA atstovai rengė pristatymus, kalbėjo ir (arba) padarė oficialių pareiškimą, skaičius buvo 223, palyginti su nustatytu tikslu (120), rašytinių ir (arba) žodinių pasisakymų skaičius buvo 520, palyginti su nustatytu tikslu (120), ir kad parengtos komunikacijos medžiagos skaičius buvo 3 617 vienetų, palyginti su nustatytu tikslu (1 000); su malonumu pažymi, kad FRA biudžeto įvykdymo lygis yra labai aukštas – daugiau kaip 99 proc.; mano, kad tai svarbus patikimo finansų valdymo ir biudžeto principų laikymosi rodiklis; palankiai vertina bendradarbiavimą su kitomis ES agentūromis, tarptautinėms ir nacionalinėms žmogaus teisių įstaigoms ir pilietine visuomene, siekiant užtikrinti, kad būtų laikomasi pagrindinių teisių; pabrėžia, kad išteklių trūkumas gali turėti įtakos agentūros atliekamo darbo kokybei, o tai labai svarbu siekiant užtikrinti, kad formuojant ES politiką ir rengiant teisės aktus būtų atsižvelgiama į pagrindines teises;</w:t>
      </w:r>
    </w:p>
    <w:p w14:paraId="12D72AEA" w14:textId="77777777" w:rsidR="00B04730" w:rsidRPr="008E0CBB" w:rsidRDefault="00B04730" w:rsidP="00B04730">
      <w:pPr>
        <w:pStyle w:val="NormalHanging12a"/>
        <w:ind w:left="709" w:hanging="709"/>
        <w:rPr>
          <w:szCs w:val="24"/>
        </w:rPr>
      </w:pPr>
      <w:r w:rsidRPr="008E0CBB">
        <w:lastRenderedPageBreak/>
        <w:t>12.</w:t>
      </w:r>
      <w:r w:rsidRPr="008E0CBB">
        <w:tab/>
        <w:t xml:space="preserve">pabrėžia FRA, kaip svarbiausio pagrindinių teisių ir teisinės valstybės srities subjekto, kaip įtvirtinta Pagrindinių teisių chartijoje, kuri yra pirminė ES teisė, vaidmenį ir palankiai vertina jos paramą siekiant užtikrinti pagarbą pagrindinėms teisėms, jų apsaugą ir įgyvendinimą galiojančiuose ES teisės aktuose ir politikos srityse, įskaitant jos indėlį į lygybės ir kovos su diskriminacija iniciatyvas, pvz., kovą su </w:t>
      </w:r>
      <w:proofErr w:type="spellStart"/>
      <w:r w:rsidRPr="008E0CBB">
        <w:t>seksizmu</w:t>
      </w:r>
      <w:proofErr w:type="spellEnd"/>
      <w:r w:rsidRPr="008E0CBB">
        <w:t xml:space="preserve">, rasizmu, antisemitizmu ir </w:t>
      </w:r>
      <w:proofErr w:type="spellStart"/>
      <w:r w:rsidRPr="008E0CBB">
        <w:t>islamofobija</w:t>
      </w:r>
      <w:proofErr w:type="spellEnd"/>
      <w:r w:rsidRPr="008E0CBB">
        <w:t>, remiant duomenų apie lygybę rinkimą, padedant įgyvendinti nacionalinius strateginius planus dėl romų ir prisidedant prie Komisijos ataskaitų dėl 2020–2025 m. ES kovos su rasizmu veiksmų plano ir susijusių nacionalinių veiksmų planų, 2020–2025 m. LGBTIQ asmenų lygybės strategijos ir pirmosios pažangos ataskaitos dėl ES kovos su antisemitizmu ir žydų gyvenimo puoselėjimo strategijos rengimo; pripažįsta svarbų FRA vaidmenį rengiant Komisijos metinę teisinės valstybės principo taikymo ataskaitą; pabrėžia svarbų FRA vaidmenį skatinant pilietinės visuomenės apsaugą ir apsaugant žmogaus teisių gynėjus, kuriems gresia pavojus, teikiant mokslinių tyrimų ir gebėjimų stiprinimo paramą, susijusią su Europos Sąjungos pagrindinių teisių chartija ir tarptautiniais žmogaus teisių standartais, taip pat metinę pagrindinių teisių ataskaitą; vis dėlto mano, kad FRA įgaliojimų išplėtimas turi išlikti proporcingas jos pagrindinei misijai;</w:t>
      </w:r>
    </w:p>
    <w:p w14:paraId="6396055C" w14:textId="77777777" w:rsidR="00B04730" w:rsidRPr="008E0CBB" w:rsidRDefault="00B04730" w:rsidP="00B04730">
      <w:pPr>
        <w:pStyle w:val="Normal12a"/>
        <w:ind w:left="720" w:hanging="720"/>
      </w:pPr>
      <w:r w:rsidRPr="008E0CBB">
        <w:t>13.</w:t>
      </w:r>
      <w:r w:rsidRPr="008E0CBB">
        <w:tab/>
        <w:t>palankiai vertina pirmąjį FRA projektą pateikti strateginį prognozavimą pagrindinių teisių srityje, kuriuo siekiama numatyti būsimus iššūkius pagrindinėms teisėms ir sudaryti sąlygas agentūrai geriau remti ES politikos formavimą ir valstybes nares joms sprendžiant kylančias problemas;</w:t>
      </w:r>
    </w:p>
    <w:p w14:paraId="0D5876A9" w14:textId="77777777" w:rsidR="00B04730" w:rsidRPr="008E0CBB" w:rsidRDefault="00B04730" w:rsidP="00B04730">
      <w:pPr>
        <w:pStyle w:val="NormalHanging12a"/>
        <w:ind w:left="709" w:hanging="709"/>
      </w:pPr>
      <w:r w:rsidRPr="008E0CBB">
        <w:t>14.</w:t>
      </w:r>
      <w:r w:rsidRPr="008E0CBB">
        <w:tab/>
        <w:t>atkreipia dėmesį į FRA rekomendacijas ir dalyvavimą prieglobsčio ir migracijos, sienų ir sąveikumo srityse ir jos didelį dėmesį pagrindinėms teisėms, valstybių narių tarptautiniams įsipareigojimams ir ES žmogaus teisių teisei šioje srityje, įskaitant agentūros darbą, susijusį su migracijos politikos rengimo ir įgyvendinimo pastangomis visapusiškai gerbiant pagrindines teises, ir nacionalinėms valdžios institucijoms rengiamus mokymus, kuriuose, be kita ko, daugiausia dėmesio skiriama pagrindinių teisių apsaugos priemonėms migracijos ir prieglobsčio srityse;</w:t>
      </w:r>
    </w:p>
    <w:p w14:paraId="15CCFBE0" w14:textId="77777777" w:rsidR="00B04730" w:rsidRPr="008E0CBB" w:rsidRDefault="00B04730" w:rsidP="00B04730">
      <w:pPr>
        <w:pStyle w:val="Normal12a"/>
        <w:ind w:left="720" w:hanging="720"/>
      </w:pPr>
      <w:r w:rsidRPr="008E0CBB">
        <w:t>15.</w:t>
      </w:r>
      <w:r w:rsidRPr="008E0CBB">
        <w:tab/>
        <w:t>palankiai vertina FRA indėlį rengiant Dirbtinio intelekto aktą, ekspertines žinias, susijusias su Skaitmeninių paslaugų akto įgyvendinimu, ir agentūros paskelbtą ataskaitą dėl Bendrojo duomenų apsaugos reglamento (BDAR) įgyvendinimo iššūkių, kuria remdamasi Europos Komisija atlieka reglamento vertinimą; su pasitenkinimu atkreipia dėmesį į FRA atliktą darbą, susijusį su žalingu turiniu internete ir moderavimo praktika, gerinant duomenų apie neapykantą kurstančias kalbas internete, kibernetinius nusikaltimus ir pagrindines teises rinkimą;</w:t>
      </w:r>
    </w:p>
    <w:p w14:paraId="73E788FA" w14:textId="77777777" w:rsidR="00B04730" w:rsidRPr="008E0CBB" w:rsidRDefault="00B04730" w:rsidP="00B04730">
      <w:pPr>
        <w:pStyle w:val="Normal12a"/>
        <w:rPr>
          <w:b/>
          <w:bCs/>
          <w:i/>
          <w:iCs/>
        </w:rPr>
      </w:pPr>
      <w:r w:rsidRPr="008E0CBB">
        <w:rPr>
          <w:b/>
          <w:i/>
        </w:rPr>
        <w:t>III dalis. Europos Sąjungos prieglobsčio agentūros 2024 finansinių metų biudžeto įvykdymo patvirtinimas</w:t>
      </w:r>
    </w:p>
    <w:p w14:paraId="147EDF66" w14:textId="77777777" w:rsidR="00B04730" w:rsidRPr="008E0CBB" w:rsidRDefault="00B04730" w:rsidP="00B04730">
      <w:pPr>
        <w:pStyle w:val="NormalHanging12a"/>
        <w:ind w:left="709" w:hanging="709"/>
      </w:pPr>
      <w:r w:rsidRPr="008E0CBB">
        <w:t>16.</w:t>
      </w:r>
      <w:r w:rsidRPr="008E0CBB">
        <w:tab/>
        <w:t xml:space="preserve">pažymi, kad dėl artėjančio OLAF tyrimo, susijusio su, kaip įtariama, trūkumais, darančiais poveikį agentūros finansų valdymui, 2025 m. gegužės 7 d. Europos Parlamentas nusprendė atidėti savo sprendimą, kuriuo Europos Sąjungos prieglobsčio agentūros vykdomajam direktoriui patvirtinama, kad agentūros 2023 finansinių metų biudžetas įvykdytas; pažymi, kad 2025 m. spalio 22 d. Europos Parlamentas patvirtino Europos Sąjungos prieglobsčio agentūros biudžeto įvykdymą ir pateikė agentūrai </w:t>
      </w:r>
      <w:r w:rsidRPr="008E0CBB">
        <w:lastRenderedPageBreak/>
        <w:t>keletą rekomendacijų; pakartoja, kad svarbu visapusiškai įgyvendinti visas Parlamento rekomendacijas, pateiktas atsižvelgiant į 2024 m. biudžeto įvykdymo patvirtinimo procedūrą;</w:t>
      </w:r>
    </w:p>
    <w:p w14:paraId="624D1A34" w14:textId="77777777" w:rsidR="00B04730" w:rsidRPr="008E0CBB" w:rsidRDefault="00B04730" w:rsidP="00B04730">
      <w:pPr>
        <w:pStyle w:val="NormalHanging12a"/>
        <w:ind w:left="709" w:hanging="709"/>
        <w:rPr>
          <w:szCs w:val="24"/>
        </w:rPr>
      </w:pPr>
      <w:r w:rsidRPr="008E0CBB">
        <w:t>17.</w:t>
      </w:r>
      <w:r w:rsidRPr="008E0CBB">
        <w:tab/>
        <w:t>pažymi, kad 2024 m. buvo pateikta daugiau kaip 1 mln. tarptautinės apsaugos prašymų (11 proc. mažiau, palyginti su 2023 m.) ir ES+ šalyse vis dar buvo priimta 746 000 sprendimų suteikti laikinąją apsaugą; atkreipia dėmesį į nuolatinę operatyvinę ir techninę paramą, kurią Europos Sąjungos prieglobsčio agentūra (EUAA) šiomis aplinkybėmis teikia valstybėms narėms, visų pirma 13 valstybių narių</w:t>
      </w:r>
      <w:r w:rsidRPr="008E0CBB">
        <w:rPr>
          <w:b/>
          <w:i/>
          <w:vertAlign w:val="superscript"/>
        </w:rPr>
        <w:t>[1]</w:t>
      </w:r>
      <w:r w:rsidRPr="008E0CBB">
        <w:t xml:space="preserve"> vykdant operatyvinius planus, taip prisidedant prie jų nacionalinių pajėgumų nagrinėti prieglobsčio prašymus ir užtikrinti priėmimą; taip pat su pasitenkinimu pažymi, kad EUAA operacijos plėtojamos atsižvelgiant į poreikius vietoje; palankiai vertina tai, kad perkėlimo srityje valstybės narės vis dažniau naudojasi Turkijoje esančia EUAA įstaiga perkėlimui organizuoti ir paremti, taigi šioje srityje parama suteikta 34 perkėlimo misijoms ir pagalbą gavo 4 100 asmenų;</w:t>
      </w:r>
    </w:p>
    <w:p w14:paraId="42F3280A" w14:textId="77777777" w:rsidR="00B04730" w:rsidRPr="008E0CBB" w:rsidRDefault="00B04730" w:rsidP="00B04730">
      <w:pPr>
        <w:pStyle w:val="NormalHanging12a"/>
        <w:ind w:left="709" w:hanging="709"/>
        <w:rPr>
          <w:szCs w:val="24"/>
        </w:rPr>
      </w:pPr>
      <w:r w:rsidRPr="008E0CBB">
        <w:t>18.</w:t>
      </w:r>
      <w:r w:rsidRPr="008E0CBB">
        <w:tab/>
        <w:t>palankiai vertina tai, kad EUAA surengė 1 200 mokomųjų renginių, kuriuose dalyvavo 18 000 dalyvių, ir tai rodo 28 proc. padidėjimą, palyginti su 2023 m.; su pasitenkinimu pažymi, kad po ilgo ir ryžtingo parengiamojo darbo ir bendradarbiaujant su Maltos institucijomis, EUAA oficialiai pripažinta kaip profesinės kompetencijos tobulinimo ir tęstinio mokymo paslaugų teikėja; yra įsitikinęs, kad tai yra svarbus žingsnis pertvarkant mokymo programą ir sukuriant unikalią priemonę, kuri padėtų skatinti bendrą požiūrį į prieglobsčio ir migracijos valdymą ES; palankiai vertina tai, kad priimta daugiametė stebėsenos programa, pagal kurią nustatoma 2026–2030 m. bendros Europos prieglobsčio sistemos operatyvinio ir techninio taikymo pirmojo stebėsenos ciklo tvarka; taip pat palankiai vertina tai, kad nustatyta bendra šios stebėsenos metodika;</w:t>
      </w:r>
    </w:p>
    <w:p w14:paraId="0553D7BC" w14:textId="77777777" w:rsidR="00B04730" w:rsidRPr="008E0CBB" w:rsidRDefault="00B04730" w:rsidP="00B04730">
      <w:pPr>
        <w:pStyle w:val="Normal12a"/>
        <w:ind w:left="720" w:hanging="720"/>
      </w:pPr>
      <w:r w:rsidRPr="008E0CBB">
        <w:t>19.</w:t>
      </w:r>
      <w:r w:rsidRPr="008E0CBB">
        <w:tab/>
        <w:t>pripažįsta svarbų EUAA indėlį informacijos apie kilmės šalį ir kilmės šalies gairių srityje, taip pat informuotumo apie padėtį ir susijusių duomenų rinkimo klausimais;</w:t>
      </w:r>
    </w:p>
    <w:p w14:paraId="7C880170" w14:textId="77777777" w:rsidR="00B04730" w:rsidRPr="008E0CBB" w:rsidRDefault="00B04730" w:rsidP="00B04730">
      <w:pPr>
        <w:pStyle w:val="NormalHanging12a"/>
        <w:ind w:left="709" w:hanging="709"/>
        <w:rPr>
          <w:bCs/>
          <w:iCs/>
          <w:szCs w:val="24"/>
        </w:rPr>
      </w:pPr>
      <w:r w:rsidRPr="008E0CBB">
        <w:t>20.</w:t>
      </w:r>
      <w:r w:rsidRPr="008E0CBB">
        <w:tab/>
        <w:t>palankiai vertina EUAA pastangas laiku atnaujinti visą pagalbinę medžiagą po to, kai įsigaliojo nauji teisės aktai ir buvo priimtas Migracijos ir prieglobsčio paktas, ir labai palankiai vertina EUAA indėlį ir paramą rengiantis Pakto taikymo pradžiai, be kita ko, naudojant 11 su paktu susijusių produktų, kurie yra labai svarbūs siekiant padėti valstybėms narėms ir specialistams atlikti savo darbą; vis dėlto prašo, kad šie dokumentai būtų pateikti Parlamentui nekonfidencialiomis sąlygomis tiek skaidrumo, tiek efektyvumo tikslais;</w:t>
      </w:r>
    </w:p>
    <w:p w14:paraId="08AC2418" w14:textId="77777777" w:rsidR="00B04730" w:rsidRPr="008E0CBB" w:rsidRDefault="00B04730" w:rsidP="00B04730">
      <w:pPr>
        <w:pStyle w:val="Normal12a"/>
        <w:ind w:left="720" w:hanging="720"/>
      </w:pPr>
      <w:r w:rsidRPr="008E0CBB">
        <w:t>21.</w:t>
      </w:r>
      <w:r w:rsidRPr="008E0CBB">
        <w:tab/>
        <w:t xml:space="preserve">atkreipia dėmesį į tai, kad EUAA biudžetas 2024 m. buvo 172 mln. EUR ir ji turėjo 592 darbuotojų etatus (palyginti su 529 etatais 2023 m.); ragina skirti EUAA tinkamą finansavimą ir atitinkamą darbuotojų skaičių, atsižvelgiant į tai, kad įgyvendinant Migracijos ir prieglobsčio paktą gerokai padidėjo agentūrai patikėtų užduočių skaičius; apgailestauja, kad 2024 m. buvo užimti tik 508 etatai; giria EUAA darbuotojus už jų įsipareigojimą ir darbo rezultatus, nepaisant to, kad yra daug laisvų darbo vietų ir dirbančiųjų darbo krūvis yra didelis; pabrėžia, kad svarbu skatinti teigiamą darbo aplinką, kurią padėtų užtikrinti atviri komunikacijos kanalai ir nuopelnais grindžiamas atlygis; primygtinai ragina EUAA paspartinti įdarbinimo </w:t>
      </w:r>
      <w:r w:rsidRPr="008E0CBB">
        <w:lastRenderedPageBreak/>
        <w:t>procesus, kad būtų užpildytos visos laisvos darbo vietos;</w:t>
      </w:r>
    </w:p>
    <w:p w14:paraId="4EF170AE" w14:textId="77777777" w:rsidR="00B04730" w:rsidRPr="008E0CBB" w:rsidRDefault="00B04730" w:rsidP="00B04730">
      <w:pPr>
        <w:pStyle w:val="NormalHanging12a"/>
        <w:ind w:left="709" w:hanging="709"/>
        <w:rPr>
          <w:szCs w:val="24"/>
        </w:rPr>
      </w:pPr>
      <w:r w:rsidRPr="008E0CBB">
        <w:t>22.</w:t>
      </w:r>
      <w:r w:rsidRPr="008E0CBB">
        <w:tab/>
        <w:t>atkreipia dėmesį į geresnius EUAA veiklos rezultatus – įvykdyta 99 proc. įsipareigojimų ir 95 proc. mokėjimų asignavimų, ir ragina EUAA toliau plėtoti ir gerinti vidaus kontrolės mechanizmų kokybę; primygtinai ragina EUAA periodiškai teikti Parlamentui 2025 m. valdančiosios tarybos pateiktų rašytinių rekomendacijų dėl taisomųjų veiksmų, apie kuriuos vykdomoji direktorė paskelbė pareiškime dėl vadovavimo įgyvendinant pokyčius EUAA vizijos, vykdymo ataskaitas; pakartoja, jog svarbu, kad valdančioji taryba aktyviai dalyvautų nustatant EUAA veiklos gaires, ir primena, kad svarbu užtikrinti veiksmingas ir skaidrias procedūras ir struktūrą, kurios turi būti sukurtos siekiant palaikyti ryšius su valdančiąja taryba, kad būtų galima laiku ir veiksmingai vykdyti priežiūrą; ragina Komisiją remti valdančiosios tarybos narius ir padėti jiems vykdyti priežiūros vaidmenį;</w:t>
      </w:r>
    </w:p>
    <w:p w14:paraId="1F7C9363" w14:textId="77777777" w:rsidR="00B04730" w:rsidRPr="008E0CBB" w:rsidRDefault="00B04730" w:rsidP="00B04730">
      <w:pPr>
        <w:pStyle w:val="NormalHanging12a"/>
        <w:ind w:left="709" w:hanging="709"/>
        <w:rPr>
          <w:szCs w:val="24"/>
        </w:rPr>
      </w:pPr>
      <w:r w:rsidRPr="008E0CBB">
        <w:t>23.</w:t>
      </w:r>
      <w:r w:rsidRPr="008E0CBB">
        <w:tab/>
        <w:t>ragina EUAA įsteigti nepriklausomą vidaus etikos pareigybę; ragina EUAA ryžtingai šalinti žmogiškųjų išteklių valdymo trūkumus, nustatytus OLAF ataskaitoje, kuri buvo aptarta 2025 m. liepos 15 d. CONT komiteto posėdyje, kad organizacijoje būtų išlaikytas sąžiningumas ir pasitikėjimas;</w:t>
      </w:r>
    </w:p>
    <w:p w14:paraId="092EFE15" w14:textId="77777777" w:rsidR="00B04730" w:rsidRPr="008E0CBB" w:rsidRDefault="00B04730" w:rsidP="00B04730">
      <w:pPr>
        <w:pStyle w:val="NormalHanging12a"/>
        <w:ind w:left="709" w:hanging="709"/>
        <w:rPr>
          <w:szCs w:val="24"/>
        </w:rPr>
      </w:pPr>
      <w:r w:rsidRPr="008E0CBB">
        <w:t>24.</w:t>
      </w:r>
      <w:r w:rsidRPr="008E0CBB">
        <w:tab/>
        <w:t>primena, kad svarbu stiprinti parlamentinę apžvalgą siekiant padidinti EUAA atskaitomybę, ir pakartoja raginimą agentūrai pasidalyti valdančiosios tarybos pasitarimų protokolais, atsižvelgiant į Europos Parlamento dalyvavimą sprendžiant klausimus, kuriuos reglamentuoja EUAA reglamentas; ragina valdančiąją tarybą sistemingai kviesti Europos Parlamento ekspertą dalyvauti valdančiosios tarybos posėdžiuose;</w:t>
      </w:r>
    </w:p>
    <w:p w14:paraId="6AD6192F" w14:textId="77777777" w:rsidR="00B04730" w:rsidRPr="008E0CBB" w:rsidRDefault="00B04730" w:rsidP="00B04730">
      <w:pPr>
        <w:pStyle w:val="Normal12a"/>
        <w:ind w:left="720" w:hanging="720"/>
      </w:pPr>
      <w:r w:rsidRPr="008E0CBB">
        <w:t>25.</w:t>
      </w:r>
      <w:r w:rsidRPr="008E0CBB">
        <w:tab/>
        <w:t>palankiai vertina tai, kad priimta pirmoji EUAA pagrindinių teisių strategija ir veiksmų planai, kurių reikia laikytis; palankiai vertina tai, kad sukurtas skundų nagrinėjimo mechanizmas ir specialus interneto puslapis, kad būtų palengvinta prieiga prie mechanizmo; palankiai vertina pagrindinių teisių pareigūno po operatyvinių planų analizės pateiktas 24 pastabas, operatyvinių planų įgyvendinimo vertinimus ir apsilankymus vietoje EUAA operacijų metu; palankiai vertina pirmąją pagrindinių teisių pareigūno biuro metinę ataskaitą, kurioje pateikiama 2024 m. veiklos apžvalga;</w:t>
      </w:r>
    </w:p>
    <w:p w14:paraId="32910AB3" w14:textId="77777777" w:rsidR="00B04730" w:rsidRPr="008E0CBB" w:rsidRDefault="00B04730" w:rsidP="00B04730">
      <w:pPr>
        <w:pStyle w:val="Normal12a"/>
        <w:rPr>
          <w:b/>
        </w:rPr>
      </w:pPr>
      <w:r w:rsidRPr="008E0CBB">
        <w:rPr>
          <w:b/>
          <w:i/>
        </w:rPr>
        <w:t>IV dalis. Europos Sąjungos didelės apimties IT sistemų laisvės, saugumo ir teisingumo erdvėje operacijų valdymo agentūros 2024 finansinių metų biudžeto įvykdymo patvirtinimas</w:t>
      </w:r>
    </w:p>
    <w:p w14:paraId="01543ACA" w14:textId="77777777" w:rsidR="00B04730" w:rsidRPr="008E0CBB" w:rsidRDefault="00B04730" w:rsidP="00B04730">
      <w:pPr>
        <w:pStyle w:val="NormalHanging12a"/>
        <w:ind w:left="709" w:hanging="709"/>
        <w:rPr>
          <w:szCs w:val="24"/>
        </w:rPr>
      </w:pPr>
      <w:r w:rsidRPr="008E0CBB">
        <w:t>26.</w:t>
      </w:r>
      <w:r w:rsidRPr="008E0CBB">
        <w:tab/>
        <w:t>palankiai vertina 2024 m. Europos Sąjungos didelės apimties IT sistemų laisvės, saugumo ir teisingumo erdvėje operacijų valdymo agentūros (</w:t>
      </w:r>
      <w:proofErr w:type="spellStart"/>
      <w:r w:rsidRPr="008E0CBB">
        <w:t>eu</w:t>
      </w:r>
      <w:proofErr w:type="spellEnd"/>
      <w:r w:rsidRPr="008E0CBB">
        <w:t xml:space="preserve">-LISA) darbo pasiekimus, įskaitant SIS, VIS ir EURODAC operacijų konsolidavimą, Europos sienų ir pakrančių apsaugos agentūros (FRONTEX) prijungimą prie SIS, visapusiškos prieigos prie VIS suteikimą Bulgarijai ir Rumunijai ir oficialų sistemos e. CODEX operacijų valdymo perėmimą; taip pat atkreipia dėmesį į tai, kad agentūra rengiasi naudoti naują sistemą EURODAC, kurios pagrindinės funkcijos turi būti įdiegtos iki 2026 m. birželio mėn., ir į tai, kad pradėta kurti Jungtinių tyrimo grupių bendradarbiavimo platforma (JTG bendradarbiavimo platforma); primena, kad reikia visapusiškai laikytis taikytinų duomenų apsaugos </w:t>
      </w:r>
      <w:proofErr w:type="spellStart"/>
      <w:r w:rsidRPr="008E0CBB">
        <w:rPr>
          <w:i/>
        </w:rPr>
        <w:t>acquis</w:t>
      </w:r>
      <w:proofErr w:type="spellEnd"/>
      <w:r w:rsidRPr="008E0CBB">
        <w:t xml:space="preserve"> nuostatų;</w:t>
      </w:r>
    </w:p>
    <w:p w14:paraId="17600EFB" w14:textId="77777777" w:rsidR="00B04730" w:rsidRPr="008E0CBB" w:rsidRDefault="00B04730" w:rsidP="00B04730">
      <w:pPr>
        <w:pStyle w:val="Normal12a"/>
        <w:ind w:left="720" w:hanging="720"/>
      </w:pPr>
      <w:r w:rsidRPr="008E0CBB">
        <w:t>27.</w:t>
      </w:r>
      <w:r w:rsidRPr="008E0CBB">
        <w:tab/>
        <w:t xml:space="preserve">su pasitenkinimu pažymi, kad 2024 m. </w:t>
      </w:r>
      <w:proofErr w:type="spellStart"/>
      <w:r w:rsidRPr="008E0CBB">
        <w:t>eu</w:t>
      </w:r>
      <w:proofErr w:type="spellEnd"/>
      <w:r w:rsidRPr="008E0CBB">
        <w:t xml:space="preserve">-LISA panaudojo 100 proc. savo </w:t>
      </w:r>
      <w:r w:rsidRPr="008E0CBB">
        <w:lastRenderedPageBreak/>
        <w:t>įsipareigojimų asignavimų, kurie sudarė 307,39 mln. EUR, ir visiškai panaudojo 260,11 mln. EUR mokėjimų asignavimų, įskaitant perkėlimus į kitą laikotarpį; palankiai vertina tai, kad, palyginti su ankstesniais metais, perkėlimų iš 2024 m. į 2025 m. gerokai sumažėjo (maždaug 50 proc.), taip išsprendžiant ankstesnius Parlamentui susirūpinimą kėlusius klausimus, tačiau apgailestauja, kad mokėjimų asignavimų panaikinimo lygis išliko aukštas ir siekė 14,5 proc.;</w:t>
      </w:r>
    </w:p>
    <w:p w14:paraId="5B2B847B" w14:textId="77777777" w:rsidR="00B04730" w:rsidRPr="008E0CBB" w:rsidRDefault="00B04730" w:rsidP="00B04730">
      <w:pPr>
        <w:pStyle w:val="Normal12a"/>
        <w:ind w:left="720" w:hanging="720"/>
      </w:pPr>
      <w:r w:rsidRPr="008E0CBB">
        <w:t>28.</w:t>
      </w:r>
      <w:r w:rsidRPr="008E0CBB">
        <w:tab/>
        <w:t>pabrėžia, kad būtina skubiai sukurti sąveikumo struktūrą, atsižvelgiant į bendrų pratybų metu įgytą patirtį, ir pabrėžia, kad greitas ir patikimas keitimasis informacija yra gyvybiškai svarbus Sąjungos laisvės, saugumo ir teisingumo erdvei;</w:t>
      </w:r>
    </w:p>
    <w:p w14:paraId="2F864B19" w14:textId="77777777" w:rsidR="00B04730" w:rsidRPr="008E0CBB" w:rsidRDefault="00B04730" w:rsidP="00B04730">
      <w:pPr>
        <w:pStyle w:val="NormalHanging12a"/>
        <w:ind w:left="709" w:hanging="709"/>
        <w:rPr>
          <w:szCs w:val="24"/>
        </w:rPr>
      </w:pPr>
      <w:r w:rsidRPr="008E0CBB">
        <w:t>29.</w:t>
      </w:r>
      <w:r w:rsidRPr="008E0CBB">
        <w:tab/>
        <w:t xml:space="preserve">apgailestauja, kad atvykimo ir išvykimo sistema (AIS) negalėjo būti pradėta naudoti 2024 m. lapkričio mėn., tačiau palankiai vertina tai, jog </w:t>
      </w:r>
      <w:proofErr w:type="spellStart"/>
      <w:r w:rsidRPr="008E0CBB">
        <w:t>eu</w:t>
      </w:r>
      <w:proofErr w:type="spellEnd"/>
      <w:r w:rsidRPr="008E0CBB">
        <w:t>-LISA patvirtino priemones, kuriomis siekiama paspartinti pažangą ir užtikrinti, kad sistema būtų palaipsniui pradėta taikyti nuo 2025 m. spalio 12 d.;</w:t>
      </w:r>
    </w:p>
    <w:p w14:paraId="4DFBC929" w14:textId="77777777" w:rsidR="00B04730" w:rsidRPr="008E0CBB" w:rsidRDefault="00B04730" w:rsidP="00B04730">
      <w:pPr>
        <w:pStyle w:val="Normal12a"/>
        <w:ind w:left="720" w:hanging="720"/>
      </w:pPr>
      <w:r w:rsidRPr="008E0CBB">
        <w:t>30.</w:t>
      </w:r>
      <w:r w:rsidRPr="008E0CBB">
        <w:tab/>
        <w:t xml:space="preserve">palankiai vertina tai, kad </w:t>
      </w:r>
      <w:proofErr w:type="spellStart"/>
      <w:r w:rsidRPr="008E0CBB">
        <w:t>eu</w:t>
      </w:r>
      <w:proofErr w:type="spellEnd"/>
      <w:r w:rsidRPr="008E0CBB">
        <w:t>-LISA daugiau dėmesio skiria kibernetiniam saugumui, įskaitant kasdien visą parą vykdomą stebėseną, reagavimą į incidentus ir pratybas bendradarbiaujant su teisingumo ir vidaus reikalų (TVR) srities agentūrų tinklu; pabrėžia, kad svarbu laiku įgyvendinti naujas Sąjungos kibernetinio saugumo ir informacijos saugumo taisykles;</w:t>
      </w:r>
    </w:p>
    <w:p w14:paraId="4F6103E2" w14:textId="77777777" w:rsidR="00B04730" w:rsidRPr="008E0CBB" w:rsidRDefault="00B04730" w:rsidP="00B04730">
      <w:pPr>
        <w:pStyle w:val="Normal12a"/>
        <w:ind w:left="720" w:hanging="720"/>
      </w:pPr>
      <w:r w:rsidRPr="008E0CBB">
        <w:t>31.</w:t>
      </w:r>
      <w:r w:rsidRPr="008E0CBB">
        <w:tab/>
        <w:t xml:space="preserve">atkreipia dėmesį į </w:t>
      </w:r>
      <w:proofErr w:type="spellStart"/>
      <w:r w:rsidRPr="008E0CBB">
        <w:t>eu</w:t>
      </w:r>
      <w:proofErr w:type="spellEnd"/>
      <w:r w:rsidRPr="008E0CBB">
        <w:t xml:space="preserve">-LISA pastangas 2024 m. veiksmingai panaudoti savo finansinius ir žmogiškuosius išteklius; pripažįsta, kad svarbu toliau gerinti užimtumo lygį ir kad reikia mažinti priklausomybę nuo išorės rangovų stiprinant vidaus pajėgumus; palankiai vertina strateginį valdymo veiksmų planą, kuriuo siekiama gerinti sistemos veikimą, stiprinti vidaus plėtojimo pajėgumus, gerinti talentų valdymą ir stiprinti ryšius su suinteresuotaisiais subjektais; ragina Komisiją ir valstybes nares užtikrinti, kad </w:t>
      </w:r>
      <w:proofErr w:type="spellStart"/>
      <w:r w:rsidRPr="008E0CBB">
        <w:t>eu</w:t>
      </w:r>
      <w:proofErr w:type="spellEnd"/>
      <w:r w:rsidRPr="008E0CBB">
        <w:t>-LISA būtų suteikta pakankamai išteklių, kurie atitiktų didėjančius jos įgaliojimus;</w:t>
      </w:r>
    </w:p>
    <w:p w14:paraId="57DED4B5" w14:textId="77777777" w:rsidR="00B04730" w:rsidRPr="008E0CBB" w:rsidRDefault="00B04730" w:rsidP="00B04730">
      <w:pPr>
        <w:pStyle w:val="NormalHanging12a"/>
        <w:ind w:left="709" w:hanging="709"/>
        <w:rPr>
          <w:szCs w:val="24"/>
        </w:rPr>
      </w:pPr>
      <w:r w:rsidRPr="008E0CBB">
        <w:t>32.</w:t>
      </w:r>
      <w:r w:rsidRPr="008E0CBB">
        <w:tab/>
        <w:t xml:space="preserve">pabrėžia </w:t>
      </w:r>
      <w:proofErr w:type="spellStart"/>
      <w:r w:rsidRPr="008E0CBB">
        <w:t>eu</w:t>
      </w:r>
      <w:proofErr w:type="spellEnd"/>
      <w:r w:rsidRPr="008E0CBB">
        <w:t>-LISA pajėgumų didinimo programos svarbą siekiant užtikrinti pakankamus duomenų centro išteklius tiek naujoms, tiek esamoms IT sistemoms, ir palankiai vertina taikomas priemones patikimam biudžeto planavimui ir stebėsenai stiprinti; pabrėžia, kad svarbu užbaigti apsirūpinimo ištekliais strategiją ir didinti vidaus pajėgumus siekiant sumažinti priklausomybę nuo išorės rangovų; tuo tarpu ragina didinti rangovų priežiūrą, taip pat atsižvelgiant į agentūros tvarkomų duomenų slaptumą;</w:t>
      </w:r>
    </w:p>
    <w:p w14:paraId="1A931B44" w14:textId="77777777" w:rsidR="00B04730" w:rsidRPr="008E0CBB" w:rsidRDefault="00B04730" w:rsidP="00B04730">
      <w:pPr>
        <w:pStyle w:val="Normal12a"/>
        <w:rPr>
          <w:i/>
          <w:iCs/>
        </w:rPr>
      </w:pPr>
      <w:r w:rsidRPr="008E0CBB">
        <w:rPr>
          <w:b/>
          <w:i/>
        </w:rPr>
        <w:t xml:space="preserve">V dalis. Europos sienų ir pakrančių apsaugos agentūros 2024 finansinių metų biudžeto įvykdymo patvirtinimas </w:t>
      </w:r>
    </w:p>
    <w:p w14:paraId="1889CEAE" w14:textId="77777777" w:rsidR="00B04730" w:rsidRPr="008E0CBB" w:rsidRDefault="00B04730" w:rsidP="00B04730">
      <w:pPr>
        <w:pStyle w:val="NormalHanging12a"/>
        <w:ind w:left="709" w:hanging="709"/>
        <w:rPr>
          <w:szCs w:val="24"/>
        </w:rPr>
      </w:pPr>
      <w:r w:rsidRPr="008E0CBB">
        <w:t>33.</w:t>
      </w:r>
      <w:r w:rsidRPr="008E0CBB">
        <w:tab/>
        <w:t>primena, kad agentūros biudžetas padidėjo nuo 118 mln. EUR 2011 m. iki 922 mln. EUR 2024 m. dėl peržiūrėtų įgaliojimų ir laikantis šiuo laikotarpiu priimtų sprendimų dėl biudžeto; pažymi, kad išplėtus kompetenciją ir padidinus biudžetą turi būti užtikrinta atskaitomybė ir skaidrumas, kartu garantuojant visapusišką agentūros veiklos pajėgumą veiksmingai vykdyti savo įgaliojimus, įskaitant pagarbą pagrindinėms teisėms;</w:t>
      </w:r>
    </w:p>
    <w:p w14:paraId="79CAADEB" w14:textId="77777777" w:rsidR="00B04730" w:rsidRPr="008E0CBB" w:rsidRDefault="00B04730" w:rsidP="00B04730">
      <w:pPr>
        <w:pStyle w:val="Normal12a"/>
        <w:ind w:left="720" w:hanging="720"/>
      </w:pPr>
      <w:r w:rsidRPr="008E0CBB">
        <w:lastRenderedPageBreak/>
        <w:t>34.</w:t>
      </w:r>
      <w:r w:rsidRPr="008E0CBB">
        <w:tab/>
        <w:t>pripažįsta, kad 2024 m. Europos sienų ir pakrančių apsaugos agentūra (FRONTEX) ėmėsi svarbių veiksmų, kad suderintų savo strateginę kryptį ir operatyvinius pajėgumus su Migracijos ir prieglobsčio paktu, vykdydama vidaus veiksmų planą, skirtą padėti valstybėms narėms įgyvendinti paktą, prisidėdama prie ES pasirengimo su migracija susijusioms krizėms ir jų valdymo mechanizmo (Migracinės parengties ir migracijos krizių valdymo plano) ir priimdama 2024–2026 m. FRONTEX tarptautinio bendradarbiavimo strategiją;</w:t>
      </w:r>
    </w:p>
    <w:p w14:paraId="6F7EFFDD" w14:textId="77777777" w:rsidR="00B04730" w:rsidRPr="008E0CBB" w:rsidRDefault="00B04730" w:rsidP="00B04730">
      <w:pPr>
        <w:pStyle w:val="Normal12a"/>
        <w:ind w:left="720" w:hanging="720"/>
      </w:pPr>
      <w:r w:rsidRPr="008E0CBB">
        <w:t>35.</w:t>
      </w:r>
      <w:r w:rsidRPr="008E0CBB">
        <w:tab/>
        <w:t xml:space="preserve">teigiamai vertina tai, kad 2024 m. FRONTEX įgyvendino naują pavaldumo tvarką, kuria sudaromos sąlygos decentralizuotai priimti sprendimus ir greičiau reaguoti į naujus operatyvinius poreikius vietos lygmeniu; pripažįsta, kad naujasis organizacijos ir verslo modelis gali užtikrinti lankstesnį, </w:t>
      </w:r>
      <w:proofErr w:type="spellStart"/>
      <w:r w:rsidRPr="008E0CBB">
        <w:t>pritaikomesnį</w:t>
      </w:r>
      <w:proofErr w:type="spellEnd"/>
      <w:r w:rsidRPr="008E0CBB">
        <w:t xml:space="preserve"> ir ekonomiškai efektyvesnį operacijų valdymą, palyginti su ankstesne sistema; ragina agentūrą atlikti naujų priemonių lyginamąją analizę, nustatyti kiekybinius ir kokybinius tikslus ir teikti pažangos ataskaitas; be to, palankiai vertina tai, kad priimta 2024 m. strateginė rizikos analizė;</w:t>
      </w:r>
    </w:p>
    <w:p w14:paraId="762AA5E9" w14:textId="77777777" w:rsidR="00B04730" w:rsidRPr="008E0CBB" w:rsidRDefault="00B04730" w:rsidP="00B04730">
      <w:pPr>
        <w:pStyle w:val="Normal12a"/>
        <w:ind w:left="720" w:hanging="720"/>
      </w:pPr>
      <w:r w:rsidRPr="008E0CBB">
        <w:t>36.</w:t>
      </w:r>
      <w:r w:rsidRPr="008E0CBB">
        <w:tab/>
        <w:t xml:space="preserve">be to, palankiai vertina tai, kad FRONTEX taip pat išplėtė partnerystę su Europos Sąjungos patariamąja misija civilinio saugumo sektoriaus reformos srityje Ukrainoje (EUAM </w:t>
      </w:r>
      <w:proofErr w:type="spellStart"/>
      <w:r w:rsidRPr="008E0CBB">
        <w:t>Ukraine</w:t>
      </w:r>
      <w:proofErr w:type="spellEnd"/>
      <w:r w:rsidRPr="008E0CBB">
        <w:t>), stiprindama integruotą sienų valdymą ir saugumą prie ES ir Ukrainos sienos vykstant konfliktui;</w:t>
      </w:r>
    </w:p>
    <w:p w14:paraId="5D2BD9BF" w14:textId="77777777" w:rsidR="00B04730" w:rsidRPr="008E0CBB" w:rsidRDefault="00B04730" w:rsidP="00B04730">
      <w:pPr>
        <w:pStyle w:val="Normal12a"/>
        <w:ind w:left="720" w:hanging="720"/>
        <w:rPr>
          <w:bCs/>
          <w:iCs/>
          <w:szCs w:val="24"/>
        </w:rPr>
      </w:pPr>
      <w:r w:rsidRPr="008E0CBB">
        <w:t>37.</w:t>
      </w:r>
      <w:r w:rsidRPr="008E0CBB">
        <w:tab/>
        <w:t>akcentuoja pagrindinį FRONTEX vaidmenį apsaugant Sąjungos išorės sienas; pripažįsta agentūros vaidmenį vykdant paieškos ir gelbėjimo operacijas, kadangi jūrų ir oro ištekliai naudoti bendrose operacijose reaguojant į 1 599 incidentus ir suteikiant pagalbą 65 919 migrantų; pakartoja raginimą sukurti išsamią ES paieškos ir gelbėjimo misiją, kurią įgyvendintų kompetentingos valstybių narių institucijos ir FRONTEX;</w:t>
      </w:r>
    </w:p>
    <w:p w14:paraId="764D6932" w14:textId="77777777" w:rsidR="00B04730" w:rsidRPr="008E0CBB" w:rsidRDefault="00B04730" w:rsidP="00B04730">
      <w:pPr>
        <w:pStyle w:val="NormalHanging12a"/>
        <w:tabs>
          <w:tab w:val="left" w:pos="567"/>
        </w:tabs>
        <w:ind w:left="709" w:hanging="709"/>
        <w:rPr>
          <w:szCs w:val="24"/>
        </w:rPr>
      </w:pPr>
      <w:r w:rsidRPr="008E0CBB">
        <w:t>38.</w:t>
      </w:r>
      <w:r w:rsidRPr="008E0CBB">
        <w:tab/>
        <w:t>palankiai vertina tai, kad FRONTEX ėmėsi aktyvių tolesnių veiksmų dėl skundų, susijusių su pagrindinėmis teisėmis; pabrėžia glaudaus bendradarbiavimo su nacionalinėmis valdžios institucijomis svarbą siekiant užtikrinti tinkamus tolesnius veiksmus dėl įtariamų pagrindinių teisių pažeidimų pagal nacionalinius mechanizmus;</w:t>
      </w:r>
      <w:r w:rsidRPr="008E0CBB">
        <w:rPr>
          <w:b/>
          <w:i/>
        </w:rPr>
        <w:t xml:space="preserve"> </w:t>
      </w:r>
      <w:r w:rsidRPr="008E0CBB">
        <w:t>vis dėlto rekomenduoja patobulinti skundų nagrinėjimo tvarką, kad ji būtų veiksmingesnė, nes kai kurie su pagrindinėmis teisėmis susiję skundai vis dar atmetami kaip nepriimtini; pažymi, kad, siekiant palengvinti vykdomojo direktoriaus sprendimų priėmimo procesą, 2022 m. rugsėjo 27 d. įsteigta 46 straipsnio darbo grupė savo darbą baigė 2024 m. rugsėjo 22 d.; pabrėžia, kad FRONTEX pareigūnai turi vengti dalyvauti veiksmuose, kurie galėtų tiesiogiai ar netiesiogiai pažeisti pagrindines teises; palankiai vertina sustiprintą FRONTEX įsipareigojimą užtikrinti skaidrumą ir atskaitomybę; pabrėžia, kad būtina pateikti išsamesnę informaciją, kai operacinė veikla baigta;</w:t>
      </w:r>
    </w:p>
    <w:p w14:paraId="12C9AA30" w14:textId="77777777" w:rsidR="00B04730" w:rsidRPr="008E0CBB" w:rsidRDefault="00B04730" w:rsidP="00B04730">
      <w:pPr>
        <w:pStyle w:val="NormalHanging12a"/>
        <w:ind w:left="709" w:hanging="709"/>
        <w:rPr>
          <w:bCs/>
          <w:iCs/>
          <w:szCs w:val="24"/>
        </w:rPr>
      </w:pPr>
      <w:r w:rsidRPr="008E0CBB">
        <w:t>39.</w:t>
      </w:r>
      <w:r w:rsidRPr="008E0CBB">
        <w:tab/>
        <w:t>palankiai vertina tai, kad įsteigta Pagrindinių teisių laikymosi komisija, taip patvirtinant, kad pagrindinių teisių laikymasis vykdant visą FRONTEX veiklą yra bendra visos agentūros atsakomybė, ir pripažįsta pažangą, padarytą įgyvendinant pagrindinių teisių veiksmų planą;</w:t>
      </w:r>
    </w:p>
    <w:p w14:paraId="5D92B333" w14:textId="77777777" w:rsidR="00B04730" w:rsidRPr="008E0CBB" w:rsidRDefault="00B04730" w:rsidP="00B04730">
      <w:pPr>
        <w:pStyle w:val="Normal12a"/>
        <w:ind w:left="720" w:hanging="720"/>
      </w:pPr>
      <w:r w:rsidRPr="008E0CBB">
        <w:t>40.</w:t>
      </w:r>
      <w:r w:rsidRPr="008E0CBB">
        <w:tab/>
        <w:t xml:space="preserve">pripažįsta, kad padaryta pažanga įgyvendinant pagrindinių teisių veiksmų planą, ir ragina FRONTEX toliau aktyviai stengtis įtraukti nacionalines valdžios institucijas į </w:t>
      </w:r>
      <w:r w:rsidRPr="008E0CBB">
        <w:lastRenderedPageBreak/>
        <w:t>įgyvendinimo ir reguliaraus padėties vertinimo procesą, atsižvelgiant į jo svarbą visiems Europos sienų ir pakrančių apsaugos pajėgų (EBCG) komponentams;</w:t>
      </w:r>
    </w:p>
    <w:p w14:paraId="5FF19B78" w14:textId="77777777" w:rsidR="00B04730" w:rsidRPr="008E0CBB" w:rsidRDefault="00B04730" w:rsidP="00B04730">
      <w:pPr>
        <w:pStyle w:val="NormalHanging12a"/>
        <w:ind w:left="709" w:hanging="709"/>
        <w:rPr>
          <w:szCs w:val="24"/>
        </w:rPr>
      </w:pPr>
      <w:r w:rsidRPr="008E0CBB">
        <w:t>41.</w:t>
      </w:r>
      <w:r w:rsidRPr="008E0CBB">
        <w:tab/>
        <w:t>pažymi, kad 85,3 proc. užimtumo lygis (2 773 užimti etatai) buvo mažesnis už numatytą 93 proc. lygį, ir ragina FRONTEX toliau stengtis įdarbinti personalą, kad būtų kuo greičiau sumažintas laisvų darbo vietų rodiklis; primygtinai ragina agentūrą toliau dėti pastangas siekiant geografinės ir lyčių pusiausvyros;</w:t>
      </w:r>
    </w:p>
    <w:p w14:paraId="52E632AB" w14:textId="77777777" w:rsidR="00B04730" w:rsidRPr="008E0CBB" w:rsidRDefault="00B04730" w:rsidP="00B04730">
      <w:pPr>
        <w:pStyle w:val="NormalHanging12a"/>
        <w:ind w:left="709" w:hanging="709"/>
        <w:rPr>
          <w:szCs w:val="24"/>
        </w:rPr>
      </w:pPr>
      <w:r w:rsidRPr="008E0CBB">
        <w:t>42.</w:t>
      </w:r>
      <w:r w:rsidRPr="008E0CBB">
        <w:tab/>
        <w:t>palankiai vertina tai, kad užbaigta konkurso procedūra dėl Suklastotų ir autentiškų dokumentų internete sistemos (FADO) įgyvendinimo, atrinktas rangovas, pasirašyta sutartis ir prasidėjo įgyvendinimo etapas; tačiau apgailestauja dėl to, kad vėluojama įgyvendinti FADO sistemą, nes FADO reglamentas įsigaliojo jau 2020 m. balandžio mėn., ragina FRONTEX visapusiškai įgyvendinti FADO sistemą;</w:t>
      </w:r>
    </w:p>
    <w:p w14:paraId="6432AF6C" w14:textId="77777777" w:rsidR="00B04730" w:rsidRPr="008E0CBB" w:rsidRDefault="00B04730" w:rsidP="00B04730">
      <w:pPr>
        <w:pStyle w:val="NormalHanging12a"/>
        <w:rPr>
          <w:bCs/>
          <w:iCs/>
          <w:szCs w:val="24"/>
        </w:rPr>
      </w:pPr>
      <w:r w:rsidRPr="008E0CBB">
        <w:t>43.</w:t>
      </w:r>
      <w:r w:rsidRPr="008E0CBB">
        <w:tab/>
        <w:t>atkreipia dėmesį į padidėjusį FRONTEX vaidmenį trečiosiose šalyse, visų pirma sudarant ir atnaujinant keletą susitarimų dėl statuso ir darbo susitarimų, taip pat didinant politinį įsipareigojimą; pabrėžia, kad vykdant veiklą, kurioje dalyvauja ES nepriklausančios šalys, reikia atidžiai apsvarstyti įsipareigojimus proporcingumo ir pagrindinių teisių srityje, atsižvelgiant į įvairią veiklos aplinką;</w:t>
      </w:r>
    </w:p>
    <w:p w14:paraId="0780B242" w14:textId="77777777" w:rsidR="00B04730" w:rsidRPr="008E0CBB" w:rsidRDefault="00B04730" w:rsidP="00B04730">
      <w:pPr>
        <w:pStyle w:val="NormalHanging12a"/>
        <w:rPr>
          <w:bCs/>
          <w:iCs/>
          <w:szCs w:val="24"/>
        </w:rPr>
      </w:pPr>
      <w:r w:rsidRPr="008E0CBB">
        <w:t>44.</w:t>
      </w:r>
      <w:r w:rsidRPr="008E0CBB">
        <w:tab/>
        <w:t xml:space="preserve">atkreipia dėmesį į tai, kad šiuo metu įgyvendinamos trys Europos kovos su sukčiavimu tarnybos (OLAF) finansinės rekomendacijos ir Europos ombudsmeno rekomendacijos, kurių įgyvendinimo terminas yra 2025 m. gegužės mėn.; primygtinai ragina FRONTEX toliau nedelsiant užtikrinti, kad būtų visapusiškai įgyvendintos visos rekomendacijos, pateiktos Europos audito ir tikrinimo įstaigų, visų pirma OLAF ir Europos Parlamento FRONTEX patikros darbo grupės, Europos ombudsmeno, Audito Rūmų ir FRONTEX darbo grupės pagrindinių teisių ir operacijų teisinių operatyvinių aspektų klausimais; su pasitenkinimu pažymi, kad nuo 2023 m. gruodžio mėn. nėra neišspręstų bylų, susijusių su FRONTEX patikros darbo grupės rekomendacijomis, t. y., 39 rekomendacijos buvo įgyvendintos, o 3 rekomendacijų įgyvendinimas buvo nutrauktas dėl jų neįgyvendinamumo; be to, 2024 m. spalio mėn. duomenimis, nėra jokių nebaigtų veiksmų, susijusių su OLAF ataskaita, nes įgyvendinta 100 proc. veiksmų; prašo Komisijos užtikrinti, kad OLAF ir Europos prokuratūros išvados dėl FRONTEX būtų įgyvendinamos pagal aiškius įgyvendinimo terminus ir, prireikus, būtų taikomos drausminės priemonės; ragina Europos Komisiją savo pasiūlyme dėl naujo reglamento atsižvelgti į visų minėtų ataskaitų su teisėkūra ir valdymu susijusias rekomendacijas; </w:t>
      </w:r>
    </w:p>
    <w:p w14:paraId="6F43304B" w14:textId="77777777" w:rsidR="00B04730" w:rsidRPr="008E0CBB" w:rsidRDefault="00B04730" w:rsidP="00B04730">
      <w:pPr>
        <w:pStyle w:val="NormalHanging12a"/>
        <w:rPr>
          <w:bCs/>
          <w:iCs/>
        </w:rPr>
      </w:pPr>
      <w:r w:rsidRPr="008E0CBB">
        <w:t>45.</w:t>
      </w:r>
      <w:r w:rsidRPr="008E0CBB">
        <w:tab/>
        <w:t>pažymi, kad 2024 m. pagrindinių teisių pareigūnas vietoje stebėdamas FRONTEX veiklą 24 šalyse praleido apie 1 850 dienų, t. y. daugiau nei 10 proc., palyginti su ankstesniais metais; atkreipia dėmesį į tai, kad pagrindinių teisių pareigūnas pastebėjo, kad pagerėjo prieiga prie operacijų rajonų, veiklos ir dokumentų; vis dėlto pabrėžia, kad pagrindinių teisių pareigūnas ir toliau pranešė apie prieigos prie operacijų rajonų ar veiklos apribojimus; ragina valstybes nares ir trečiąsias šalis suteikti pagrindinių teisių pareigūnui visapusišką prieigą prie operacijų rajonų ir veiklos; primygtinai ragina FRONTEX nedelsiant užtikrinti tokią visapusišką prieigą, nes tai yra dalyvavimo bendroje operacijoje sąlyga;</w:t>
      </w:r>
    </w:p>
    <w:p w14:paraId="7FA08E6D" w14:textId="77777777" w:rsidR="00B04730" w:rsidRPr="008E0CBB" w:rsidRDefault="00B04730" w:rsidP="00B04730">
      <w:pPr>
        <w:pStyle w:val="Normal12a"/>
        <w:rPr>
          <w:b/>
          <w:bCs/>
          <w:i/>
          <w:iCs/>
        </w:rPr>
      </w:pPr>
      <w:r w:rsidRPr="008E0CBB">
        <w:rPr>
          <w:b/>
          <w:i/>
        </w:rPr>
        <w:t>VI dalis. Europos Sąjungos teisėsaugos mokymo agentūros 2024 finansinių metų biudžeto įvykdymo patvirtinimas</w:t>
      </w:r>
    </w:p>
    <w:p w14:paraId="4D84DC11" w14:textId="77777777" w:rsidR="00B04730" w:rsidRPr="008E0CBB" w:rsidRDefault="00B04730" w:rsidP="00B04730">
      <w:pPr>
        <w:pStyle w:val="Normal12a"/>
        <w:ind w:left="720" w:hanging="720"/>
      </w:pPr>
      <w:r w:rsidRPr="008E0CBB">
        <w:lastRenderedPageBreak/>
        <w:t>46.</w:t>
      </w:r>
      <w:r w:rsidRPr="008E0CBB">
        <w:tab/>
        <w:t>pažymi, kad 2024 m. Europos Sąjungos teisėsaugos mokymo agentūros (CEPOL) veiklos biudžetas siekė 12 589 437 EUR ir buvo 12,3 proc. didesnis, palyginti su galutiniu 2023 m. biudžetu; palankiai vertina tai, kad 2024 m. CEPOL įsipareigojimų asignavimų panaudojimo lygis buvo 100 proc., t. y. trečius metus iš eilės pasiektas visiškas įgyvendinimas;</w:t>
      </w:r>
    </w:p>
    <w:p w14:paraId="7CFB4460" w14:textId="77777777" w:rsidR="00B04730" w:rsidRPr="008E0CBB" w:rsidRDefault="00B04730" w:rsidP="00B04730">
      <w:pPr>
        <w:pStyle w:val="Normal12a"/>
        <w:ind w:left="720" w:hanging="720"/>
      </w:pPr>
      <w:r w:rsidRPr="008E0CBB">
        <w:t>47.</w:t>
      </w:r>
      <w:r w:rsidRPr="008E0CBB">
        <w:tab/>
        <w:t xml:space="preserve">atkreipia dėmesį į tai, kad CEPOL siūlo išsamų mokymų portfelį, apimantį visas Europos kovos su nusikalstamumo grėsmėmis </w:t>
      </w:r>
      <w:proofErr w:type="spellStart"/>
      <w:r w:rsidRPr="008E0CBB">
        <w:t>daugiadalykės</w:t>
      </w:r>
      <w:proofErr w:type="spellEnd"/>
      <w:r w:rsidRPr="008E0CBB">
        <w:t xml:space="preserve"> platformos (EMPACT) sritis; pažymi, kad EMPACT temos ir elektroniniai nusikaltimai buvo populiariausios temos ir jos 2024 m. pritraukė beveik 64 proc. visų mokymų dalyvių; giria CEPOL už tai, kad agentūros produktų kokybė, vertinama pagal klientų pasitenkinimo lygį, 2024 m. išliko aukšta – iš viso 97 proc. dalyvių teigė, kad jie buvo labai patenkinti arba patenkinti veikla;</w:t>
      </w:r>
    </w:p>
    <w:p w14:paraId="4E7B0CA9" w14:textId="77777777" w:rsidR="00B04730" w:rsidRPr="008E0CBB" w:rsidRDefault="00B04730" w:rsidP="00B04730">
      <w:pPr>
        <w:pStyle w:val="Normal12a"/>
        <w:ind w:left="720" w:hanging="720"/>
      </w:pPr>
      <w:r w:rsidRPr="008E0CBB">
        <w:t>48.</w:t>
      </w:r>
      <w:r w:rsidRPr="008E0CBB">
        <w:tab/>
        <w:t>pripažįsta, kad 2024 m. gegužės 30 d. agentūra patyrė masinį kibernetinį išpuolį ir laikoma, kad jos IRT infrastruktūra būstinės patalpose, taip pat e. mokymosi platforma „</w:t>
      </w:r>
      <w:proofErr w:type="spellStart"/>
      <w:r w:rsidRPr="008E0CBB">
        <w:t>LEEd</w:t>
      </w:r>
      <w:proofErr w:type="spellEnd"/>
      <w:r w:rsidRPr="008E0CBB">
        <w:t>“ buvo visiškai užvaldytos; palankiai vertina koordinuotą požiūrį, kurio agentūra laikosi glaudžiai bendradarbiaudama su Sąjungos institucijų, įstaigų, organų ir agentūrų kibernetinio saugumo tarnyba (CERT-EU) ir Komisija naujos ir saugios IT infrastruktūros kūrimo klausimu; pažymi, kad CEPOL gavo papildomą 1 153 938 EUR finansavimą, skirtą papildomoms išlaidoms IT srityje (1 064 000 EUR) ir atlyginimų padidinimui (89 938 EUR) padengti;</w:t>
      </w:r>
    </w:p>
    <w:p w14:paraId="61A19DE9" w14:textId="77777777" w:rsidR="00B04730" w:rsidRPr="008E0CBB" w:rsidRDefault="00B04730" w:rsidP="00B04730">
      <w:pPr>
        <w:pStyle w:val="Normal12a"/>
        <w:ind w:left="720" w:hanging="720"/>
      </w:pPr>
      <w:r w:rsidRPr="008E0CBB">
        <w:t>49.</w:t>
      </w:r>
      <w:r w:rsidRPr="008E0CBB">
        <w:tab/>
        <w:t>pripažįsta, kad dėl kibernetinio išpuolio labai sumažėjo apmokytų ES valstybių narių teisėsaugos pareigūnų pasiekiamumas; pripažįsta, kad, nepaisant kibernetinio išpuolio, 2024 m. agentūra suorganizavo 350 renginių, kuriuose dalyvavo apie 21 600 dalyvių, o 2023 m. buvo surengta 490 renginių (29 proc. mažiau) ir dalyvių skaičius buvo 46 431 (54 proc. mažiau);</w:t>
      </w:r>
    </w:p>
    <w:p w14:paraId="1033F0C7" w14:textId="77777777" w:rsidR="00B04730" w:rsidRPr="008E0CBB" w:rsidRDefault="00B04730" w:rsidP="00B04730">
      <w:pPr>
        <w:pStyle w:val="NormalHanging12a"/>
        <w:ind w:left="709" w:hanging="709"/>
        <w:rPr>
          <w:szCs w:val="24"/>
        </w:rPr>
      </w:pPr>
      <w:r w:rsidRPr="008E0CBB">
        <w:t>50.</w:t>
      </w:r>
      <w:r w:rsidRPr="008E0CBB">
        <w:tab/>
        <w:t>pažymi, kad, nors Sąjungos institucijų, įstaigų, organų ir agentūrų kibernetinio saugumo tarnyba (CERT-EU) užbaigė kibernetinio išpuolio tyrimą, šiuo metu vykdomas Vengrijos teisėsaugos institucijų pradėtas nusikalstamos veikos tyrimas, kurį remia Europolas; pabrėžia, kad Europos Parlamentas tikisi gauti informaciją apie tyrimo rezultatus;</w:t>
      </w:r>
    </w:p>
    <w:p w14:paraId="33A8C2CF" w14:textId="77777777" w:rsidR="00B04730" w:rsidRPr="008E0CBB" w:rsidRDefault="00B04730" w:rsidP="00B04730">
      <w:pPr>
        <w:pStyle w:val="Normal12a"/>
        <w:ind w:left="720" w:hanging="720"/>
      </w:pPr>
      <w:r w:rsidRPr="008E0CBB">
        <w:t>51.</w:t>
      </w:r>
      <w:r w:rsidRPr="008E0CBB">
        <w:tab/>
        <w:t>palankiai vertina tai, kad CEPOL toliau teikė su kibernetine sritimi susijusius mokymus per CEPOL kovos su elektroniniais nusikaltimais akademiją; palankiai vertina tai, kad vykdant specialią mokymo veiklą pagerėjo žinios apie kibernetinius nusikaltimus ir kibernetiniai pajėgumai Europoje kovos su seksualiniu vaikų išnaudojimu, sukčiavimo internete schemų ir kibernetinių išpuolių srityse;</w:t>
      </w:r>
    </w:p>
    <w:p w14:paraId="6C4641BC" w14:textId="77777777" w:rsidR="00B04730" w:rsidRPr="008E0CBB" w:rsidRDefault="00B04730" w:rsidP="00B04730">
      <w:pPr>
        <w:pStyle w:val="Normal12a"/>
        <w:ind w:left="720" w:hanging="720"/>
      </w:pPr>
      <w:r w:rsidRPr="008E0CBB">
        <w:t>52.</w:t>
      </w:r>
      <w:r w:rsidRPr="008E0CBB">
        <w:tab/>
        <w:t>apgailestaudamas pažymi, kad mokymų veikla pagrindinių teisių srityje 2024 m. sumažėjo (vykdyta 10 renginių, 427 dalyviai), palyginti su 2023 m. (19 renginių, 2 063 dalyviai); pabrėžia, kad pagrindinis CEPOL tikslas – remti, plėtoti, įgyvendinti ir koordinuoti teisėsaugos pareigūnų mokymą, ypatingą dėmesį skiriant žmogaus teisių ir pagrindinių laisvių apsaugai teisėsaugos srityje;</w:t>
      </w:r>
    </w:p>
    <w:p w14:paraId="5E54AE86" w14:textId="77777777" w:rsidR="00B04730" w:rsidRPr="008E0CBB" w:rsidRDefault="00B04730" w:rsidP="00B04730">
      <w:pPr>
        <w:pStyle w:val="Normal12a"/>
        <w:rPr>
          <w:b/>
          <w:bCs/>
          <w:i/>
          <w:iCs/>
        </w:rPr>
      </w:pPr>
      <w:r w:rsidRPr="008E0CBB">
        <w:rPr>
          <w:b/>
          <w:i/>
        </w:rPr>
        <w:t>VII dalis. Europos Sąjungos narkotikų agentūros 2024 finansinių metų biudžeto įvykdymo patvirtinimas</w:t>
      </w:r>
    </w:p>
    <w:p w14:paraId="71B833CD" w14:textId="77777777" w:rsidR="00B04730" w:rsidRPr="008E0CBB" w:rsidRDefault="00B04730" w:rsidP="00B04730">
      <w:pPr>
        <w:pStyle w:val="Normal12a"/>
        <w:ind w:left="720" w:hanging="720"/>
      </w:pPr>
      <w:r w:rsidRPr="008E0CBB">
        <w:lastRenderedPageBreak/>
        <w:t>53.</w:t>
      </w:r>
      <w:r w:rsidRPr="008E0CBB">
        <w:tab/>
        <w:t>pažymi, kad 2024 m. liepos 2 d. naujoji Europos Sąjungos narkotikų agentūra (EUDA) oficialiai pakeitė Europos narkotikų ir narkomanijos stebėsenos centrą; primena, kad EUDA reglamentu siekiama kovoti su narkotikų reiškiniu laikantis holistinio ir įrodymais grindžiamo požiūrio;</w:t>
      </w:r>
    </w:p>
    <w:p w14:paraId="42A8399B" w14:textId="77777777" w:rsidR="00B04730" w:rsidRPr="008E0CBB" w:rsidRDefault="00B04730" w:rsidP="00B04730">
      <w:pPr>
        <w:pStyle w:val="Normal12a"/>
        <w:ind w:left="720" w:hanging="720"/>
      </w:pPr>
      <w:r w:rsidRPr="008E0CBB">
        <w:t>54.</w:t>
      </w:r>
      <w:r w:rsidRPr="008E0CBB">
        <w:tab/>
        <w:t>pažymi, kad tam, EUDA galėtų vykdyti naujas užduotis, 2024 m. jos metinis biudžetas padidėjo daugiau kaip 80 proc. ir įdarbinti darbuotojai, užėmę 28 naujus etatus; ragina EUDA užtikrinti, kad nauji įgaliojimai būtų visapusiškai vykdomi;</w:t>
      </w:r>
    </w:p>
    <w:p w14:paraId="4AB6CC25" w14:textId="77777777" w:rsidR="00B04730" w:rsidRPr="008E0CBB" w:rsidRDefault="00B04730" w:rsidP="00B04730">
      <w:pPr>
        <w:pStyle w:val="Normal12a"/>
        <w:ind w:left="720" w:hanging="720"/>
      </w:pPr>
      <w:r w:rsidRPr="008E0CBB">
        <w:t>55.</w:t>
      </w:r>
      <w:r w:rsidRPr="008E0CBB">
        <w:tab/>
        <w:t>pažymi, kad 2024 m. EUDA veiklos biudžetas sudarė 32 723 728 EUR; palankiai vertina tai, kad 2024 m. EUDA įsipareigojimų asignavimų panaudojimo lygis buvo 100 proc.; tačiau susirūpinęs pažymi, kad 2024 m. panaikintų mokėjimų asignavimų lygis siekė 10,49 proc., t. y. panaikinta 3 401 035 EUR suma; pripažįsta, kad šį asignavimų panaikinimo lygį lėmė suvaržymai, turėję įtakos EUDA gebėjimui naudoti savo 2024 m. biudžetą iki agentūros naujų įgaliojimų vykdymo pradžios, t. y. 2024 m. liepos 2 d.;</w:t>
      </w:r>
    </w:p>
    <w:p w14:paraId="61C2834D" w14:textId="77777777" w:rsidR="00B04730" w:rsidRPr="008E0CBB" w:rsidRDefault="00B04730" w:rsidP="00B04730">
      <w:pPr>
        <w:pStyle w:val="Normal12a"/>
        <w:ind w:left="720" w:hanging="720"/>
      </w:pPr>
      <w:r w:rsidRPr="008E0CBB">
        <w:t>56.</w:t>
      </w:r>
      <w:r w:rsidRPr="008E0CBB">
        <w:tab/>
        <w:t>palankiai vertina EUDA indėlį plėtojant EMPACT ir kovos su organizuotu ir sunkių formų tarptautiniu nusikalstamumu ES politikos ciklo operatyvinių veiksmų planus; palankiai vertina tai, kad sukurta Europos pranešimų apie narkotikus sistema (EDAS), kurią pasitelkiant skelbiami pranešimai, kai rinkoje atsiranda didelė su narkotikais susijusi rizika; palankiai vertina tai, kad įsteigtas Europos teismo ekspertizės ir toksikologijos laboratorijų tinklas ir Europos grėsmių vertinimo sistema (ETAS);</w:t>
      </w:r>
    </w:p>
    <w:p w14:paraId="7E341555" w14:textId="77777777" w:rsidR="00B04730" w:rsidRPr="008E0CBB" w:rsidRDefault="00B04730" w:rsidP="00B04730">
      <w:pPr>
        <w:pStyle w:val="Normal12a"/>
        <w:ind w:left="720" w:hanging="720"/>
      </w:pPr>
      <w:r w:rsidRPr="008E0CBB">
        <w:t>57.</w:t>
      </w:r>
      <w:r w:rsidRPr="008E0CBB">
        <w:tab/>
        <w:t>palankiai vertina nuolatines EUDA pastangas įgyvendinti ES ankstyvojo perspėjimo sistemą, bendradarbiaujant su partneriais valstybėse narėse; pažymi, kad pranešta apie 47 naujas psichoaktyviąsias medžiagas ir kad bendras šiuo metu stebimų naujų psichoaktyviųjų medžiagų skaičius yra apie 1 000; palankiai vertina agentūros paskelbtas technines ataskaitas;</w:t>
      </w:r>
    </w:p>
    <w:p w14:paraId="2F236174" w14:textId="77777777" w:rsidR="00B04730" w:rsidRPr="008E0CBB" w:rsidRDefault="00B04730" w:rsidP="00B04730">
      <w:pPr>
        <w:pStyle w:val="Normal12a"/>
        <w:ind w:left="720" w:hanging="720"/>
      </w:pPr>
      <w:r w:rsidRPr="008E0CBB">
        <w:t>58.</w:t>
      </w:r>
      <w:r w:rsidRPr="008E0CBB">
        <w:tab/>
        <w:t>atkreipia dėmesį į tai, kad 2024 m. EUDA parengė 33 mokslines ir institucines publikacijas, taip pat buvo 16 mokslinių straipsnių ir knygų skyrių autorė ar bendraautorė, ir vertina agentūros suteiktas mokslines ir įrodymais pagrįstas ekspertines žinias;</w:t>
      </w:r>
    </w:p>
    <w:p w14:paraId="7B5E777A" w14:textId="77777777" w:rsidR="00B04730" w:rsidRPr="008E0CBB" w:rsidRDefault="00B04730" w:rsidP="00B04730">
      <w:pPr>
        <w:pStyle w:val="Normal12a"/>
        <w:ind w:left="720" w:hanging="720"/>
      </w:pPr>
      <w:r w:rsidRPr="008E0CBB">
        <w:t>59.</w:t>
      </w:r>
      <w:r w:rsidRPr="008E0CBB">
        <w:tab/>
        <w:t>palankiai vertina tai, kad paskelbta 2024 m. Europos narkotikų vartojimo paplitimo ataskaita ir joje daugiausia dėmesio skiriama stiprioms sintetinėms medžiagoms, naujiems narkotikų mišiniams ir kintantiems vartojimo įpročiams;</w:t>
      </w:r>
    </w:p>
    <w:p w14:paraId="721A8970" w14:textId="77777777" w:rsidR="00B04730" w:rsidRPr="008E0CBB" w:rsidRDefault="00B04730" w:rsidP="00B04730">
      <w:pPr>
        <w:pStyle w:val="Normal12a"/>
        <w:ind w:left="720" w:hanging="720"/>
      </w:pPr>
      <w:r w:rsidRPr="008E0CBB">
        <w:t>60.</w:t>
      </w:r>
      <w:r w:rsidRPr="008E0CBB">
        <w:tab/>
        <w:t>su džiaugsmu pažymi, kad EUDA reguliariai teikė vertingą paramą ir informaciją apie narkotikų politiką nacionalinės politikos formuotojams ir koordinavo parengiamųjų mokslinių apžvalgų apie su narkotikais susijusią žalą, gydymą ir žalos mažinimo praktiką rengimą; pabrėžia, kad svarbu tęsti šį esminį darbą siekiant reaguoti į kintančias tendencijas ir iššūkius, ir ragina toliau stiprinti šią veiklą skatinant glaudesnį bendradarbiavimą su valstybėmis narėmis ir užtikrinant tinkamą tyrimų išvadų sklaidą platesnei auditorijai, įskaitant sveikatos priežiūros specialistus ir plačiąją visuomenę;</w:t>
      </w:r>
    </w:p>
    <w:p w14:paraId="7F179348" w14:textId="77777777" w:rsidR="00B04730" w:rsidRPr="008E0CBB" w:rsidRDefault="00B04730" w:rsidP="00B04730">
      <w:pPr>
        <w:pStyle w:val="Normal12a"/>
        <w:ind w:left="720" w:hanging="720"/>
      </w:pPr>
      <w:r w:rsidRPr="008E0CBB">
        <w:t>61.</w:t>
      </w:r>
      <w:r w:rsidRPr="008E0CBB">
        <w:tab/>
        <w:t xml:space="preserve">pabrėžia, kad EUDA surengė mokymus daugiau kaip 11 700 narkotikų srityje </w:t>
      </w:r>
      <w:r w:rsidRPr="008E0CBB">
        <w:lastRenderedPageBreak/>
        <w:t>dirbančių specialistų, įskaitant sveikatos priežiūros darbuotojus, teisėsaugos pareigūnus ir politikos formuotojus Sąjungoje ir už jos ribų, ir kad aštuoniuose EUDA surengtuose internetiniuose seminaruose dalyvavo apie 1 400 specialistų; palankiai vertina bendradarbiavimą su kitomis ES agentūromis;</w:t>
      </w:r>
    </w:p>
    <w:p w14:paraId="467A2C43" w14:textId="77777777" w:rsidR="00B04730" w:rsidRPr="008E0CBB" w:rsidRDefault="00B04730" w:rsidP="00B04730">
      <w:pPr>
        <w:pStyle w:val="Normal12a"/>
        <w:rPr>
          <w:b/>
          <w:bCs/>
          <w:i/>
          <w:iCs/>
        </w:rPr>
      </w:pPr>
      <w:r w:rsidRPr="008E0CBB">
        <w:rPr>
          <w:b/>
          <w:i/>
        </w:rPr>
        <w:t>VIII dalis. Europos Sąjungos teisėsaugos bendradarbiavimo agentūros 2024 finansinių metų biudžeto įvykdymo patvirtinimas</w:t>
      </w:r>
    </w:p>
    <w:p w14:paraId="5800F0F6" w14:textId="77777777" w:rsidR="00B04730" w:rsidRPr="008E0CBB" w:rsidRDefault="00B04730" w:rsidP="00B04730">
      <w:pPr>
        <w:pStyle w:val="Normal12a"/>
        <w:ind w:left="720" w:hanging="720"/>
      </w:pPr>
      <w:r w:rsidRPr="008E0CBB">
        <w:t>62.</w:t>
      </w:r>
      <w:r w:rsidRPr="008E0CBB">
        <w:tab/>
        <w:t>pabrėžia, kad 2024 m. Europos Sąjungos teisėsaugos bendradarbiavimo agentūra (Europolas) rėmė 3 324 operacijas, 65 operatyvines darbo grupes ir 432 veiksmų dienas; atkreipia dėmesį į agentūros, kaip ES kriminalinės informacijos centro, vaidmenį, nes Saugaus keitimosi informacija tinklo programa (SIENA) buvo naudojama keičiantis daugiau kaip 2 mln. pranešimų, o 2024 m. agentūra per tinklą priėmė 114 459 operatyvinius įnašus;</w:t>
      </w:r>
    </w:p>
    <w:p w14:paraId="3728F96A" w14:textId="77777777" w:rsidR="00B04730" w:rsidRPr="008E0CBB" w:rsidRDefault="00B04730" w:rsidP="00B04730">
      <w:pPr>
        <w:pStyle w:val="Normal12a"/>
        <w:ind w:left="720" w:hanging="720"/>
      </w:pPr>
      <w:r w:rsidRPr="008E0CBB">
        <w:t>63.</w:t>
      </w:r>
      <w:r w:rsidRPr="008E0CBB">
        <w:tab/>
        <w:t>taip pat pažymi, kad Europolas pateikė 366 operatyvinės analizės ataskaitas ir 29 strateginės analizės ataskaitas; palankiai vertina didelį suinteresuotųjų subjektų pasitenkinimą, kuris pareikštas arba nustatytas analitinių produktų atžvilgiu;</w:t>
      </w:r>
    </w:p>
    <w:p w14:paraId="39F52E80" w14:textId="77777777" w:rsidR="00B04730" w:rsidRPr="008E0CBB" w:rsidRDefault="00B04730" w:rsidP="00B04730">
      <w:pPr>
        <w:pStyle w:val="NormalHanging12a"/>
        <w:ind w:left="709" w:hanging="709"/>
        <w:rPr>
          <w:szCs w:val="24"/>
        </w:rPr>
      </w:pPr>
      <w:r w:rsidRPr="008E0CBB">
        <w:t>64.</w:t>
      </w:r>
      <w:r w:rsidRPr="008E0CBB">
        <w:tab/>
        <w:t>ragina Europolą įgyvendinti likusias Europos duomenų apsaugos priežiūros pareigūno (EDAPP) pateiktas rekomendacijas, visų pirma atsižvelgiant į jo priežiūros srities nuomones; pažymi, kad 2023 m. spalio mėn. EDAPP atliekant patikrinimą buvo nustatyta keletas trūkumų; be to, ragina Europolą skubiai įgyvendinti likusias 23 rekomendacijas, pateiktas siekiant užtikrinti arba pagerinti Europolo atitiktį duomenų apsaugos teisinei sistemai; pažymi, kad, Europolo manymu, apie 75 proc. rekomendacijų, daugiausia susijusių su VIS ir PNR duomenų tvarkymu, yra įgyvendintos;</w:t>
      </w:r>
    </w:p>
    <w:p w14:paraId="0E05B9EC" w14:textId="77777777" w:rsidR="00B04730" w:rsidRPr="008E0CBB" w:rsidRDefault="00B04730" w:rsidP="00B04730">
      <w:pPr>
        <w:pStyle w:val="NormalHanging12a"/>
        <w:ind w:left="709" w:hanging="709"/>
        <w:rPr>
          <w:bCs/>
          <w:iCs/>
          <w:szCs w:val="24"/>
        </w:rPr>
      </w:pPr>
      <w:r w:rsidRPr="008E0CBB">
        <w:t>65.</w:t>
      </w:r>
      <w:r w:rsidRPr="008E0CBB">
        <w:tab/>
        <w:t>atsižvelgdamas į 2024 m. FRONTEX pateiktą papeikimą, kuriame kalbama apie Europolo ir FRONTEX keitimąsi duomenimis, susijusiais su migrantais ir aktyvistais, neatlikus jokio tokio dalijimosi informacija būtinumo vertinimo, ragina Europolą ir FRONTEX glaudžiai bendradarbiauti su EDAPP siekiant užtikrinti, kad bet koks keitimasis tarpvalstybiniais nusikaltimais įtariamų asmenų asmens duomenimis atitiktų duomenų apsaugos taisykles ir atitinkamus agentūrų įgaliojimus, kartu sudarant joms sąlygas tinkamai atlikti tyrimus; šiuo požiūriu atkreipia dėmesį į Europolo pateiktą atnaujintą informaciją, kurioje pabrėžiama, kad nuo 2020 iki 2024 m. pabaigos Europolas pagal FRONTEX gautą informaciją per metus išnagrinėjo vidutiniškai 260 įtariamųjų bylų;</w:t>
      </w:r>
    </w:p>
    <w:p w14:paraId="0CBA48E9" w14:textId="77777777" w:rsidR="00B04730" w:rsidRPr="008E0CBB" w:rsidRDefault="00B04730" w:rsidP="00B04730">
      <w:pPr>
        <w:pStyle w:val="NormalHanging12a"/>
        <w:ind w:left="709" w:hanging="709"/>
        <w:rPr>
          <w:bCs/>
          <w:iCs/>
          <w:szCs w:val="24"/>
        </w:rPr>
      </w:pPr>
      <w:r w:rsidRPr="008E0CBB">
        <w:t>66.</w:t>
      </w:r>
      <w:r w:rsidRPr="008E0CBB">
        <w:tab/>
        <w:t>reiškia susirūpinimą dėl Europole įvykusio saugumo incidento, per kurį dingo kelių Europolo darbuotojų ir vadovybės atstovų administracinės personalo bylos; ragina agentūrą imtis atitinkamų priemonių, kad tokie incidentai nepasikartotų; atkreipia dėmesį į tai, kad po to, kai 2024 m. balandžio 9 d. Europolas LIBE komitetui pateikė informacinį pranešimą, nustatyta, kad už incidentą nebuvo atsakingas joks trečiasis asmuo, nedirbantis Europolui, taip pat imtasi papildomų priemonių, kad būtų laikomasi atsakomybės už incidentą ir sustiprinti procesai, o 98 proc. visų personalo bylų buvo suskaitmeninta;</w:t>
      </w:r>
    </w:p>
    <w:p w14:paraId="618BD2A2" w14:textId="77777777" w:rsidR="00B04730" w:rsidRPr="008E0CBB" w:rsidRDefault="00B04730" w:rsidP="00B04730">
      <w:pPr>
        <w:pStyle w:val="NormalHanging12a"/>
        <w:ind w:left="709" w:hanging="709"/>
        <w:rPr>
          <w:szCs w:val="24"/>
        </w:rPr>
      </w:pPr>
      <w:r w:rsidRPr="008E0CBB">
        <w:t>67.</w:t>
      </w:r>
      <w:r w:rsidRPr="008E0CBB">
        <w:tab/>
        <w:t xml:space="preserve">giria Europolą už pranešimą „Iššifruoti ES didžiausią grėsmę keliančių nusikaltėlių </w:t>
      </w:r>
      <w:r w:rsidRPr="008E0CBB">
        <w:lastRenderedPageBreak/>
        <w:t>tinklus“ – naują pavyzdinį produktą, kuriame aprašoma, kaip organizuojami didžiausią grėsmę keliantys nusikaltėlių tinklai, kokia nusikalstama veika jie užsiima, kaip ir kur jie veikia; palankiai vertina tai, kad neseniai įsteigta Europolo operatyvinė darbo grupė GRIMM, kurios tikslas – kovoti su jaunimo verbavimu organizuotam nusikalstamumui ir kovoti su atsirandančiu reiškiniu „smurtas kaip paslauga“; ragina Europolą ir valstybes nares toliau kurti tokias specialias operatyvines darbo grupes, kad būtų galima reaguoti į kintančias nusikalstamumo tendencijas pasitelkiant glaudesnį tarpvalstybinį bendradarbiavimą, dalijimąsi žvalgybos informacija ir prevencinius veiksmus;</w:t>
      </w:r>
    </w:p>
    <w:p w14:paraId="4C1C6F56" w14:textId="77777777" w:rsidR="00B04730" w:rsidRPr="008E0CBB" w:rsidRDefault="00B04730" w:rsidP="00B04730">
      <w:pPr>
        <w:pStyle w:val="NormalHanging12a"/>
        <w:ind w:left="709" w:hanging="709"/>
        <w:rPr>
          <w:bCs/>
          <w:iCs/>
          <w:szCs w:val="24"/>
        </w:rPr>
      </w:pPr>
      <w:r w:rsidRPr="008E0CBB">
        <w:t>68.</w:t>
      </w:r>
      <w:r w:rsidRPr="008E0CBB">
        <w:tab/>
        <w:t>palankiai vertina 2024 m. bendroje Europolo ir Eurojusto metinėje ataskaitoje išdėstytus rezultatus ir išsamų sėkmingo agentūrų bendradarbiavimo organizuoto nusikalstamumo, neteisėto migrantų gabenimo, finansinių ir ekonominių nusikaltimų, kibernetinių nusikaltimų, terorizmo ir sunkiausių tarptautinių nusikaltimų srityse aprašymą; mano, kad, siekiant padidinti skaidrumą, nuoseklumą ir tarpusavio mokymąsi visoje Sąjungos teisingumo ir vidaus reikalų struktūroje, visos susijusios ES agentūros, įskaitant Europolą, Eurojustą, CEPOL, OLAF, Europos prokuratūrą ir kt., turėtų reguliariai rengti bendrą metinę ataskaitą, kurioje būtų išdėstyti jų koordinuoti veiksmai, bendros operacijos ir tarpžinybiniai pasiekimai; su pasitenkinimu pažymi, kad Europolas ir Eurojustas toliau bendradarbiavo ir didino sinergiją, be kita ko, 2024 m. spalio 9 d. Eurojusto būstinėje surengdami bendrą Eurojusto kolegijos ir Europolo valdybos posėdį „Svarstymai dėl bendradarbiavimo“;</w:t>
      </w:r>
    </w:p>
    <w:p w14:paraId="79E811F4" w14:textId="77777777" w:rsidR="00B04730" w:rsidRPr="008E0CBB" w:rsidRDefault="00B04730" w:rsidP="00B04730">
      <w:pPr>
        <w:pStyle w:val="NormalHanging12a"/>
        <w:ind w:left="709" w:hanging="709"/>
      </w:pPr>
      <w:r w:rsidRPr="008E0CBB">
        <w:t>69.</w:t>
      </w:r>
      <w:r w:rsidRPr="008E0CBB">
        <w:tab/>
        <w:t>atkreipia dėmesį į tai, kad 2024 m. rugsėjo mėn. paskelbta agentūros ataskaita „Dirbtinis intelektas ir viešosios tvarkos palaikymas. Dirbtinio intelekto nauda ir iššūkiai teisėsaugai“; taip pat palankiai vertina joje pateiktas įžvalgas apie dabartinius ir būsimus dirbtinio intelekto pajėgumus, kuriais siekiama veiksmingesnio, adaptyvesniojo ir efektyvesnio teisėsaugos modelio, kartu pabrėžiant susirūpinimą dėl duomenų šališkumo, sąžiningumo ir galimų grėsmių privatumui, atskaitomybei ir žmogaus teisių apsaugai, taip pat diskriminacijos; ragina Europolą visapusiškai laikytis Dirbtinio intelekto akto nuostatų dėl teisėsaugos; ragina Europolą užtikrinti visišką EDAPP gairių įgyvendinimą šioje srityje, be kita ko, užtikrinant, kad būtų nustatyta ir vykdoma griežta nuo dirbtinio intelekto priklausomų procesų priežiūros politika, ir garantuota, kad prieš naudojant ar perduodant valstybėms narėms ar bendradarbiavimo partneriams visus dirbtinio intelekto sukurtus rezultatus būtų vykdoma jų žmogaus atliekama kontrolė;</w:t>
      </w:r>
    </w:p>
    <w:p w14:paraId="5705A411" w14:textId="77777777" w:rsidR="00B04730" w:rsidRPr="008E0CBB" w:rsidRDefault="00B04730" w:rsidP="00B04730">
      <w:pPr>
        <w:pStyle w:val="NormalHanging12a"/>
        <w:ind w:left="709" w:hanging="709"/>
        <w:rPr>
          <w:bCs/>
          <w:iCs/>
        </w:rPr>
        <w:sectPr w:rsidR="00B04730" w:rsidRPr="008E0CBB" w:rsidSect="00B0473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r w:rsidRPr="008E0CBB">
        <w:t>70.</w:t>
      </w:r>
      <w:r w:rsidRPr="008E0CBB">
        <w:tab/>
        <w:t>atkreipia dėmesį į ES ombudsmeno tyrimo išvadas dėl dviejų buvusių darbuotojų perkėlimo į pareigas, susijusias su kova su seksualine prievarta prieš vaikus internete; primena, kad Ombudsmeno tarnyba nustatė, jog būdas, kaip Europolas sprendė vieno darbuotojo perkėlimo klausimą, laikytinas netinkamu administravimu.</w:t>
      </w:r>
    </w:p>
    <w:bookmarkEnd w:id="2"/>
    <w:p w14:paraId="4ECD258A" w14:textId="77777777" w:rsidR="00B04730" w:rsidRPr="008E0CBB" w:rsidRDefault="00B04730" w:rsidP="00B04730">
      <w:pPr>
        <w:pStyle w:val="PageHeadingNotTOC"/>
      </w:pPr>
    </w:p>
    <w:p w14:paraId="2F2605DC" w14:textId="77777777" w:rsidR="00B04730" w:rsidRPr="008E0CBB" w:rsidRDefault="00B04730" w:rsidP="00B04730">
      <w:pPr>
        <w:pStyle w:val="PageHeadingNotTOC"/>
      </w:pPr>
      <w:r w:rsidRPr="008E0CBB">
        <w:t>PRIEDAS. GAUTOS INFORMACIJOS DEKLARACIJA</w:t>
      </w:r>
    </w:p>
    <w:p w14:paraId="60BBA3E2" w14:textId="77777777" w:rsidR="00B04730" w:rsidRPr="008E0CBB" w:rsidRDefault="00B04730" w:rsidP="00B04730">
      <w:pPr>
        <w:pStyle w:val="Normal24a"/>
      </w:pPr>
      <w:r w:rsidRPr="008E0CBB">
        <w:rPr>
          <w:rStyle w:val="HideTWBExt"/>
        </w:rPr>
        <w:t>&lt;FootprintIntro&gt;</w:t>
      </w:r>
      <w:r w:rsidRPr="008E0CBB">
        <w:t>Pagal Darbo tvarkos taisyklių I priedo 8 straipsnį nuomonės referentė pareiškia, kad į savo nuomonę įtraukė su dokumento dalyku susijusią informaciją, kurią, rengdama nuomonę, gavo iš toliau nurodytų interesų grupių atstovų, kuriems taikomas Tarpinstitucinis susitarimas dėl privalomo skaidrumo registro</w:t>
      </w:r>
      <w:r w:rsidRPr="008E0CBB">
        <w:rPr>
          <w:rStyle w:val="FootnoteReference"/>
        </w:rPr>
        <w:footnoteReference w:id="1"/>
      </w:r>
      <w:r w:rsidRPr="008E0CBB">
        <w:t>, arba trečiųjų šalių valdžios institucijų, įskaitant jų diplomatines atstovybes ir ambasadas, atstovų:</w:t>
      </w:r>
      <w:r w:rsidRPr="008E0CBB">
        <w:rPr>
          <w:rStyle w:val="HideTWBExt"/>
        </w:rPr>
        <w:t>&lt;/</w:t>
      </w:r>
      <w:proofErr w:type="spellStart"/>
      <w:r w:rsidRPr="008E0CBB">
        <w:rPr>
          <w:rStyle w:val="HideTWBExt"/>
        </w:rPr>
        <w:t>FootprintIntro</w:t>
      </w:r>
      <w:proofErr w:type="spellEnd"/>
      <w:r w:rsidRPr="008E0CBB">
        <w:rPr>
          <w:rStyle w:val="HideTWBExt"/>
        </w:rPr>
        <w:t>&gt;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04730" w:rsidRPr="008E0CBB" w14:paraId="04EE8358" w14:textId="77777777" w:rsidTr="00A5405C">
        <w:tc>
          <w:tcPr>
            <w:tcW w:w="9060" w:type="dxa"/>
            <w:shd w:val="clear" w:color="auto" w:fill="auto"/>
          </w:tcPr>
          <w:p w14:paraId="198B0293" w14:textId="77777777" w:rsidR="00B04730" w:rsidRPr="008E0CBB" w:rsidRDefault="00B04730" w:rsidP="00A5405C">
            <w:pPr>
              <w:pStyle w:val="NormalBoldCenter"/>
            </w:pPr>
            <w:r w:rsidRPr="008E0CBB">
              <w:t>1. Interesų grupių atstovai, kuriems taikomas Tarpinstitucinis susitarimas dėl privalomo skaidrumo registro</w:t>
            </w:r>
          </w:p>
        </w:tc>
      </w:tr>
      <w:tr w:rsidR="00B04730" w:rsidRPr="008E0CBB" w14:paraId="7D4D436E" w14:textId="77777777" w:rsidTr="00A5405C">
        <w:tc>
          <w:tcPr>
            <w:tcW w:w="9060" w:type="dxa"/>
            <w:shd w:val="clear" w:color="auto" w:fill="auto"/>
          </w:tcPr>
          <w:p w14:paraId="4D317473" w14:textId="77777777" w:rsidR="00B04730" w:rsidRPr="008E0CBB" w:rsidRDefault="00B04730" w:rsidP="00A5405C">
            <w:pPr>
              <w:pStyle w:val="NormalSingle"/>
            </w:pPr>
            <w:proofErr w:type="spellStart"/>
            <w:r w:rsidRPr="008E0CBB">
              <w:t>Transparency</w:t>
            </w:r>
            <w:proofErr w:type="spellEnd"/>
            <w:r w:rsidRPr="008E0CBB">
              <w:t xml:space="preserve"> International EU / EU </w:t>
            </w:r>
            <w:proofErr w:type="spellStart"/>
            <w:r w:rsidRPr="008E0CBB">
              <w:t>transparency</w:t>
            </w:r>
            <w:proofErr w:type="spellEnd"/>
            <w:r w:rsidRPr="008E0CBB">
              <w:t xml:space="preserve"> </w:t>
            </w:r>
            <w:proofErr w:type="spellStart"/>
            <w:r w:rsidRPr="008E0CBB">
              <w:t>register</w:t>
            </w:r>
            <w:proofErr w:type="spellEnd"/>
            <w:r w:rsidRPr="008E0CBB">
              <w:t>: 501222919-71</w:t>
            </w:r>
          </w:p>
        </w:tc>
      </w:tr>
      <w:tr w:rsidR="00B04730" w:rsidRPr="008E0CBB" w14:paraId="3BEA9FAE" w14:textId="77777777" w:rsidTr="00A5405C">
        <w:tc>
          <w:tcPr>
            <w:tcW w:w="9060" w:type="dxa"/>
            <w:shd w:val="clear" w:color="auto" w:fill="auto"/>
          </w:tcPr>
          <w:p w14:paraId="1820C322" w14:textId="77777777" w:rsidR="00B04730" w:rsidRPr="008E0CBB" w:rsidRDefault="00B04730" w:rsidP="00A5405C">
            <w:pPr>
              <w:pStyle w:val="NormalBoldCenter"/>
            </w:pPr>
            <w:r w:rsidRPr="008E0CBB">
              <w:t>2. Trečiųjų šalių valdžios institucijų, įskaitant jų diplomatines atstovybes ir ambasadas, atstovai</w:t>
            </w:r>
          </w:p>
        </w:tc>
      </w:tr>
      <w:tr w:rsidR="00B04730" w:rsidRPr="008E0CBB" w14:paraId="23E389EC" w14:textId="77777777" w:rsidTr="00A5405C">
        <w:tc>
          <w:tcPr>
            <w:tcW w:w="9060" w:type="dxa"/>
            <w:shd w:val="clear" w:color="auto" w:fill="auto"/>
          </w:tcPr>
          <w:p w14:paraId="32FCB61F" w14:textId="77777777" w:rsidR="00B04730" w:rsidRPr="008E0CBB" w:rsidRDefault="00B04730" w:rsidP="00A5405C">
            <w:pPr>
              <w:pStyle w:val="NormalSingle"/>
            </w:pPr>
            <w:r w:rsidRPr="008E0CBB">
              <w:t>Nėra</w:t>
            </w:r>
          </w:p>
        </w:tc>
      </w:tr>
    </w:tbl>
    <w:p w14:paraId="6B2EE139" w14:textId="77777777" w:rsidR="00B04730" w:rsidRPr="008E0CBB" w:rsidRDefault="00B04730" w:rsidP="00B04730">
      <w:pPr>
        <w:pStyle w:val="Footprint12b"/>
      </w:pPr>
      <w:r w:rsidRPr="008E0CBB">
        <w:t>Šį sąrašą parengė ir visą atsakomybę už jį prisiima nuomonės referentė.</w:t>
      </w:r>
    </w:p>
    <w:p w14:paraId="00833448" w14:textId="77777777" w:rsidR="00B04730" w:rsidRPr="008E0CBB" w:rsidRDefault="00B04730" w:rsidP="00B04730">
      <w:pPr>
        <w:pStyle w:val="Footprint12b"/>
      </w:pPr>
      <w:r w:rsidRPr="008E0CBB">
        <w:t>Jeigu sąraše esančių fizinių asmenų tapatybę galima nustatyti pagal jų vardą ir pavardę, jų pareigas arba pagal abu požymius, nuomonės referentė pareiškia, kad ji atitinkamiems fiziniams asmenims pateikė Europos Parlamento pranešimą dėl duomenų apsaugos Nr. 484 (</w:t>
      </w:r>
      <w:hyperlink r:id="rId14" w:tooltip="https://www.europarl.europa.eu/data-protect/index.do" w:history="1">
        <w:r w:rsidRPr="008E0CBB">
          <w:rPr>
            <w:rStyle w:val="Hyperlink"/>
          </w:rPr>
          <w:t>https://www.europarl.europa.eu/data-protect/index.do</w:t>
        </w:r>
      </w:hyperlink>
      <w:r w:rsidRPr="008E0CBB">
        <w:t>), kuriame išdėstytos jų asmens duomenų tvarkymui taikomos sąlygos ir su tuo tvarkymu susijusios teisės.</w:t>
      </w:r>
    </w:p>
    <w:p w14:paraId="44796946" w14:textId="77777777" w:rsidR="00B04730" w:rsidRPr="008E0CBB" w:rsidRDefault="00B04730" w:rsidP="00B04730"/>
    <w:p w14:paraId="00C88856" w14:textId="77777777" w:rsidR="00B04730" w:rsidRPr="008E0CBB" w:rsidRDefault="00B04730" w:rsidP="00B04730"/>
    <w:p w14:paraId="28230B62" w14:textId="77777777" w:rsidR="00B04730" w:rsidRPr="008E0CBB" w:rsidRDefault="00B04730" w:rsidP="00B04730">
      <w:pPr>
        <w:sectPr w:rsidR="00B04730" w:rsidRPr="008E0CBB" w:rsidSect="00B0473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DBB1A8" w14:textId="77777777" w:rsidR="00B04730" w:rsidRPr="008E0CBB" w:rsidRDefault="00B04730" w:rsidP="00B04730">
      <w:pPr>
        <w:pStyle w:val="PageHeadingNotTOC"/>
      </w:pPr>
      <w:r w:rsidRPr="008E0CBB">
        <w:lastRenderedPageBreak/>
        <w:t>INFORMACIJA APIE PRIĖMIMĄ NUOMONĘ TEIKIANČIAME KOMITETE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04730" w:rsidRPr="008E0CBB" w14:paraId="4347F1DA" w14:textId="77777777" w:rsidTr="00A540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43B3DD8" w14:textId="77777777" w:rsidR="00B04730" w:rsidRPr="008E0CBB" w:rsidRDefault="00B04730" w:rsidP="00A5405C">
            <w:pPr>
              <w:autoSpaceDE w:val="0"/>
              <w:autoSpaceDN w:val="0"/>
              <w:adjustRightInd w:val="0"/>
              <w:rPr>
                <w:b/>
                <w:bCs/>
                <w:color w:val="000000"/>
                <w:sz w:val="20"/>
              </w:rPr>
            </w:pPr>
            <w:r w:rsidRPr="008E0CBB">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FC049B4" w14:textId="77777777" w:rsidR="00B04730" w:rsidRPr="008E0CBB" w:rsidRDefault="00B04730" w:rsidP="00A5405C">
            <w:pPr>
              <w:autoSpaceDE w:val="0"/>
              <w:autoSpaceDN w:val="0"/>
              <w:adjustRightInd w:val="0"/>
              <w:rPr>
                <w:color w:val="000000"/>
                <w:sz w:val="20"/>
              </w:rPr>
            </w:pPr>
            <w:r w:rsidRPr="008E0CBB">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ED86E1C" w14:textId="77777777" w:rsidR="00B04730" w:rsidRPr="008E0CBB" w:rsidRDefault="00B04730" w:rsidP="00A5405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004FB6C" w14:textId="77777777" w:rsidR="00B04730" w:rsidRPr="008E0CBB" w:rsidRDefault="00B04730" w:rsidP="00A5405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A2E0A25" w14:textId="77777777" w:rsidR="00B04730" w:rsidRPr="008E0CBB" w:rsidRDefault="00B04730" w:rsidP="00A5405C">
            <w:pPr>
              <w:autoSpaceDE w:val="0"/>
              <w:autoSpaceDN w:val="0"/>
              <w:adjustRightInd w:val="0"/>
              <w:rPr>
                <w:rFonts w:ascii="sans-serif" w:hAnsi="sans-serif" w:cs="sans-serif"/>
                <w:color w:val="000000"/>
              </w:rPr>
            </w:pPr>
          </w:p>
        </w:tc>
      </w:tr>
      <w:tr w:rsidR="00B04730" w:rsidRPr="008E0CBB" w14:paraId="7689E10B" w14:textId="77777777" w:rsidTr="00A540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A160BD1" w14:textId="77777777" w:rsidR="00B04730" w:rsidRPr="008E0CBB" w:rsidRDefault="00B04730" w:rsidP="00A5405C">
            <w:pPr>
              <w:autoSpaceDE w:val="0"/>
              <w:autoSpaceDN w:val="0"/>
              <w:adjustRightInd w:val="0"/>
              <w:rPr>
                <w:b/>
                <w:bCs/>
                <w:color w:val="000000"/>
                <w:sz w:val="20"/>
              </w:rPr>
            </w:pPr>
            <w:r w:rsidRPr="008E0CBB">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AD01FAC" w14:textId="77777777" w:rsidR="00B04730" w:rsidRPr="008E0CBB" w:rsidRDefault="00B04730" w:rsidP="00A5405C">
            <w:pPr>
              <w:autoSpaceDE w:val="0"/>
              <w:autoSpaceDN w:val="0"/>
              <w:adjustRightInd w:val="0"/>
              <w:rPr>
                <w:color w:val="000000"/>
                <w:sz w:val="20"/>
              </w:rPr>
            </w:pPr>
            <w:r w:rsidRPr="008E0CBB">
              <w:rPr>
                <w:color w:val="000000"/>
                <w:sz w:val="20"/>
              </w:rPr>
              <w:t>+:</w:t>
            </w:r>
          </w:p>
          <w:p w14:paraId="1D5C0605" w14:textId="77777777" w:rsidR="00B04730" w:rsidRPr="008E0CBB" w:rsidRDefault="00B04730" w:rsidP="00A5405C">
            <w:pPr>
              <w:autoSpaceDE w:val="0"/>
              <w:autoSpaceDN w:val="0"/>
              <w:adjustRightInd w:val="0"/>
              <w:rPr>
                <w:color w:val="000000"/>
                <w:sz w:val="20"/>
              </w:rPr>
            </w:pPr>
            <w:r w:rsidRPr="008E0CBB">
              <w:rPr>
                <w:color w:val="000000"/>
                <w:sz w:val="20"/>
              </w:rPr>
              <w:t>–:</w:t>
            </w:r>
          </w:p>
          <w:p w14:paraId="6E5F9D18" w14:textId="77777777" w:rsidR="00B04730" w:rsidRPr="008E0CBB" w:rsidRDefault="00B04730" w:rsidP="00A5405C">
            <w:pPr>
              <w:autoSpaceDE w:val="0"/>
              <w:autoSpaceDN w:val="0"/>
              <w:adjustRightInd w:val="0"/>
              <w:rPr>
                <w:color w:val="000000"/>
                <w:sz w:val="20"/>
              </w:rPr>
            </w:pPr>
            <w:r w:rsidRPr="008E0CB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51A9329" w14:textId="77777777" w:rsidR="00B04730" w:rsidRPr="008E0CBB" w:rsidRDefault="00B04730" w:rsidP="00A5405C">
            <w:pPr>
              <w:autoSpaceDE w:val="0"/>
              <w:autoSpaceDN w:val="0"/>
              <w:adjustRightInd w:val="0"/>
              <w:rPr>
                <w:color w:val="000000"/>
                <w:sz w:val="20"/>
              </w:rPr>
            </w:pPr>
            <w:r w:rsidRPr="008E0CBB">
              <w:rPr>
                <w:color w:val="000000"/>
                <w:sz w:val="20"/>
              </w:rPr>
              <w:t>48</w:t>
            </w:r>
          </w:p>
          <w:p w14:paraId="478C6608" w14:textId="77777777" w:rsidR="00B04730" w:rsidRPr="008E0CBB" w:rsidRDefault="00B04730" w:rsidP="00A5405C">
            <w:pPr>
              <w:autoSpaceDE w:val="0"/>
              <w:autoSpaceDN w:val="0"/>
              <w:adjustRightInd w:val="0"/>
              <w:rPr>
                <w:color w:val="000000"/>
                <w:sz w:val="20"/>
              </w:rPr>
            </w:pPr>
            <w:r w:rsidRPr="008E0CBB">
              <w:rPr>
                <w:color w:val="000000"/>
                <w:sz w:val="20"/>
              </w:rPr>
              <w:t>14</w:t>
            </w:r>
          </w:p>
          <w:p w14:paraId="70332E73" w14:textId="77777777" w:rsidR="00B04730" w:rsidRPr="008E0CBB" w:rsidRDefault="00B04730" w:rsidP="00A5405C">
            <w:pPr>
              <w:autoSpaceDE w:val="0"/>
              <w:autoSpaceDN w:val="0"/>
              <w:adjustRightInd w:val="0"/>
              <w:rPr>
                <w:color w:val="000000"/>
                <w:sz w:val="20"/>
              </w:rPr>
            </w:pPr>
            <w:r w:rsidRPr="008E0CBB">
              <w:rPr>
                <w:color w:val="000000"/>
                <w:sz w:val="20"/>
              </w:rPr>
              <w:t>9</w:t>
            </w:r>
          </w:p>
        </w:tc>
      </w:tr>
      <w:tr w:rsidR="00B04730" w:rsidRPr="008E0CBB" w14:paraId="26B68971" w14:textId="77777777" w:rsidTr="00A540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28B5929" w14:textId="77777777" w:rsidR="00B04730" w:rsidRPr="008E0CBB" w:rsidRDefault="00B04730" w:rsidP="00A5405C">
            <w:pPr>
              <w:autoSpaceDE w:val="0"/>
              <w:autoSpaceDN w:val="0"/>
              <w:adjustRightInd w:val="0"/>
              <w:rPr>
                <w:b/>
                <w:bCs/>
                <w:color w:val="000000"/>
                <w:sz w:val="20"/>
              </w:rPr>
            </w:pPr>
            <w:r w:rsidRPr="008E0CBB">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6E83E9A" w14:textId="77777777" w:rsidR="00B04730" w:rsidRPr="008E0CBB" w:rsidRDefault="00B04730" w:rsidP="00A5405C">
            <w:pPr>
              <w:autoSpaceDE w:val="0"/>
              <w:autoSpaceDN w:val="0"/>
              <w:adjustRightInd w:val="0"/>
              <w:rPr>
                <w:color w:val="000000"/>
                <w:sz w:val="20"/>
              </w:rPr>
            </w:pPr>
            <w:r w:rsidRPr="008E0CBB">
              <w:rPr>
                <w:color w:val="000000"/>
                <w:sz w:val="20"/>
              </w:rPr>
              <w:t xml:space="preserve">Magdalena </w:t>
            </w:r>
            <w:proofErr w:type="spellStart"/>
            <w:r w:rsidRPr="008E0CBB">
              <w:rPr>
                <w:color w:val="000000"/>
                <w:sz w:val="20"/>
              </w:rPr>
              <w:t>Adamowicz</w:t>
            </w:r>
            <w:proofErr w:type="spellEnd"/>
            <w:r w:rsidRPr="008E0CBB">
              <w:rPr>
                <w:color w:val="000000"/>
                <w:sz w:val="20"/>
              </w:rPr>
              <w:t xml:space="preserve">, </w:t>
            </w:r>
            <w:proofErr w:type="spellStart"/>
            <w:r w:rsidRPr="008E0CBB">
              <w:rPr>
                <w:color w:val="000000"/>
                <w:sz w:val="20"/>
              </w:rPr>
              <w:t>Abir</w:t>
            </w:r>
            <w:proofErr w:type="spellEnd"/>
            <w:r w:rsidRPr="008E0CBB">
              <w:rPr>
                <w:color w:val="000000"/>
                <w:sz w:val="20"/>
              </w:rPr>
              <w:t xml:space="preserve"> Al-</w:t>
            </w:r>
            <w:proofErr w:type="spellStart"/>
            <w:r w:rsidRPr="008E0CBB">
              <w:rPr>
                <w:color w:val="000000"/>
                <w:sz w:val="20"/>
              </w:rPr>
              <w:t>Sahlani</w:t>
            </w:r>
            <w:proofErr w:type="spellEnd"/>
            <w:r w:rsidRPr="008E0CBB">
              <w:rPr>
                <w:color w:val="000000"/>
                <w:sz w:val="20"/>
              </w:rPr>
              <w:t xml:space="preserve">, </w:t>
            </w:r>
            <w:proofErr w:type="spellStart"/>
            <w:r w:rsidRPr="008E0CBB">
              <w:rPr>
                <w:color w:val="000000"/>
                <w:sz w:val="20"/>
              </w:rPr>
              <w:t>Giuseppe</w:t>
            </w:r>
            <w:proofErr w:type="spellEnd"/>
            <w:r w:rsidRPr="008E0CBB">
              <w:rPr>
                <w:color w:val="000000"/>
                <w:sz w:val="20"/>
              </w:rPr>
              <w:t xml:space="preserve"> </w:t>
            </w:r>
            <w:proofErr w:type="spellStart"/>
            <w:r w:rsidRPr="008E0CBB">
              <w:rPr>
                <w:color w:val="000000"/>
                <w:sz w:val="20"/>
              </w:rPr>
              <w:t>Antoci</w:t>
            </w:r>
            <w:proofErr w:type="spellEnd"/>
            <w:r w:rsidRPr="008E0CBB">
              <w:rPr>
                <w:color w:val="000000"/>
                <w:sz w:val="20"/>
              </w:rPr>
              <w:t xml:space="preserve">, </w:t>
            </w:r>
            <w:proofErr w:type="spellStart"/>
            <w:r w:rsidRPr="008E0CBB">
              <w:rPr>
                <w:color w:val="000000"/>
                <w:sz w:val="20"/>
              </w:rPr>
              <w:t>Jaume</w:t>
            </w:r>
            <w:proofErr w:type="spellEnd"/>
            <w:r w:rsidRPr="008E0CBB">
              <w:rPr>
                <w:color w:val="000000"/>
                <w:sz w:val="20"/>
              </w:rPr>
              <w:t xml:space="preserve"> </w:t>
            </w:r>
            <w:proofErr w:type="spellStart"/>
            <w:r w:rsidRPr="008E0CBB">
              <w:rPr>
                <w:color w:val="000000"/>
                <w:sz w:val="20"/>
              </w:rPr>
              <w:t>Asens</w:t>
            </w:r>
            <w:proofErr w:type="spellEnd"/>
            <w:r w:rsidRPr="008E0CBB">
              <w:rPr>
                <w:color w:val="000000"/>
                <w:sz w:val="20"/>
              </w:rPr>
              <w:t xml:space="preserve"> </w:t>
            </w:r>
            <w:proofErr w:type="spellStart"/>
            <w:r w:rsidRPr="008E0CBB">
              <w:rPr>
                <w:color w:val="000000"/>
                <w:sz w:val="20"/>
              </w:rPr>
              <w:t>Llodrà</w:t>
            </w:r>
            <w:proofErr w:type="spellEnd"/>
            <w:r w:rsidRPr="008E0CBB">
              <w:rPr>
                <w:color w:val="000000"/>
                <w:sz w:val="20"/>
              </w:rPr>
              <w:t xml:space="preserve">, </w:t>
            </w:r>
            <w:proofErr w:type="spellStart"/>
            <w:r w:rsidRPr="008E0CBB">
              <w:rPr>
                <w:color w:val="000000"/>
                <w:sz w:val="20"/>
              </w:rPr>
              <w:t>Pernando</w:t>
            </w:r>
            <w:proofErr w:type="spellEnd"/>
            <w:r w:rsidRPr="008E0CBB">
              <w:rPr>
                <w:color w:val="000000"/>
                <w:sz w:val="20"/>
              </w:rPr>
              <w:t xml:space="preserve"> </w:t>
            </w:r>
            <w:proofErr w:type="spellStart"/>
            <w:r w:rsidRPr="008E0CBB">
              <w:rPr>
                <w:color w:val="000000"/>
                <w:sz w:val="20"/>
              </w:rPr>
              <w:t>Barrena</w:t>
            </w:r>
            <w:proofErr w:type="spellEnd"/>
            <w:r w:rsidRPr="008E0CBB">
              <w:rPr>
                <w:color w:val="000000"/>
                <w:sz w:val="20"/>
              </w:rPr>
              <w:t xml:space="preserve"> </w:t>
            </w:r>
            <w:proofErr w:type="spellStart"/>
            <w:r w:rsidRPr="008E0CBB">
              <w:rPr>
                <w:color w:val="000000"/>
                <w:sz w:val="20"/>
              </w:rPr>
              <w:t>Arza</w:t>
            </w:r>
            <w:proofErr w:type="spellEnd"/>
            <w:r w:rsidRPr="008E0CBB">
              <w:rPr>
                <w:color w:val="000000"/>
                <w:sz w:val="20"/>
              </w:rPr>
              <w:t xml:space="preserve">, </w:t>
            </w:r>
            <w:proofErr w:type="spellStart"/>
            <w:r w:rsidRPr="008E0CBB">
              <w:rPr>
                <w:color w:val="000000"/>
                <w:sz w:val="20"/>
              </w:rPr>
              <w:t>Nikola</w:t>
            </w:r>
            <w:proofErr w:type="spellEnd"/>
            <w:r w:rsidRPr="008E0CBB">
              <w:rPr>
                <w:color w:val="000000"/>
                <w:sz w:val="20"/>
              </w:rPr>
              <w:t xml:space="preserve"> </w:t>
            </w:r>
            <w:proofErr w:type="spellStart"/>
            <w:r w:rsidRPr="008E0CBB">
              <w:rPr>
                <w:color w:val="000000"/>
                <w:sz w:val="20"/>
              </w:rPr>
              <w:t>Bartůšek</w:t>
            </w:r>
            <w:proofErr w:type="spellEnd"/>
            <w:r w:rsidRPr="008E0CBB">
              <w:rPr>
                <w:color w:val="000000"/>
                <w:sz w:val="20"/>
              </w:rPr>
              <w:t xml:space="preserve">, </w:t>
            </w:r>
            <w:proofErr w:type="spellStart"/>
            <w:r w:rsidRPr="008E0CBB">
              <w:rPr>
                <w:color w:val="000000"/>
                <w:sz w:val="20"/>
              </w:rPr>
              <w:t>François-Xavier</w:t>
            </w:r>
            <w:proofErr w:type="spellEnd"/>
            <w:r w:rsidRPr="008E0CBB">
              <w:rPr>
                <w:color w:val="000000"/>
                <w:sz w:val="20"/>
              </w:rPr>
              <w:t xml:space="preserve"> </w:t>
            </w:r>
            <w:proofErr w:type="spellStart"/>
            <w:r w:rsidRPr="008E0CBB">
              <w:rPr>
                <w:color w:val="000000"/>
                <w:sz w:val="20"/>
              </w:rPr>
              <w:t>Bellamy</w:t>
            </w:r>
            <w:proofErr w:type="spellEnd"/>
            <w:r w:rsidRPr="008E0CBB">
              <w:rPr>
                <w:color w:val="000000"/>
                <w:sz w:val="20"/>
              </w:rPr>
              <w:t xml:space="preserve">, </w:t>
            </w:r>
            <w:proofErr w:type="spellStart"/>
            <w:r w:rsidRPr="008E0CBB">
              <w:rPr>
                <w:color w:val="000000"/>
                <w:sz w:val="20"/>
              </w:rPr>
              <w:t>Ioan-Rareş</w:t>
            </w:r>
            <w:proofErr w:type="spellEnd"/>
            <w:r w:rsidRPr="008E0CBB">
              <w:rPr>
                <w:color w:val="000000"/>
                <w:sz w:val="20"/>
              </w:rPr>
              <w:t xml:space="preserve"> </w:t>
            </w:r>
            <w:proofErr w:type="spellStart"/>
            <w:r w:rsidRPr="008E0CBB">
              <w:rPr>
                <w:color w:val="000000"/>
                <w:sz w:val="20"/>
              </w:rPr>
              <w:t>Bogdan</w:t>
            </w:r>
            <w:proofErr w:type="spellEnd"/>
            <w:r w:rsidRPr="008E0CBB">
              <w:rPr>
                <w:color w:val="000000"/>
                <w:sz w:val="20"/>
              </w:rPr>
              <w:t xml:space="preserve">, </w:t>
            </w:r>
            <w:proofErr w:type="spellStart"/>
            <w:r w:rsidRPr="008E0CBB">
              <w:rPr>
                <w:color w:val="000000"/>
                <w:sz w:val="20"/>
              </w:rPr>
              <w:t>Saskia</w:t>
            </w:r>
            <w:proofErr w:type="spellEnd"/>
            <w:r w:rsidRPr="008E0CBB">
              <w:rPr>
                <w:color w:val="000000"/>
                <w:sz w:val="20"/>
              </w:rPr>
              <w:t xml:space="preserve"> </w:t>
            </w:r>
            <w:proofErr w:type="spellStart"/>
            <w:r w:rsidRPr="008E0CBB">
              <w:rPr>
                <w:color w:val="000000"/>
                <w:sz w:val="20"/>
              </w:rPr>
              <w:t>Bricmont</w:t>
            </w:r>
            <w:proofErr w:type="spellEnd"/>
            <w:r w:rsidRPr="008E0CBB">
              <w:rPr>
                <w:color w:val="000000"/>
                <w:sz w:val="20"/>
              </w:rPr>
              <w:t xml:space="preserve">, </w:t>
            </w:r>
            <w:proofErr w:type="spellStart"/>
            <w:r w:rsidRPr="008E0CBB">
              <w:rPr>
                <w:color w:val="000000"/>
                <w:sz w:val="20"/>
              </w:rPr>
              <w:t>Jaroslav</w:t>
            </w:r>
            <w:proofErr w:type="spellEnd"/>
            <w:r w:rsidRPr="008E0CBB">
              <w:rPr>
                <w:color w:val="000000"/>
                <w:sz w:val="20"/>
              </w:rPr>
              <w:t xml:space="preserve"> </w:t>
            </w:r>
            <w:proofErr w:type="spellStart"/>
            <w:r w:rsidRPr="008E0CBB">
              <w:rPr>
                <w:color w:val="000000"/>
                <w:sz w:val="20"/>
              </w:rPr>
              <w:t>Bžoch</w:t>
            </w:r>
            <w:proofErr w:type="spellEnd"/>
            <w:r w:rsidRPr="008E0CBB">
              <w:rPr>
                <w:color w:val="000000"/>
                <w:sz w:val="20"/>
              </w:rPr>
              <w:t xml:space="preserve">, </w:t>
            </w:r>
            <w:proofErr w:type="spellStart"/>
            <w:r w:rsidRPr="008E0CBB">
              <w:rPr>
                <w:color w:val="000000"/>
                <w:sz w:val="20"/>
              </w:rPr>
              <w:t>Damien</w:t>
            </w:r>
            <w:proofErr w:type="spellEnd"/>
            <w:r w:rsidRPr="008E0CBB">
              <w:rPr>
                <w:color w:val="000000"/>
                <w:sz w:val="20"/>
              </w:rPr>
              <w:t xml:space="preserve"> </w:t>
            </w:r>
            <w:proofErr w:type="spellStart"/>
            <w:r w:rsidRPr="008E0CBB">
              <w:rPr>
                <w:color w:val="000000"/>
                <w:sz w:val="20"/>
              </w:rPr>
              <w:t>Carême</w:t>
            </w:r>
            <w:proofErr w:type="spellEnd"/>
            <w:r w:rsidRPr="008E0CBB">
              <w:rPr>
                <w:color w:val="000000"/>
                <w:sz w:val="20"/>
              </w:rPr>
              <w:t xml:space="preserve">, </w:t>
            </w:r>
            <w:proofErr w:type="spellStart"/>
            <w:r w:rsidRPr="008E0CBB">
              <w:rPr>
                <w:color w:val="000000"/>
                <w:sz w:val="20"/>
              </w:rPr>
              <w:t>Susanna</w:t>
            </w:r>
            <w:proofErr w:type="spellEnd"/>
            <w:r w:rsidRPr="008E0CBB">
              <w:rPr>
                <w:color w:val="000000"/>
                <w:sz w:val="20"/>
              </w:rPr>
              <w:t xml:space="preserve"> </w:t>
            </w:r>
            <w:proofErr w:type="spellStart"/>
            <w:r w:rsidRPr="008E0CBB">
              <w:rPr>
                <w:color w:val="000000"/>
                <w:sz w:val="20"/>
              </w:rPr>
              <w:t>Ceccardi</w:t>
            </w:r>
            <w:proofErr w:type="spellEnd"/>
            <w:r w:rsidRPr="008E0CBB">
              <w:rPr>
                <w:color w:val="000000"/>
                <w:sz w:val="20"/>
              </w:rPr>
              <w:t xml:space="preserve">, </w:t>
            </w:r>
            <w:proofErr w:type="spellStart"/>
            <w:r w:rsidRPr="008E0CBB">
              <w:rPr>
                <w:color w:val="000000"/>
                <w:sz w:val="20"/>
              </w:rPr>
              <w:t>Caterina</w:t>
            </w:r>
            <w:proofErr w:type="spellEnd"/>
            <w:r w:rsidRPr="008E0CBB">
              <w:rPr>
                <w:color w:val="000000"/>
                <w:sz w:val="20"/>
              </w:rPr>
              <w:t xml:space="preserve"> </w:t>
            </w:r>
            <w:proofErr w:type="spellStart"/>
            <w:r w:rsidRPr="008E0CBB">
              <w:rPr>
                <w:color w:val="000000"/>
                <w:sz w:val="20"/>
              </w:rPr>
              <w:t>Chinnici</w:t>
            </w:r>
            <w:proofErr w:type="spellEnd"/>
            <w:r w:rsidRPr="008E0CBB">
              <w:rPr>
                <w:color w:val="000000"/>
                <w:sz w:val="20"/>
              </w:rPr>
              <w:t xml:space="preserve">, Veronika </w:t>
            </w:r>
            <w:proofErr w:type="spellStart"/>
            <w:r w:rsidRPr="008E0CBB">
              <w:rPr>
                <w:color w:val="000000"/>
                <w:sz w:val="20"/>
              </w:rPr>
              <w:t>Cifrová</w:t>
            </w:r>
            <w:proofErr w:type="spellEnd"/>
            <w:r w:rsidRPr="008E0CBB">
              <w:rPr>
                <w:color w:val="000000"/>
                <w:sz w:val="20"/>
              </w:rPr>
              <w:t xml:space="preserve"> </w:t>
            </w:r>
            <w:proofErr w:type="spellStart"/>
            <w:r w:rsidRPr="008E0CBB">
              <w:rPr>
                <w:color w:val="000000"/>
                <w:sz w:val="20"/>
              </w:rPr>
              <w:t>Ostrihoňová</w:t>
            </w:r>
            <w:proofErr w:type="spellEnd"/>
            <w:r w:rsidRPr="008E0CBB">
              <w:rPr>
                <w:color w:val="000000"/>
                <w:sz w:val="20"/>
              </w:rPr>
              <w:t xml:space="preserve">, </w:t>
            </w:r>
            <w:proofErr w:type="spellStart"/>
            <w:r w:rsidRPr="008E0CBB">
              <w:rPr>
                <w:color w:val="000000"/>
                <w:sz w:val="20"/>
              </w:rPr>
              <w:t>Alessandro</w:t>
            </w:r>
            <w:proofErr w:type="spellEnd"/>
            <w:r w:rsidRPr="008E0CBB">
              <w:rPr>
                <w:color w:val="000000"/>
                <w:sz w:val="20"/>
              </w:rPr>
              <w:t xml:space="preserve"> </w:t>
            </w:r>
            <w:proofErr w:type="spellStart"/>
            <w:r w:rsidRPr="008E0CBB">
              <w:rPr>
                <w:color w:val="000000"/>
                <w:sz w:val="20"/>
              </w:rPr>
              <w:t>Ciriani</w:t>
            </w:r>
            <w:proofErr w:type="spellEnd"/>
            <w:r w:rsidRPr="008E0CBB">
              <w:rPr>
                <w:color w:val="000000"/>
                <w:sz w:val="20"/>
              </w:rPr>
              <w:t xml:space="preserve">, Lena </w:t>
            </w:r>
            <w:proofErr w:type="spellStart"/>
            <w:r w:rsidRPr="008E0CBB">
              <w:rPr>
                <w:color w:val="000000"/>
                <w:sz w:val="20"/>
              </w:rPr>
              <w:t>Düpont</w:t>
            </w:r>
            <w:proofErr w:type="spellEnd"/>
            <w:r w:rsidRPr="008E0CBB">
              <w:rPr>
                <w:color w:val="000000"/>
                <w:sz w:val="20"/>
              </w:rPr>
              <w:t xml:space="preserve">, </w:t>
            </w:r>
            <w:proofErr w:type="spellStart"/>
            <w:r w:rsidRPr="008E0CBB">
              <w:rPr>
                <w:color w:val="000000"/>
                <w:sz w:val="20"/>
              </w:rPr>
              <w:t>Marieke</w:t>
            </w:r>
            <w:proofErr w:type="spellEnd"/>
            <w:r w:rsidRPr="008E0CBB">
              <w:rPr>
                <w:color w:val="000000"/>
                <w:sz w:val="20"/>
              </w:rPr>
              <w:t xml:space="preserve"> </w:t>
            </w:r>
            <w:proofErr w:type="spellStart"/>
            <w:r w:rsidRPr="008E0CBB">
              <w:rPr>
                <w:color w:val="000000"/>
                <w:sz w:val="20"/>
              </w:rPr>
              <w:t>Ehlers</w:t>
            </w:r>
            <w:proofErr w:type="spellEnd"/>
            <w:r w:rsidRPr="008E0CBB">
              <w:rPr>
                <w:color w:val="000000"/>
                <w:sz w:val="20"/>
              </w:rPr>
              <w:t xml:space="preserve">, </w:t>
            </w:r>
            <w:proofErr w:type="spellStart"/>
            <w:r w:rsidRPr="008E0CBB">
              <w:rPr>
                <w:color w:val="000000"/>
                <w:sz w:val="20"/>
              </w:rPr>
              <w:t>Estrella</w:t>
            </w:r>
            <w:proofErr w:type="spellEnd"/>
            <w:r w:rsidRPr="008E0CBB">
              <w:rPr>
                <w:color w:val="000000"/>
                <w:sz w:val="20"/>
              </w:rPr>
              <w:t xml:space="preserve"> </w:t>
            </w:r>
            <w:proofErr w:type="spellStart"/>
            <w:r w:rsidRPr="008E0CBB">
              <w:rPr>
                <w:color w:val="000000"/>
                <w:sz w:val="20"/>
              </w:rPr>
              <w:t>Galán</w:t>
            </w:r>
            <w:proofErr w:type="spellEnd"/>
            <w:r w:rsidRPr="008E0CBB">
              <w:rPr>
                <w:color w:val="000000"/>
                <w:sz w:val="20"/>
              </w:rPr>
              <w:t xml:space="preserve">, </w:t>
            </w:r>
            <w:proofErr w:type="spellStart"/>
            <w:r w:rsidRPr="008E0CBB">
              <w:rPr>
                <w:color w:val="000000"/>
                <w:sz w:val="20"/>
              </w:rPr>
              <w:t>Raquel</w:t>
            </w:r>
            <w:proofErr w:type="spellEnd"/>
            <w:r w:rsidRPr="008E0CBB">
              <w:rPr>
                <w:color w:val="000000"/>
                <w:sz w:val="20"/>
              </w:rPr>
              <w:t xml:space="preserve"> </w:t>
            </w:r>
            <w:proofErr w:type="spellStart"/>
            <w:r w:rsidRPr="008E0CBB">
              <w:rPr>
                <w:color w:val="000000"/>
                <w:sz w:val="20"/>
              </w:rPr>
              <w:t>García</w:t>
            </w:r>
            <w:proofErr w:type="spellEnd"/>
            <w:r w:rsidRPr="008E0CBB">
              <w:rPr>
                <w:color w:val="000000"/>
                <w:sz w:val="20"/>
              </w:rPr>
              <w:t xml:space="preserve"> </w:t>
            </w:r>
            <w:proofErr w:type="spellStart"/>
            <w:r w:rsidRPr="008E0CBB">
              <w:rPr>
                <w:color w:val="000000"/>
                <w:sz w:val="20"/>
              </w:rPr>
              <w:t>Hermida</w:t>
            </w:r>
            <w:proofErr w:type="spellEnd"/>
            <w:r w:rsidRPr="008E0CBB">
              <w:rPr>
                <w:color w:val="000000"/>
                <w:sz w:val="20"/>
              </w:rPr>
              <w:t xml:space="preserve">-Van </w:t>
            </w:r>
            <w:proofErr w:type="spellStart"/>
            <w:r w:rsidRPr="008E0CBB">
              <w:rPr>
                <w:color w:val="000000"/>
                <w:sz w:val="20"/>
              </w:rPr>
              <w:t>Der</w:t>
            </w:r>
            <w:proofErr w:type="spellEnd"/>
            <w:r w:rsidRPr="008E0CBB">
              <w:rPr>
                <w:color w:val="000000"/>
                <w:sz w:val="20"/>
              </w:rPr>
              <w:t xml:space="preserve"> </w:t>
            </w:r>
            <w:proofErr w:type="spellStart"/>
            <w:r w:rsidRPr="008E0CBB">
              <w:rPr>
                <w:color w:val="000000"/>
                <w:sz w:val="20"/>
              </w:rPr>
              <w:t>Walle</w:t>
            </w:r>
            <w:proofErr w:type="spellEnd"/>
            <w:r w:rsidRPr="008E0CBB">
              <w:rPr>
                <w:color w:val="000000"/>
                <w:sz w:val="20"/>
              </w:rPr>
              <w:t xml:space="preserve">, </w:t>
            </w:r>
            <w:proofErr w:type="spellStart"/>
            <w:r w:rsidRPr="008E0CBB">
              <w:rPr>
                <w:color w:val="000000"/>
                <w:sz w:val="20"/>
              </w:rPr>
              <w:t>Paolo</w:t>
            </w:r>
            <w:proofErr w:type="spellEnd"/>
            <w:r w:rsidRPr="008E0CBB">
              <w:rPr>
                <w:color w:val="000000"/>
                <w:sz w:val="20"/>
              </w:rPr>
              <w:t xml:space="preserve"> </w:t>
            </w:r>
            <w:proofErr w:type="spellStart"/>
            <w:r w:rsidRPr="008E0CBB">
              <w:rPr>
                <w:color w:val="000000"/>
                <w:sz w:val="20"/>
              </w:rPr>
              <w:t>Inselvini</w:t>
            </w:r>
            <w:proofErr w:type="spellEnd"/>
            <w:r w:rsidRPr="008E0CBB">
              <w:rPr>
                <w:color w:val="000000"/>
                <w:sz w:val="20"/>
              </w:rPr>
              <w:t xml:space="preserve">, Irena </w:t>
            </w:r>
            <w:proofErr w:type="spellStart"/>
            <w:r w:rsidRPr="008E0CBB">
              <w:rPr>
                <w:color w:val="000000"/>
                <w:sz w:val="20"/>
              </w:rPr>
              <w:t>Joveva</w:t>
            </w:r>
            <w:proofErr w:type="spellEnd"/>
            <w:r w:rsidRPr="008E0CBB">
              <w:rPr>
                <w:color w:val="000000"/>
                <w:sz w:val="20"/>
              </w:rPr>
              <w:t xml:space="preserve">, </w:t>
            </w:r>
            <w:proofErr w:type="spellStart"/>
            <w:r w:rsidRPr="008E0CBB">
              <w:rPr>
                <w:color w:val="000000"/>
                <w:sz w:val="20"/>
              </w:rPr>
              <w:t>Erik</w:t>
            </w:r>
            <w:proofErr w:type="spellEnd"/>
            <w:r w:rsidRPr="008E0CBB">
              <w:rPr>
                <w:color w:val="000000"/>
                <w:sz w:val="20"/>
              </w:rPr>
              <w:t xml:space="preserve"> </w:t>
            </w:r>
            <w:proofErr w:type="spellStart"/>
            <w:r w:rsidRPr="008E0CBB">
              <w:rPr>
                <w:color w:val="000000"/>
                <w:sz w:val="20"/>
              </w:rPr>
              <w:t>Kaliňák</w:t>
            </w:r>
            <w:proofErr w:type="spellEnd"/>
            <w:r w:rsidRPr="008E0CBB">
              <w:rPr>
                <w:color w:val="000000"/>
                <w:sz w:val="20"/>
              </w:rPr>
              <w:t xml:space="preserve">, Marina </w:t>
            </w:r>
            <w:proofErr w:type="spellStart"/>
            <w:r w:rsidRPr="008E0CBB">
              <w:rPr>
                <w:color w:val="000000"/>
                <w:sz w:val="20"/>
              </w:rPr>
              <w:t>Kaljurand</w:t>
            </w:r>
            <w:proofErr w:type="spellEnd"/>
            <w:r w:rsidRPr="008E0CBB">
              <w:rPr>
                <w:color w:val="000000"/>
                <w:sz w:val="20"/>
              </w:rPr>
              <w:t xml:space="preserve">, </w:t>
            </w:r>
            <w:proofErr w:type="spellStart"/>
            <w:r w:rsidRPr="008E0CBB">
              <w:rPr>
                <w:color w:val="000000"/>
                <w:sz w:val="20"/>
              </w:rPr>
              <w:t>Mariusz</w:t>
            </w:r>
            <w:proofErr w:type="spellEnd"/>
            <w:r w:rsidRPr="008E0CBB">
              <w:rPr>
                <w:color w:val="000000"/>
                <w:sz w:val="20"/>
              </w:rPr>
              <w:t xml:space="preserve"> </w:t>
            </w:r>
            <w:proofErr w:type="spellStart"/>
            <w:r w:rsidRPr="008E0CBB">
              <w:rPr>
                <w:color w:val="000000"/>
                <w:sz w:val="20"/>
              </w:rPr>
              <w:t>Kamiński</w:t>
            </w:r>
            <w:proofErr w:type="spellEnd"/>
            <w:r w:rsidRPr="008E0CBB">
              <w:rPr>
                <w:color w:val="000000"/>
                <w:sz w:val="20"/>
              </w:rPr>
              <w:t xml:space="preserve">, </w:t>
            </w:r>
            <w:proofErr w:type="spellStart"/>
            <w:r w:rsidRPr="008E0CBB">
              <w:rPr>
                <w:color w:val="000000"/>
                <w:sz w:val="20"/>
              </w:rPr>
              <w:t>Fabienne</w:t>
            </w:r>
            <w:proofErr w:type="spellEnd"/>
            <w:r w:rsidRPr="008E0CBB">
              <w:rPr>
                <w:color w:val="000000"/>
                <w:sz w:val="20"/>
              </w:rPr>
              <w:t xml:space="preserve"> </w:t>
            </w:r>
            <w:proofErr w:type="spellStart"/>
            <w:r w:rsidRPr="008E0CBB">
              <w:rPr>
                <w:color w:val="000000"/>
                <w:sz w:val="20"/>
              </w:rPr>
              <w:t>Keller</w:t>
            </w:r>
            <w:proofErr w:type="spellEnd"/>
            <w:r w:rsidRPr="008E0CBB">
              <w:rPr>
                <w:color w:val="000000"/>
                <w:sz w:val="20"/>
              </w:rPr>
              <w:t xml:space="preserve">, Mary </w:t>
            </w:r>
            <w:proofErr w:type="spellStart"/>
            <w:r w:rsidRPr="008E0CBB">
              <w:rPr>
                <w:color w:val="000000"/>
                <w:sz w:val="20"/>
              </w:rPr>
              <w:t>Khan</w:t>
            </w:r>
            <w:proofErr w:type="spellEnd"/>
            <w:r w:rsidRPr="008E0CBB">
              <w:rPr>
                <w:color w:val="000000"/>
                <w:sz w:val="20"/>
              </w:rPr>
              <w:t xml:space="preserve">, </w:t>
            </w:r>
            <w:proofErr w:type="spellStart"/>
            <w:r w:rsidRPr="008E0CBB">
              <w:rPr>
                <w:color w:val="000000"/>
                <w:sz w:val="20"/>
              </w:rPr>
              <w:t>Alice</w:t>
            </w:r>
            <w:proofErr w:type="spellEnd"/>
            <w:r w:rsidRPr="008E0CBB">
              <w:rPr>
                <w:color w:val="000000"/>
                <w:sz w:val="20"/>
              </w:rPr>
              <w:t xml:space="preserve"> </w:t>
            </w:r>
            <w:proofErr w:type="spellStart"/>
            <w:r w:rsidRPr="008E0CBB">
              <w:rPr>
                <w:color w:val="000000"/>
                <w:sz w:val="20"/>
              </w:rPr>
              <w:t>Kuhnke</w:t>
            </w:r>
            <w:proofErr w:type="spellEnd"/>
            <w:r w:rsidRPr="008E0CBB">
              <w:rPr>
                <w:color w:val="000000"/>
                <w:sz w:val="20"/>
              </w:rPr>
              <w:t xml:space="preserve">, </w:t>
            </w:r>
            <w:proofErr w:type="spellStart"/>
            <w:r w:rsidRPr="008E0CBB">
              <w:rPr>
                <w:color w:val="000000"/>
                <w:sz w:val="20"/>
              </w:rPr>
              <w:t>Murielle</w:t>
            </w:r>
            <w:proofErr w:type="spellEnd"/>
            <w:r w:rsidRPr="008E0CBB">
              <w:rPr>
                <w:color w:val="000000"/>
                <w:sz w:val="20"/>
              </w:rPr>
              <w:t xml:space="preserve"> </w:t>
            </w:r>
            <w:proofErr w:type="spellStart"/>
            <w:r w:rsidRPr="008E0CBB">
              <w:rPr>
                <w:color w:val="000000"/>
                <w:sz w:val="20"/>
              </w:rPr>
              <w:t>Laurent</w:t>
            </w:r>
            <w:proofErr w:type="spellEnd"/>
            <w:r w:rsidRPr="008E0CBB">
              <w:rPr>
                <w:color w:val="000000"/>
                <w:sz w:val="20"/>
              </w:rPr>
              <w:t xml:space="preserve">, </w:t>
            </w:r>
            <w:proofErr w:type="spellStart"/>
            <w:r w:rsidRPr="008E0CBB">
              <w:rPr>
                <w:color w:val="000000"/>
                <w:sz w:val="20"/>
              </w:rPr>
              <w:t>Fabrice</w:t>
            </w:r>
            <w:proofErr w:type="spellEnd"/>
            <w:r w:rsidRPr="008E0CBB">
              <w:rPr>
                <w:color w:val="000000"/>
                <w:sz w:val="20"/>
              </w:rPr>
              <w:t xml:space="preserve"> </w:t>
            </w:r>
            <w:proofErr w:type="spellStart"/>
            <w:r w:rsidRPr="008E0CBB">
              <w:rPr>
                <w:color w:val="000000"/>
                <w:sz w:val="20"/>
              </w:rPr>
              <w:t>Leggeri</w:t>
            </w:r>
            <w:proofErr w:type="spellEnd"/>
            <w:r w:rsidRPr="008E0CBB">
              <w:rPr>
                <w:color w:val="000000"/>
                <w:sz w:val="20"/>
              </w:rPr>
              <w:t xml:space="preserve">, </w:t>
            </w:r>
            <w:proofErr w:type="spellStart"/>
            <w:r w:rsidRPr="008E0CBB">
              <w:rPr>
                <w:color w:val="000000"/>
                <w:sz w:val="20"/>
              </w:rPr>
              <w:t>Jeroen</w:t>
            </w:r>
            <w:proofErr w:type="spellEnd"/>
            <w:r w:rsidRPr="008E0CBB">
              <w:rPr>
                <w:color w:val="000000"/>
                <w:sz w:val="20"/>
              </w:rPr>
              <w:t xml:space="preserve"> </w:t>
            </w:r>
            <w:proofErr w:type="spellStart"/>
            <w:r w:rsidRPr="008E0CBB">
              <w:rPr>
                <w:color w:val="000000"/>
                <w:sz w:val="20"/>
              </w:rPr>
              <w:t>Lenaers</w:t>
            </w:r>
            <w:proofErr w:type="spellEnd"/>
            <w:r w:rsidRPr="008E0CBB">
              <w:rPr>
                <w:color w:val="000000"/>
                <w:sz w:val="20"/>
              </w:rPr>
              <w:t xml:space="preserve">, Lukas </w:t>
            </w:r>
            <w:proofErr w:type="spellStart"/>
            <w:r w:rsidRPr="008E0CBB">
              <w:rPr>
                <w:color w:val="000000"/>
                <w:sz w:val="20"/>
              </w:rPr>
              <w:t>Mandl</w:t>
            </w:r>
            <w:proofErr w:type="spellEnd"/>
            <w:r w:rsidRPr="008E0CBB">
              <w:rPr>
                <w:color w:val="000000"/>
                <w:sz w:val="20"/>
              </w:rPr>
              <w:t xml:space="preserve">, </w:t>
            </w:r>
            <w:proofErr w:type="spellStart"/>
            <w:r w:rsidRPr="008E0CBB">
              <w:rPr>
                <w:color w:val="000000"/>
                <w:sz w:val="20"/>
              </w:rPr>
              <w:t>Michael</w:t>
            </w:r>
            <w:proofErr w:type="spellEnd"/>
            <w:r w:rsidRPr="008E0CBB">
              <w:rPr>
                <w:color w:val="000000"/>
                <w:sz w:val="20"/>
              </w:rPr>
              <w:t xml:space="preserve"> </w:t>
            </w:r>
            <w:proofErr w:type="spellStart"/>
            <w:r w:rsidRPr="008E0CBB">
              <w:rPr>
                <w:color w:val="000000"/>
                <w:sz w:val="20"/>
              </w:rPr>
              <w:t>McNamara</w:t>
            </w:r>
            <w:proofErr w:type="spellEnd"/>
            <w:r w:rsidRPr="008E0CBB">
              <w:rPr>
                <w:color w:val="000000"/>
                <w:sz w:val="20"/>
              </w:rPr>
              <w:t xml:space="preserve">, Ana </w:t>
            </w:r>
            <w:proofErr w:type="spellStart"/>
            <w:r w:rsidRPr="008E0CBB">
              <w:rPr>
                <w:color w:val="000000"/>
                <w:sz w:val="20"/>
              </w:rPr>
              <w:t>Catarina</w:t>
            </w:r>
            <w:proofErr w:type="spellEnd"/>
            <w:r w:rsidRPr="008E0CBB">
              <w:rPr>
                <w:color w:val="000000"/>
                <w:sz w:val="20"/>
              </w:rPr>
              <w:t xml:space="preserve"> </w:t>
            </w:r>
            <w:proofErr w:type="spellStart"/>
            <w:r w:rsidRPr="008E0CBB">
              <w:rPr>
                <w:color w:val="000000"/>
                <w:sz w:val="20"/>
              </w:rPr>
              <w:t>Mendes</w:t>
            </w:r>
            <w:proofErr w:type="spellEnd"/>
            <w:r w:rsidRPr="008E0CBB">
              <w:rPr>
                <w:color w:val="000000"/>
                <w:sz w:val="20"/>
              </w:rPr>
              <w:t xml:space="preserve">, Verena </w:t>
            </w:r>
            <w:proofErr w:type="spellStart"/>
            <w:r w:rsidRPr="008E0CBB">
              <w:rPr>
                <w:color w:val="000000"/>
                <w:sz w:val="20"/>
              </w:rPr>
              <w:t>Mertens</w:t>
            </w:r>
            <w:proofErr w:type="spellEnd"/>
            <w:r w:rsidRPr="008E0CBB">
              <w:rPr>
                <w:color w:val="000000"/>
                <w:sz w:val="20"/>
              </w:rPr>
              <w:t xml:space="preserve">, </w:t>
            </w:r>
            <w:proofErr w:type="spellStart"/>
            <w:r w:rsidRPr="008E0CBB">
              <w:rPr>
                <w:color w:val="000000"/>
                <w:sz w:val="20"/>
              </w:rPr>
              <w:t>Nadine</w:t>
            </w:r>
            <w:proofErr w:type="spellEnd"/>
            <w:r w:rsidRPr="008E0CBB">
              <w:rPr>
                <w:color w:val="000000"/>
                <w:sz w:val="20"/>
              </w:rPr>
              <w:t xml:space="preserve"> </w:t>
            </w:r>
            <w:proofErr w:type="spellStart"/>
            <w:r w:rsidRPr="008E0CBB">
              <w:rPr>
                <w:color w:val="000000"/>
                <w:sz w:val="20"/>
              </w:rPr>
              <w:t>Morano</w:t>
            </w:r>
            <w:proofErr w:type="spellEnd"/>
            <w:r w:rsidRPr="008E0CBB">
              <w:rPr>
                <w:color w:val="000000"/>
                <w:sz w:val="20"/>
              </w:rPr>
              <w:t xml:space="preserve">, </w:t>
            </w:r>
            <w:proofErr w:type="spellStart"/>
            <w:r w:rsidRPr="008E0CBB">
              <w:rPr>
                <w:color w:val="000000"/>
                <w:sz w:val="20"/>
              </w:rPr>
              <w:t>Matjaž</w:t>
            </w:r>
            <w:proofErr w:type="spellEnd"/>
            <w:r w:rsidRPr="008E0CBB">
              <w:rPr>
                <w:color w:val="000000"/>
                <w:sz w:val="20"/>
              </w:rPr>
              <w:t xml:space="preserve"> </w:t>
            </w:r>
            <w:proofErr w:type="spellStart"/>
            <w:r w:rsidRPr="008E0CBB">
              <w:rPr>
                <w:color w:val="000000"/>
                <w:sz w:val="20"/>
              </w:rPr>
              <w:t>Nemec</w:t>
            </w:r>
            <w:proofErr w:type="spellEnd"/>
            <w:r w:rsidRPr="008E0CBB">
              <w:rPr>
                <w:color w:val="000000"/>
                <w:sz w:val="20"/>
              </w:rPr>
              <w:t xml:space="preserve">, Ana </w:t>
            </w:r>
            <w:proofErr w:type="spellStart"/>
            <w:r w:rsidRPr="008E0CBB">
              <w:rPr>
                <w:color w:val="000000"/>
                <w:sz w:val="20"/>
              </w:rPr>
              <w:t>Miguel</w:t>
            </w:r>
            <w:proofErr w:type="spellEnd"/>
            <w:r w:rsidRPr="008E0CBB">
              <w:rPr>
                <w:color w:val="000000"/>
                <w:sz w:val="20"/>
              </w:rPr>
              <w:t xml:space="preserve"> </w:t>
            </w:r>
            <w:proofErr w:type="spellStart"/>
            <w:r w:rsidRPr="008E0CBB">
              <w:rPr>
                <w:color w:val="000000"/>
                <w:sz w:val="20"/>
              </w:rPr>
              <w:t>Pedro</w:t>
            </w:r>
            <w:proofErr w:type="spellEnd"/>
            <w:r w:rsidRPr="008E0CBB">
              <w:rPr>
                <w:color w:val="000000"/>
                <w:sz w:val="20"/>
              </w:rPr>
              <w:t xml:space="preserve">, </w:t>
            </w:r>
            <w:proofErr w:type="spellStart"/>
            <w:r w:rsidRPr="008E0CBB">
              <w:rPr>
                <w:color w:val="000000"/>
                <w:sz w:val="20"/>
              </w:rPr>
              <w:t>Ilaria</w:t>
            </w:r>
            <w:proofErr w:type="spellEnd"/>
            <w:r w:rsidRPr="008E0CBB">
              <w:rPr>
                <w:color w:val="000000"/>
                <w:sz w:val="20"/>
              </w:rPr>
              <w:t xml:space="preserve"> </w:t>
            </w:r>
            <w:proofErr w:type="spellStart"/>
            <w:r w:rsidRPr="008E0CBB">
              <w:rPr>
                <w:color w:val="000000"/>
                <w:sz w:val="20"/>
              </w:rPr>
              <w:t>Salis</w:t>
            </w:r>
            <w:proofErr w:type="spellEnd"/>
            <w:r w:rsidRPr="008E0CBB">
              <w:rPr>
                <w:color w:val="000000"/>
                <w:sz w:val="20"/>
              </w:rPr>
              <w:t xml:space="preserve">, </w:t>
            </w:r>
            <w:proofErr w:type="spellStart"/>
            <w:r w:rsidRPr="008E0CBB">
              <w:rPr>
                <w:color w:val="000000"/>
                <w:sz w:val="20"/>
              </w:rPr>
              <w:t>Birgit</w:t>
            </w:r>
            <w:proofErr w:type="spellEnd"/>
            <w:r w:rsidRPr="008E0CBB">
              <w:rPr>
                <w:color w:val="000000"/>
                <w:sz w:val="20"/>
              </w:rPr>
              <w:t xml:space="preserve"> </w:t>
            </w:r>
            <w:proofErr w:type="spellStart"/>
            <w:r w:rsidRPr="008E0CBB">
              <w:rPr>
                <w:color w:val="000000"/>
                <w:sz w:val="20"/>
              </w:rPr>
              <w:t>Sippel</w:t>
            </w:r>
            <w:proofErr w:type="spellEnd"/>
            <w:r w:rsidRPr="008E0CBB">
              <w:rPr>
                <w:color w:val="000000"/>
                <w:sz w:val="20"/>
              </w:rPr>
              <w:t xml:space="preserve">, </w:t>
            </w:r>
            <w:proofErr w:type="spellStart"/>
            <w:r w:rsidRPr="008E0CBB">
              <w:rPr>
                <w:color w:val="000000"/>
                <w:sz w:val="20"/>
              </w:rPr>
              <w:t>Krzysztof</w:t>
            </w:r>
            <w:proofErr w:type="spellEnd"/>
            <w:r w:rsidRPr="008E0CBB">
              <w:rPr>
                <w:color w:val="000000"/>
                <w:sz w:val="20"/>
              </w:rPr>
              <w:t xml:space="preserve"> </w:t>
            </w:r>
            <w:proofErr w:type="spellStart"/>
            <w:r w:rsidRPr="008E0CBB">
              <w:rPr>
                <w:color w:val="000000"/>
                <w:sz w:val="20"/>
              </w:rPr>
              <w:t>Śmiszek</w:t>
            </w:r>
            <w:proofErr w:type="spellEnd"/>
            <w:r w:rsidRPr="008E0CBB">
              <w:rPr>
                <w:color w:val="000000"/>
                <w:sz w:val="20"/>
              </w:rPr>
              <w:t xml:space="preserve">, </w:t>
            </w:r>
            <w:proofErr w:type="spellStart"/>
            <w:r w:rsidRPr="008E0CBB">
              <w:rPr>
                <w:color w:val="000000"/>
                <w:sz w:val="20"/>
              </w:rPr>
              <w:t>Petra</w:t>
            </w:r>
            <w:proofErr w:type="spellEnd"/>
            <w:r w:rsidRPr="008E0CBB">
              <w:rPr>
                <w:color w:val="000000"/>
                <w:sz w:val="20"/>
              </w:rPr>
              <w:t xml:space="preserve"> </w:t>
            </w:r>
            <w:proofErr w:type="spellStart"/>
            <w:r w:rsidRPr="008E0CBB">
              <w:rPr>
                <w:color w:val="000000"/>
                <w:sz w:val="20"/>
              </w:rPr>
              <w:t>Steger</w:t>
            </w:r>
            <w:proofErr w:type="spellEnd"/>
            <w:r w:rsidRPr="008E0CBB">
              <w:rPr>
                <w:color w:val="000000"/>
                <w:sz w:val="20"/>
              </w:rPr>
              <w:t xml:space="preserve">, </w:t>
            </w:r>
            <w:proofErr w:type="spellStart"/>
            <w:r w:rsidRPr="008E0CBB">
              <w:rPr>
                <w:color w:val="000000"/>
                <w:sz w:val="20"/>
              </w:rPr>
              <w:t>Cecilia</w:t>
            </w:r>
            <w:proofErr w:type="spellEnd"/>
            <w:r w:rsidRPr="008E0CBB">
              <w:rPr>
                <w:color w:val="000000"/>
                <w:sz w:val="20"/>
              </w:rPr>
              <w:t xml:space="preserve"> </w:t>
            </w:r>
            <w:proofErr w:type="spellStart"/>
            <w:r w:rsidRPr="008E0CBB">
              <w:rPr>
                <w:color w:val="000000"/>
                <w:sz w:val="20"/>
              </w:rPr>
              <w:t>Strada</w:t>
            </w:r>
            <w:proofErr w:type="spellEnd"/>
            <w:r w:rsidRPr="008E0CBB">
              <w:rPr>
                <w:color w:val="000000"/>
                <w:sz w:val="20"/>
              </w:rPr>
              <w:t xml:space="preserve">, </w:t>
            </w:r>
            <w:proofErr w:type="spellStart"/>
            <w:r w:rsidRPr="008E0CBB">
              <w:rPr>
                <w:color w:val="000000"/>
                <w:sz w:val="20"/>
              </w:rPr>
              <w:t>Alice</w:t>
            </w:r>
            <w:proofErr w:type="spellEnd"/>
            <w:r w:rsidRPr="008E0CBB">
              <w:rPr>
                <w:color w:val="000000"/>
                <w:sz w:val="20"/>
              </w:rPr>
              <w:t xml:space="preserve"> </w:t>
            </w:r>
            <w:proofErr w:type="spellStart"/>
            <w:r w:rsidRPr="008E0CBB">
              <w:rPr>
                <w:color w:val="000000"/>
                <w:sz w:val="20"/>
              </w:rPr>
              <w:t>Teodorescu</w:t>
            </w:r>
            <w:proofErr w:type="spellEnd"/>
            <w:r w:rsidRPr="008E0CBB">
              <w:rPr>
                <w:color w:val="000000"/>
                <w:sz w:val="20"/>
              </w:rPr>
              <w:t xml:space="preserve"> </w:t>
            </w:r>
            <w:proofErr w:type="spellStart"/>
            <w:r w:rsidRPr="008E0CBB">
              <w:rPr>
                <w:color w:val="000000"/>
                <w:sz w:val="20"/>
              </w:rPr>
              <w:t>Måwe</w:t>
            </w:r>
            <w:proofErr w:type="spellEnd"/>
            <w:r w:rsidRPr="008E0CBB">
              <w:rPr>
                <w:color w:val="000000"/>
                <w:sz w:val="20"/>
              </w:rPr>
              <w:t xml:space="preserve">, Tomas </w:t>
            </w:r>
            <w:proofErr w:type="spellStart"/>
            <w:r w:rsidRPr="008E0CBB">
              <w:rPr>
                <w:color w:val="000000"/>
                <w:sz w:val="20"/>
              </w:rPr>
              <w:t>Tobé</w:t>
            </w:r>
            <w:proofErr w:type="spellEnd"/>
            <w:r w:rsidRPr="008E0CBB">
              <w:rPr>
                <w:color w:val="000000"/>
                <w:sz w:val="20"/>
              </w:rPr>
              <w:t xml:space="preserve">, Milan </w:t>
            </w:r>
            <w:proofErr w:type="spellStart"/>
            <w:r w:rsidRPr="008E0CBB">
              <w:rPr>
                <w:color w:val="000000"/>
                <w:sz w:val="20"/>
              </w:rPr>
              <w:t>Uhrík</w:t>
            </w:r>
            <w:proofErr w:type="spellEnd"/>
            <w:r w:rsidRPr="008E0CBB">
              <w:rPr>
                <w:color w:val="000000"/>
                <w:sz w:val="20"/>
              </w:rPr>
              <w:t xml:space="preserve">, </w:t>
            </w:r>
            <w:proofErr w:type="spellStart"/>
            <w:r w:rsidRPr="008E0CBB">
              <w:rPr>
                <w:color w:val="000000"/>
                <w:sz w:val="20"/>
              </w:rPr>
              <w:t>Tom</w:t>
            </w:r>
            <w:proofErr w:type="spellEnd"/>
            <w:r w:rsidRPr="008E0CBB">
              <w:rPr>
                <w:color w:val="000000"/>
                <w:sz w:val="20"/>
              </w:rPr>
              <w:t xml:space="preserve"> </w:t>
            </w:r>
            <w:proofErr w:type="spellStart"/>
            <w:r w:rsidRPr="008E0CBB">
              <w:rPr>
                <w:color w:val="000000"/>
                <w:sz w:val="20"/>
              </w:rPr>
              <w:t>Vandendriessche</w:t>
            </w:r>
            <w:proofErr w:type="spellEnd"/>
            <w:r w:rsidRPr="008E0CBB">
              <w:rPr>
                <w:color w:val="000000"/>
                <w:sz w:val="20"/>
              </w:rPr>
              <w:t xml:space="preserve">, </w:t>
            </w:r>
            <w:proofErr w:type="spellStart"/>
            <w:r w:rsidRPr="008E0CBB">
              <w:rPr>
                <w:color w:val="000000"/>
                <w:sz w:val="20"/>
              </w:rPr>
              <w:t>Kristian</w:t>
            </w:r>
            <w:proofErr w:type="spellEnd"/>
            <w:r w:rsidRPr="008E0CBB">
              <w:rPr>
                <w:color w:val="000000"/>
                <w:sz w:val="20"/>
              </w:rPr>
              <w:t xml:space="preserve"> </w:t>
            </w:r>
            <w:proofErr w:type="spellStart"/>
            <w:r w:rsidRPr="008E0CBB">
              <w:rPr>
                <w:color w:val="000000"/>
                <w:sz w:val="20"/>
              </w:rPr>
              <w:t>Vigenin</w:t>
            </w:r>
            <w:proofErr w:type="spellEnd"/>
            <w:r w:rsidRPr="008E0CBB">
              <w:rPr>
                <w:color w:val="000000"/>
                <w:sz w:val="20"/>
              </w:rPr>
              <w:t xml:space="preserve">, </w:t>
            </w:r>
            <w:proofErr w:type="spellStart"/>
            <w:r w:rsidRPr="008E0CBB">
              <w:rPr>
                <w:color w:val="000000"/>
                <w:sz w:val="20"/>
              </w:rPr>
              <w:t>Elissavet</w:t>
            </w:r>
            <w:proofErr w:type="spellEnd"/>
            <w:r w:rsidRPr="008E0CBB">
              <w:rPr>
                <w:color w:val="000000"/>
                <w:sz w:val="20"/>
              </w:rPr>
              <w:t xml:space="preserve"> </w:t>
            </w:r>
            <w:proofErr w:type="spellStart"/>
            <w:r w:rsidRPr="008E0CBB">
              <w:rPr>
                <w:color w:val="000000"/>
                <w:sz w:val="20"/>
              </w:rPr>
              <w:t>Vozemberg-Vrionidi</w:t>
            </w:r>
            <w:proofErr w:type="spellEnd"/>
            <w:r w:rsidRPr="008E0CBB">
              <w:rPr>
                <w:color w:val="000000"/>
                <w:sz w:val="20"/>
              </w:rPr>
              <w:t xml:space="preserve">, </w:t>
            </w:r>
            <w:proofErr w:type="spellStart"/>
            <w:r w:rsidRPr="008E0CBB">
              <w:rPr>
                <w:color w:val="000000"/>
                <w:sz w:val="20"/>
              </w:rPr>
              <w:t>Isabel</w:t>
            </w:r>
            <w:proofErr w:type="spellEnd"/>
            <w:r w:rsidRPr="008E0CBB">
              <w:rPr>
                <w:color w:val="000000"/>
                <w:sz w:val="20"/>
              </w:rPr>
              <w:t xml:space="preserve"> </w:t>
            </w:r>
            <w:proofErr w:type="spellStart"/>
            <w:r w:rsidRPr="008E0CBB">
              <w:rPr>
                <w:color w:val="000000"/>
                <w:sz w:val="20"/>
              </w:rPr>
              <w:t>Wiseler</w:t>
            </w:r>
            <w:proofErr w:type="spellEnd"/>
            <w:r w:rsidRPr="008E0CBB">
              <w:rPr>
                <w:color w:val="000000"/>
                <w:sz w:val="20"/>
              </w:rPr>
              <w:t xml:space="preserve">-Lima, </w:t>
            </w:r>
            <w:proofErr w:type="spellStart"/>
            <w:r w:rsidRPr="008E0CBB">
              <w:rPr>
                <w:color w:val="000000"/>
                <w:sz w:val="20"/>
              </w:rPr>
              <w:t>Ewa</w:t>
            </w:r>
            <w:proofErr w:type="spellEnd"/>
            <w:r w:rsidRPr="008E0CBB">
              <w:rPr>
                <w:color w:val="000000"/>
                <w:sz w:val="20"/>
              </w:rPr>
              <w:t xml:space="preserve"> </w:t>
            </w:r>
            <w:proofErr w:type="spellStart"/>
            <w:r w:rsidRPr="008E0CBB">
              <w:rPr>
                <w:color w:val="000000"/>
                <w:sz w:val="20"/>
              </w:rPr>
              <w:t>Zajączkowska-Hernik</w:t>
            </w:r>
            <w:proofErr w:type="spellEnd"/>
            <w:r w:rsidRPr="008E0CBB">
              <w:rPr>
                <w:color w:val="000000"/>
                <w:sz w:val="20"/>
              </w:rPr>
              <w:t xml:space="preserve">, </w:t>
            </w:r>
            <w:proofErr w:type="spellStart"/>
            <w:r w:rsidRPr="008E0CBB">
              <w:rPr>
                <w:color w:val="000000"/>
                <w:sz w:val="20"/>
              </w:rPr>
              <w:t>Alessandro</w:t>
            </w:r>
            <w:proofErr w:type="spellEnd"/>
            <w:r w:rsidRPr="008E0CBB">
              <w:rPr>
                <w:color w:val="000000"/>
                <w:sz w:val="20"/>
              </w:rPr>
              <w:t xml:space="preserve"> </w:t>
            </w:r>
            <w:proofErr w:type="spellStart"/>
            <w:r w:rsidRPr="008E0CBB">
              <w:rPr>
                <w:color w:val="000000"/>
                <w:sz w:val="20"/>
              </w:rPr>
              <w:t>Zan</w:t>
            </w:r>
            <w:proofErr w:type="spellEnd"/>
            <w:r w:rsidRPr="008E0CBB">
              <w:rPr>
                <w:color w:val="000000"/>
                <w:sz w:val="20"/>
              </w:rPr>
              <w:t xml:space="preserve">, </w:t>
            </w:r>
            <w:proofErr w:type="spellStart"/>
            <w:r w:rsidRPr="008E0CBB">
              <w:rPr>
                <w:color w:val="000000"/>
                <w:sz w:val="20"/>
              </w:rPr>
              <w:t>Javier</w:t>
            </w:r>
            <w:proofErr w:type="spellEnd"/>
            <w:r w:rsidRPr="008E0CBB">
              <w:rPr>
                <w:color w:val="000000"/>
                <w:sz w:val="20"/>
              </w:rPr>
              <w:t xml:space="preserve"> </w:t>
            </w:r>
            <w:proofErr w:type="spellStart"/>
            <w:r w:rsidRPr="008E0CBB">
              <w:rPr>
                <w:color w:val="000000"/>
                <w:sz w:val="20"/>
              </w:rPr>
              <w:t>Zarzalejos</w:t>
            </w:r>
            <w:proofErr w:type="spellEnd"/>
            <w:r w:rsidRPr="008E0CBB">
              <w:rPr>
                <w:color w:val="000000"/>
                <w:sz w:val="20"/>
              </w:rPr>
              <w:t xml:space="preserve">, </w:t>
            </w:r>
            <w:proofErr w:type="spellStart"/>
            <w:r w:rsidRPr="008E0CBB">
              <w:rPr>
                <w:color w:val="000000"/>
                <w:sz w:val="20"/>
              </w:rPr>
              <w:t>Tomáš</w:t>
            </w:r>
            <w:proofErr w:type="spellEnd"/>
            <w:r w:rsidRPr="008E0CBB">
              <w:rPr>
                <w:color w:val="000000"/>
                <w:sz w:val="20"/>
              </w:rPr>
              <w:t xml:space="preserve"> </w:t>
            </w:r>
            <w:proofErr w:type="spellStart"/>
            <w:r w:rsidRPr="008E0CBB">
              <w:rPr>
                <w:color w:val="000000"/>
                <w:sz w:val="20"/>
              </w:rPr>
              <w:t>Zdechovský</w:t>
            </w:r>
            <w:proofErr w:type="spellEnd"/>
          </w:p>
        </w:tc>
      </w:tr>
      <w:tr w:rsidR="00B04730" w:rsidRPr="008E0CBB" w14:paraId="36041120" w14:textId="77777777" w:rsidTr="00A5405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3C37251" w14:textId="77777777" w:rsidR="00B04730" w:rsidRPr="008E0CBB" w:rsidRDefault="00B04730" w:rsidP="00A5405C">
            <w:pPr>
              <w:autoSpaceDE w:val="0"/>
              <w:autoSpaceDN w:val="0"/>
              <w:adjustRightInd w:val="0"/>
              <w:rPr>
                <w:b/>
                <w:bCs/>
                <w:color w:val="000000"/>
                <w:sz w:val="20"/>
              </w:rPr>
            </w:pPr>
            <w:r w:rsidRPr="008E0CBB">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C056518" w14:textId="77777777" w:rsidR="00B04730" w:rsidRPr="008E0CBB" w:rsidRDefault="00B04730" w:rsidP="00A5405C">
            <w:pPr>
              <w:autoSpaceDE w:val="0"/>
              <w:autoSpaceDN w:val="0"/>
              <w:adjustRightInd w:val="0"/>
              <w:rPr>
                <w:color w:val="000000"/>
                <w:sz w:val="20"/>
              </w:rPr>
            </w:pPr>
            <w:r w:rsidRPr="008E0CBB">
              <w:rPr>
                <w:color w:val="000000"/>
                <w:sz w:val="20"/>
              </w:rPr>
              <w:t xml:space="preserve">Katarina </w:t>
            </w:r>
            <w:proofErr w:type="spellStart"/>
            <w:r w:rsidRPr="008E0CBB">
              <w:rPr>
                <w:color w:val="000000"/>
                <w:sz w:val="20"/>
              </w:rPr>
              <w:t>Barley</w:t>
            </w:r>
            <w:proofErr w:type="spellEnd"/>
            <w:r w:rsidRPr="008E0CBB">
              <w:rPr>
                <w:color w:val="000000"/>
                <w:sz w:val="20"/>
              </w:rPr>
              <w:t xml:space="preserve">, </w:t>
            </w:r>
            <w:proofErr w:type="spellStart"/>
            <w:r w:rsidRPr="008E0CBB">
              <w:rPr>
                <w:color w:val="000000"/>
                <w:sz w:val="20"/>
              </w:rPr>
              <w:t>Anna</w:t>
            </w:r>
            <w:proofErr w:type="spellEnd"/>
            <w:r w:rsidRPr="008E0CBB">
              <w:rPr>
                <w:color w:val="000000"/>
                <w:sz w:val="20"/>
              </w:rPr>
              <w:t xml:space="preserve"> Maria </w:t>
            </w:r>
            <w:proofErr w:type="spellStart"/>
            <w:r w:rsidRPr="008E0CBB">
              <w:rPr>
                <w:color w:val="000000"/>
                <w:sz w:val="20"/>
              </w:rPr>
              <w:t>Cisint</w:t>
            </w:r>
            <w:proofErr w:type="spellEnd"/>
            <w:r w:rsidRPr="008E0CBB">
              <w:rPr>
                <w:color w:val="000000"/>
                <w:sz w:val="20"/>
              </w:rPr>
              <w:t xml:space="preserve">, </w:t>
            </w:r>
            <w:proofErr w:type="spellStart"/>
            <w:r w:rsidRPr="008E0CBB">
              <w:rPr>
                <w:color w:val="000000"/>
                <w:sz w:val="20"/>
              </w:rPr>
              <w:t>Markéta</w:t>
            </w:r>
            <w:proofErr w:type="spellEnd"/>
            <w:r w:rsidRPr="008E0CBB">
              <w:rPr>
                <w:color w:val="000000"/>
                <w:sz w:val="20"/>
              </w:rPr>
              <w:t xml:space="preserve"> </w:t>
            </w:r>
            <w:proofErr w:type="spellStart"/>
            <w:r w:rsidRPr="008E0CBB">
              <w:rPr>
                <w:color w:val="000000"/>
                <w:sz w:val="20"/>
              </w:rPr>
              <w:t>Gregorová</w:t>
            </w:r>
            <w:proofErr w:type="spellEnd"/>
            <w:r w:rsidRPr="008E0CBB">
              <w:rPr>
                <w:color w:val="000000"/>
                <w:sz w:val="20"/>
              </w:rPr>
              <w:t xml:space="preserve">, Monika </w:t>
            </w:r>
            <w:proofErr w:type="spellStart"/>
            <w:r w:rsidRPr="008E0CBB">
              <w:rPr>
                <w:color w:val="000000"/>
                <w:sz w:val="20"/>
              </w:rPr>
              <w:t>Hohlmeier</w:t>
            </w:r>
            <w:proofErr w:type="spellEnd"/>
            <w:r w:rsidRPr="008E0CBB">
              <w:rPr>
                <w:color w:val="000000"/>
                <w:sz w:val="20"/>
              </w:rPr>
              <w:t xml:space="preserve">, </w:t>
            </w:r>
            <w:proofErr w:type="spellStart"/>
            <w:r w:rsidRPr="008E0CBB">
              <w:rPr>
                <w:color w:val="000000"/>
                <w:sz w:val="20"/>
              </w:rPr>
              <w:t>Nikola</w:t>
            </w:r>
            <w:proofErr w:type="spellEnd"/>
            <w:r w:rsidRPr="008E0CBB">
              <w:rPr>
                <w:color w:val="000000"/>
                <w:sz w:val="20"/>
              </w:rPr>
              <w:t xml:space="preserve"> </w:t>
            </w:r>
            <w:proofErr w:type="spellStart"/>
            <w:r w:rsidRPr="008E0CBB">
              <w:rPr>
                <w:color w:val="000000"/>
                <w:sz w:val="20"/>
              </w:rPr>
              <w:t>Minchev</w:t>
            </w:r>
            <w:proofErr w:type="spellEnd"/>
            <w:r w:rsidRPr="008E0CBB">
              <w:rPr>
                <w:color w:val="000000"/>
                <w:sz w:val="20"/>
              </w:rPr>
              <w:t xml:space="preserve">, </w:t>
            </w:r>
            <w:proofErr w:type="spellStart"/>
            <w:r w:rsidRPr="008E0CBB">
              <w:rPr>
                <w:color w:val="000000"/>
                <w:sz w:val="20"/>
              </w:rPr>
              <w:t>Javier</w:t>
            </w:r>
            <w:proofErr w:type="spellEnd"/>
            <w:r w:rsidRPr="008E0CBB">
              <w:rPr>
                <w:color w:val="000000"/>
                <w:sz w:val="20"/>
              </w:rPr>
              <w:t xml:space="preserve"> </w:t>
            </w:r>
            <w:proofErr w:type="spellStart"/>
            <w:r w:rsidRPr="008E0CBB">
              <w:rPr>
                <w:color w:val="000000"/>
                <w:sz w:val="20"/>
              </w:rPr>
              <w:t>Moreno</w:t>
            </w:r>
            <w:proofErr w:type="spellEnd"/>
            <w:r w:rsidRPr="008E0CBB">
              <w:rPr>
                <w:color w:val="000000"/>
                <w:sz w:val="20"/>
              </w:rPr>
              <w:t xml:space="preserve"> </w:t>
            </w:r>
            <w:proofErr w:type="spellStart"/>
            <w:r w:rsidRPr="008E0CBB">
              <w:rPr>
                <w:color w:val="000000"/>
                <w:sz w:val="20"/>
              </w:rPr>
              <w:t>Sánchez</w:t>
            </w:r>
            <w:proofErr w:type="spellEnd"/>
            <w:r w:rsidRPr="008E0CBB">
              <w:rPr>
                <w:color w:val="000000"/>
                <w:sz w:val="20"/>
              </w:rPr>
              <w:t xml:space="preserve">, </w:t>
            </w:r>
            <w:proofErr w:type="spellStart"/>
            <w:r w:rsidRPr="008E0CBB">
              <w:rPr>
                <w:color w:val="000000"/>
                <w:sz w:val="20"/>
              </w:rPr>
              <w:t>Jan-Christoph</w:t>
            </w:r>
            <w:proofErr w:type="spellEnd"/>
            <w:r w:rsidRPr="008E0CBB">
              <w:rPr>
                <w:color w:val="000000"/>
                <w:sz w:val="20"/>
              </w:rPr>
              <w:t xml:space="preserve"> </w:t>
            </w:r>
            <w:proofErr w:type="spellStart"/>
            <w:r w:rsidRPr="008E0CBB">
              <w:rPr>
                <w:color w:val="000000"/>
                <w:sz w:val="20"/>
              </w:rPr>
              <w:t>Oetjen</w:t>
            </w:r>
            <w:proofErr w:type="spellEnd"/>
            <w:r w:rsidRPr="008E0CBB">
              <w:rPr>
                <w:color w:val="000000"/>
                <w:sz w:val="20"/>
              </w:rPr>
              <w:t xml:space="preserve">, </w:t>
            </w:r>
            <w:proofErr w:type="spellStart"/>
            <w:r w:rsidRPr="008E0CBB">
              <w:rPr>
                <w:color w:val="000000"/>
                <w:sz w:val="20"/>
              </w:rPr>
              <w:t>Leoluca</w:t>
            </w:r>
            <w:proofErr w:type="spellEnd"/>
            <w:r w:rsidRPr="008E0CBB">
              <w:rPr>
                <w:color w:val="000000"/>
                <w:sz w:val="20"/>
              </w:rPr>
              <w:t xml:space="preserve"> </w:t>
            </w:r>
            <w:proofErr w:type="spellStart"/>
            <w:r w:rsidRPr="008E0CBB">
              <w:rPr>
                <w:color w:val="000000"/>
                <w:sz w:val="20"/>
              </w:rPr>
              <w:t>Orlando</w:t>
            </w:r>
            <w:proofErr w:type="spellEnd"/>
            <w:r w:rsidRPr="008E0CBB">
              <w:rPr>
                <w:color w:val="000000"/>
                <w:sz w:val="20"/>
              </w:rPr>
              <w:t xml:space="preserve">, </w:t>
            </w:r>
            <w:proofErr w:type="spellStart"/>
            <w:r w:rsidRPr="008E0CBB">
              <w:rPr>
                <w:color w:val="000000"/>
                <w:sz w:val="20"/>
              </w:rPr>
              <w:t>Oliver</w:t>
            </w:r>
            <w:proofErr w:type="spellEnd"/>
            <w:r w:rsidRPr="008E0CBB">
              <w:rPr>
                <w:color w:val="000000"/>
                <w:sz w:val="20"/>
              </w:rPr>
              <w:t xml:space="preserve"> </w:t>
            </w:r>
            <w:proofErr w:type="spellStart"/>
            <w:r w:rsidRPr="008E0CBB">
              <w:rPr>
                <w:color w:val="000000"/>
                <w:sz w:val="20"/>
              </w:rPr>
              <w:t>Schenk</w:t>
            </w:r>
            <w:proofErr w:type="spellEnd"/>
            <w:r w:rsidRPr="008E0CBB">
              <w:rPr>
                <w:color w:val="000000"/>
                <w:sz w:val="20"/>
              </w:rPr>
              <w:t xml:space="preserve">, </w:t>
            </w:r>
            <w:proofErr w:type="spellStart"/>
            <w:r w:rsidRPr="008E0CBB">
              <w:rPr>
                <w:color w:val="000000"/>
                <w:sz w:val="20"/>
              </w:rPr>
              <w:t>Sebastian</w:t>
            </w:r>
            <w:proofErr w:type="spellEnd"/>
            <w:r w:rsidRPr="008E0CBB">
              <w:rPr>
                <w:color w:val="000000"/>
                <w:sz w:val="20"/>
              </w:rPr>
              <w:t xml:space="preserve"> </w:t>
            </w:r>
            <w:proofErr w:type="spellStart"/>
            <w:r w:rsidRPr="008E0CBB">
              <w:rPr>
                <w:color w:val="000000"/>
                <w:sz w:val="20"/>
              </w:rPr>
              <w:t>Tynkkynen</w:t>
            </w:r>
            <w:proofErr w:type="spellEnd"/>
            <w:r w:rsidRPr="008E0CBB">
              <w:rPr>
                <w:color w:val="000000"/>
                <w:sz w:val="20"/>
              </w:rPr>
              <w:t xml:space="preserve">, </w:t>
            </w:r>
            <w:proofErr w:type="spellStart"/>
            <w:r w:rsidRPr="008E0CBB">
              <w:rPr>
                <w:color w:val="000000"/>
                <w:sz w:val="20"/>
              </w:rPr>
              <w:t>Alexandre</w:t>
            </w:r>
            <w:proofErr w:type="spellEnd"/>
            <w:r w:rsidRPr="008E0CBB">
              <w:rPr>
                <w:color w:val="000000"/>
                <w:sz w:val="20"/>
              </w:rPr>
              <w:t xml:space="preserve"> </w:t>
            </w:r>
            <w:proofErr w:type="spellStart"/>
            <w:r w:rsidRPr="008E0CBB">
              <w:rPr>
                <w:color w:val="000000"/>
                <w:sz w:val="20"/>
              </w:rPr>
              <w:t>Varaut</w:t>
            </w:r>
            <w:proofErr w:type="spellEnd"/>
            <w:r w:rsidRPr="008E0CBB">
              <w:rPr>
                <w:color w:val="000000"/>
                <w:sz w:val="20"/>
              </w:rPr>
              <w:t xml:space="preserve">, </w:t>
            </w:r>
            <w:proofErr w:type="spellStart"/>
            <w:r w:rsidRPr="008E0CBB">
              <w:rPr>
                <w:color w:val="000000"/>
                <w:sz w:val="20"/>
              </w:rPr>
              <w:t>Maciej</w:t>
            </w:r>
            <w:proofErr w:type="spellEnd"/>
            <w:r w:rsidRPr="008E0CBB">
              <w:rPr>
                <w:color w:val="000000"/>
                <w:sz w:val="20"/>
              </w:rPr>
              <w:t xml:space="preserve"> </w:t>
            </w:r>
            <w:proofErr w:type="spellStart"/>
            <w:r w:rsidRPr="008E0CBB">
              <w:rPr>
                <w:color w:val="000000"/>
                <w:sz w:val="20"/>
              </w:rPr>
              <w:t>Wąsik</w:t>
            </w:r>
            <w:proofErr w:type="spellEnd"/>
          </w:p>
        </w:tc>
      </w:tr>
      <w:tr w:rsidR="00B04730" w:rsidRPr="008E0CBB" w14:paraId="77919382" w14:textId="77777777" w:rsidTr="00A5405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511D66F" w14:textId="77777777" w:rsidR="00B04730" w:rsidRPr="008E0CBB" w:rsidRDefault="00B04730" w:rsidP="00A5405C">
            <w:pPr>
              <w:autoSpaceDE w:val="0"/>
              <w:autoSpaceDN w:val="0"/>
              <w:adjustRightInd w:val="0"/>
              <w:rPr>
                <w:b/>
                <w:bCs/>
                <w:color w:val="000000"/>
                <w:sz w:val="20"/>
              </w:rPr>
            </w:pPr>
            <w:r w:rsidRPr="008E0CBB">
              <w:rPr>
                <w:b/>
                <w:color w:val="000000"/>
                <w:sz w:val="20"/>
              </w:rPr>
              <w:t>Posėdyje per galutinį balsavimą pagal 216 straipsnio 7 dalį dalyvavę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85C4A0D" w14:textId="77777777" w:rsidR="00B04730" w:rsidRPr="008E0CBB" w:rsidRDefault="00B04730" w:rsidP="00A5405C">
            <w:pPr>
              <w:autoSpaceDE w:val="0"/>
              <w:autoSpaceDN w:val="0"/>
              <w:adjustRightInd w:val="0"/>
              <w:rPr>
                <w:color w:val="000000"/>
                <w:sz w:val="20"/>
              </w:rPr>
            </w:pPr>
            <w:proofErr w:type="spellStart"/>
            <w:r w:rsidRPr="008E0CBB">
              <w:rPr>
                <w:color w:val="000000"/>
                <w:sz w:val="20"/>
              </w:rPr>
              <w:t>Stefano</w:t>
            </w:r>
            <w:proofErr w:type="spellEnd"/>
            <w:r w:rsidRPr="008E0CBB">
              <w:rPr>
                <w:color w:val="000000"/>
                <w:sz w:val="20"/>
              </w:rPr>
              <w:t xml:space="preserve"> </w:t>
            </w:r>
            <w:proofErr w:type="spellStart"/>
            <w:r w:rsidRPr="008E0CBB">
              <w:rPr>
                <w:color w:val="000000"/>
                <w:sz w:val="20"/>
              </w:rPr>
              <w:t>Cavedagna</w:t>
            </w:r>
            <w:proofErr w:type="spellEnd"/>
            <w:r w:rsidRPr="008E0CBB">
              <w:rPr>
                <w:color w:val="000000"/>
                <w:sz w:val="20"/>
              </w:rPr>
              <w:t xml:space="preserve">, </w:t>
            </w:r>
            <w:proofErr w:type="spellStart"/>
            <w:r w:rsidRPr="008E0CBB">
              <w:rPr>
                <w:color w:val="000000"/>
                <w:sz w:val="20"/>
              </w:rPr>
              <w:t>José</w:t>
            </w:r>
            <w:proofErr w:type="spellEnd"/>
            <w:r w:rsidRPr="008E0CBB">
              <w:rPr>
                <w:color w:val="000000"/>
                <w:sz w:val="20"/>
              </w:rPr>
              <w:t xml:space="preserve"> </w:t>
            </w:r>
            <w:proofErr w:type="spellStart"/>
            <w:r w:rsidRPr="008E0CBB">
              <w:rPr>
                <w:color w:val="000000"/>
                <w:sz w:val="20"/>
              </w:rPr>
              <w:t>Cepeda</w:t>
            </w:r>
            <w:proofErr w:type="spellEnd"/>
            <w:r w:rsidRPr="008E0CBB">
              <w:rPr>
                <w:color w:val="000000"/>
                <w:sz w:val="20"/>
              </w:rPr>
              <w:t xml:space="preserve">, </w:t>
            </w:r>
            <w:proofErr w:type="spellStart"/>
            <w:r w:rsidRPr="008E0CBB">
              <w:rPr>
                <w:color w:val="000000"/>
                <w:sz w:val="20"/>
              </w:rPr>
              <w:t>Pietro</w:t>
            </w:r>
            <w:proofErr w:type="spellEnd"/>
            <w:r w:rsidRPr="008E0CBB">
              <w:rPr>
                <w:color w:val="000000"/>
                <w:sz w:val="20"/>
              </w:rPr>
              <w:t xml:space="preserve"> </w:t>
            </w:r>
            <w:proofErr w:type="spellStart"/>
            <w:r w:rsidRPr="008E0CBB">
              <w:rPr>
                <w:color w:val="000000"/>
                <w:sz w:val="20"/>
              </w:rPr>
              <w:t>Fiocchi</w:t>
            </w:r>
            <w:proofErr w:type="spellEnd"/>
            <w:r w:rsidRPr="008E0CBB">
              <w:rPr>
                <w:color w:val="000000"/>
                <w:sz w:val="20"/>
              </w:rPr>
              <w:t xml:space="preserve">, </w:t>
            </w:r>
            <w:proofErr w:type="spellStart"/>
            <w:r w:rsidRPr="008E0CBB">
              <w:rPr>
                <w:color w:val="000000"/>
                <w:sz w:val="20"/>
              </w:rPr>
              <w:t>Andrey</w:t>
            </w:r>
            <w:proofErr w:type="spellEnd"/>
            <w:r w:rsidRPr="008E0CBB">
              <w:rPr>
                <w:color w:val="000000"/>
                <w:sz w:val="20"/>
              </w:rPr>
              <w:t xml:space="preserve"> </w:t>
            </w:r>
            <w:proofErr w:type="spellStart"/>
            <w:r w:rsidRPr="008E0CBB">
              <w:rPr>
                <w:color w:val="000000"/>
                <w:sz w:val="20"/>
              </w:rPr>
              <w:t>Kovatchev</w:t>
            </w:r>
            <w:proofErr w:type="spellEnd"/>
            <w:r w:rsidRPr="008E0CBB">
              <w:rPr>
                <w:color w:val="000000"/>
                <w:sz w:val="20"/>
              </w:rPr>
              <w:t xml:space="preserve">, </w:t>
            </w:r>
            <w:proofErr w:type="spellStart"/>
            <w:r w:rsidRPr="008E0CBB">
              <w:rPr>
                <w:color w:val="000000"/>
                <w:sz w:val="20"/>
              </w:rPr>
              <w:t>Marcos</w:t>
            </w:r>
            <w:proofErr w:type="spellEnd"/>
            <w:r w:rsidRPr="008E0CBB">
              <w:rPr>
                <w:color w:val="000000"/>
                <w:sz w:val="20"/>
              </w:rPr>
              <w:t xml:space="preserve"> Ros </w:t>
            </w:r>
            <w:proofErr w:type="spellStart"/>
            <w:r w:rsidRPr="008E0CBB">
              <w:rPr>
                <w:color w:val="000000"/>
                <w:sz w:val="20"/>
              </w:rPr>
              <w:t>Sempere</w:t>
            </w:r>
            <w:proofErr w:type="spellEnd"/>
            <w:r w:rsidRPr="008E0CBB">
              <w:rPr>
                <w:color w:val="000000"/>
                <w:sz w:val="20"/>
              </w:rPr>
              <w:t xml:space="preserve">, </w:t>
            </w:r>
            <w:proofErr w:type="spellStart"/>
            <w:r w:rsidRPr="008E0CBB">
              <w:rPr>
                <w:color w:val="000000"/>
                <w:sz w:val="20"/>
              </w:rPr>
              <w:t>Michał</w:t>
            </w:r>
            <w:proofErr w:type="spellEnd"/>
            <w:r w:rsidRPr="008E0CBB">
              <w:rPr>
                <w:color w:val="000000"/>
                <w:sz w:val="20"/>
              </w:rPr>
              <w:t xml:space="preserve"> </w:t>
            </w:r>
            <w:proofErr w:type="spellStart"/>
            <w:r w:rsidRPr="008E0CBB">
              <w:rPr>
                <w:color w:val="000000"/>
                <w:sz w:val="20"/>
              </w:rPr>
              <w:t>Szczerba</w:t>
            </w:r>
            <w:proofErr w:type="spellEnd"/>
            <w:r w:rsidRPr="008E0CBB">
              <w:rPr>
                <w:color w:val="000000"/>
                <w:sz w:val="20"/>
              </w:rPr>
              <w:t xml:space="preserve">, </w:t>
            </w:r>
            <w:proofErr w:type="spellStart"/>
            <w:r w:rsidRPr="008E0CBB">
              <w:rPr>
                <w:color w:val="000000"/>
                <w:sz w:val="20"/>
              </w:rPr>
              <w:t>Catarina</w:t>
            </w:r>
            <w:proofErr w:type="spellEnd"/>
            <w:r w:rsidRPr="008E0CBB">
              <w:rPr>
                <w:color w:val="000000"/>
                <w:sz w:val="20"/>
              </w:rPr>
              <w:t xml:space="preserve"> </w:t>
            </w:r>
            <w:proofErr w:type="spellStart"/>
            <w:r w:rsidRPr="008E0CBB">
              <w:rPr>
                <w:color w:val="000000"/>
                <w:sz w:val="20"/>
              </w:rPr>
              <w:t>Vieira</w:t>
            </w:r>
            <w:proofErr w:type="spellEnd"/>
          </w:p>
        </w:tc>
      </w:tr>
    </w:tbl>
    <w:p w14:paraId="26D4EAAC" w14:textId="77777777" w:rsidR="00B04730" w:rsidRPr="008E0CBB" w:rsidRDefault="00B04730" w:rsidP="00B04730"/>
    <w:p w14:paraId="513B997B" w14:textId="77777777" w:rsidR="00B04730" w:rsidRPr="008E0CBB" w:rsidRDefault="00B04730" w:rsidP="00B04730">
      <w:pPr>
        <w:sectPr w:rsidR="00B04730" w:rsidRPr="008E0CBB" w:rsidSect="00B04730">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0E33816" w14:textId="77777777" w:rsidR="00B04730" w:rsidRPr="00B04730" w:rsidRDefault="00B04730" w:rsidP="00B04730">
      <w:pPr>
        <w:pStyle w:val="PageHeadingNotTOC"/>
        <w:spacing w:after="0"/>
      </w:pPr>
      <w:bookmarkStart w:id="4" w:name="RollCallPageRR"/>
      <w:r w:rsidRPr="00B04730">
        <w:lastRenderedPageBreak/>
        <w:t>GALUTINIS VARDINIS BALSAVIMAS</w:t>
      </w:r>
      <w:r>
        <w:t xml:space="preserve"> </w:t>
      </w:r>
      <w:r>
        <w:br/>
      </w:r>
      <w:r w:rsidRPr="00B04730">
        <w:t>NUOMONĘ TEIKIANČIAME KOMITETE</w:t>
      </w:r>
    </w:p>
    <w:p w14:paraId="17EB6662" w14:textId="77777777" w:rsidR="00B04730" w:rsidRPr="008E0CBB" w:rsidRDefault="00B04730" w:rsidP="00B04730">
      <w:pPr>
        <w:keepNext/>
        <w:jc w:val="center"/>
        <w:rPr>
          <w:rFonts w:ascii="Arial" w:hAnsi="Arial" w:cs="Arial"/>
          <w:b/>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04730" w:rsidRPr="008E0CBB" w14:paraId="7256094B" w14:textId="77777777" w:rsidTr="00A5405C">
        <w:trPr>
          <w:cantSplit/>
        </w:trPr>
        <w:tc>
          <w:tcPr>
            <w:tcW w:w="1701" w:type="dxa"/>
            <w:shd w:val="pct10" w:color="000000" w:fill="FFFFFF"/>
            <w:vAlign w:val="center"/>
          </w:tcPr>
          <w:p w14:paraId="3CC36E88" w14:textId="77777777" w:rsidR="00B04730" w:rsidRPr="008E0CBB" w:rsidRDefault="00B04730" w:rsidP="00A5405C">
            <w:pPr>
              <w:spacing w:before="120" w:after="120"/>
              <w:jc w:val="center"/>
              <w:rPr>
                <w:b/>
                <w:bCs/>
                <w:snapToGrid w:val="0"/>
                <w:sz w:val="16"/>
              </w:rPr>
            </w:pPr>
            <w:r w:rsidRPr="008E0CBB">
              <w:rPr>
                <w:b/>
                <w:snapToGrid w:val="0"/>
                <w:sz w:val="16"/>
              </w:rPr>
              <w:t>48</w:t>
            </w:r>
          </w:p>
        </w:tc>
        <w:tc>
          <w:tcPr>
            <w:tcW w:w="7371" w:type="dxa"/>
            <w:shd w:val="pct10" w:color="000000" w:fill="FFFFFF"/>
          </w:tcPr>
          <w:p w14:paraId="30742256" w14:textId="77777777" w:rsidR="00B04730" w:rsidRPr="008E0CBB" w:rsidRDefault="00B04730" w:rsidP="00A5405C">
            <w:pPr>
              <w:spacing w:before="120" w:after="120"/>
              <w:jc w:val="center"/>
              <w:rPr>
                <w:rFonts w:ascii="Arial" w:hAnsi="Arial"/>
                <w:b/>
                <w:bCs/>
                <w:snapToGrid w:val="0"/>
                <w:sz w:val="28"/>
              </w:rPr>
            </w:pPr>
            <w:r w:rsidRPr="008E0CBB">
              <w:rPr>
                <w:rFonts w:ascii="Arial" w:hAnsi="Arial"/>
                <w:b/>
                <w:snapToGrid w:val="0"/>
                <w:sz w:val="28"/>
              </w:rPr>
              <w:t>+</w:t>
            </w:r>
          </w:p>
        </w:tc>
      </w:tr>
      <w:tr w:rsidR="00B04730" w:rsidRPr="008E0CBB" w14:paraId="775F3171" w14:textId="77777777" w:rsidTr="00A5405C">
        <w:trPr>
          <w:cantSplit/>
        </w:trPr>
        <w:tc>
          <w:tcPr>
            <w:tcW w:w="1701" w:type="dxa"/>
            <w:shd w:val="clear" w:color="auto" w:fill="FFFFFF"/>
          </w:tcPr>
          <w:p w14:paraId="69AF6A18" w14:textId="77777777" w:rsidR="00B04730" w:rsidRPr="008E0CBB" w:rsidRDefault="00B04730" w:rsidP="00A5405C">
            <w:pPr>
              <w:spacing w:before="120" w:after="120"/>
              <w:rPr>
                <w:snapToGrid w:val="0"/>
                <w:sz w:val="16"/>
              </w:rPr>
            </w:pPr>
            <w:r w:rsidRPr="008E0CBB">
              <w:rPr>
                <w:snapToGrid w:val="0"/>
                <w:sz w:val="16"/>
              </w:rPr>
              <w:t>PPE</w:t>
            </w:r>
          </w:p>
        </w:tc>
        <w:tc>
          <w:tcPr>
            <w:tcW w:w="7371" w:type="dxa"/>
            <w:shd w:val="clear" w:color="auto" w:fill="FFFFFF"/>
          </w:tcPr>
          <w:p w14:paraId="098611A2" w14:textId="77777777" w:rsidR="00B04730" w:rsidRPr="008E0CBB" w:rsidRDefault="00B04730" w:rsidP="00A5405C">
            <w:pPr>
              <w:spacing w:before="120" w:after="120"/>
              <w:rPr>
                <w:snapToGrid w:val="0"/>
                <w:sz w:val="16"/>
              </w:rPr>
            </w:pPr>
            <w:r w:rsidRPr="008E0CBB">
              <w:rPr>
                <w:snapToGrid w:val="0"/>
                <w:sz w:val="16"/>
              </w:rPr>
              <w:t xml:space="preserve">Magdalena </w:t>
            </w:r>
            <w:proofErr w:type="spellStart"/>
            <w:r w:rsidRPr="008E0CBB">
              <w:rPr>
                <w:snapToGrid w:val="0"/>
                <w:sz w:val="16"/>
              </w:rPr>
              <w:t>Adamowicz</w:t>
            </w:r>
            <w:proofErr w:type="spellEnd"/>
            <w:r w:rsidRPr="008E0CBB">
              <w:rPr>
                <w:snapToGrid w:val="0"/>
                <w:sz w:val="16"/>
              </w:rPr>
              <w:t xml:space="preserve">, </w:t>
            </w:r>
            <w:proofErr w:type="spellStart"/>
            <w:r w:rsidRPr="008E0CBB">
              <w:rPr>
                <w:snapToGrid w:val="0"/>
                <w:sz w:val="16"/>
              </w:rPr>
              <w:t>François-Xavier</w:t>
            </w:r>
            <w:proofErr w:type="spellEnd"/>
            <w:r w:rsidRPr="008E0CBB">
              <w:rPr>
                <w:snapToGrid w:val="0"/>
                <w:sz w:val="16"/>
              </w:rPr>
              <w:t xml:space="preserve"> </w:t>
            </w:r>
            <w:proofErr w:type="spellStart"/>
            <w:r w:rsidRPr="008E0CBB">
              <w:rPr>
                <w:snapToGrid w:val="0"/>
                <w:sz w:val="16"/>
              </w:rPr>
              <w:t>Bellamy</w:t>
            </w:r>
            <w:proofErr w:type="spellEnd"/>
            <w:r w:rsidRPr="008E0CBB">
              <w:rPr>
                <w:snapToGrid w:val="0"/>
                <w:sz w:val="16"/>
              </w:rPr>
              <w:t xml:space="preserve">, </w:t>
            </w:r>
            <w:proofErr w:type="spellStart"/>
            <w:r w:rsidRPr="008E0CBB">
              <w:rPr>
                <w:snapToGrid w:val="0"/>
                <w:sz w:val="16"/>
              </w:rPr>
              <w:t>Ioan-Rareş</w:t>
            </w:r>
            <w:proofErr w:type="spellEnd"/>
            <w:r w:rsidRPr="008E0CBB">
              <w:rPr>
                <w:snapToGrid w:val="0"/>
                <w:sz w:val="16"/>
              </w:rPr>
              <w:t xml:space="preserve"> </w:t>
            </w:r>
            <w:proofErr w:type="spellStart"/>
            <w:r w:rsidRPr="008E0CBB">
              <w:rPr>
                <w:snapToGrid w:val="0"/>
                <w:sz w:val="16"/>
              </w:rPr>
              <w:t>Bogdan</w:t>
            </w:r>
            <w:proofErr w:type="spellEnd"/>
            <w:r w:rsidRPr="008E0CBB">
              <w:rPr>
                <w:snapToGrid w:val="0"/>
                <w:sz w:val="16"/>
              </w:rPr>
              <w:t xml:space="preserve">, </w:t>
            </w:r>
            <w:proofErr w:type="spellStart"/>
            <w:r w:rsidRPr="008E0CBB">
              <w:rPr>
                <w:snapToGrid w:val="0"/>
                <w:sz w:val="16"/>
              </w:rPr>
              <w:t>Caterina</w:t>
            </w:r>
            <w:proofErr w:type="spellEnd"/>
            <w:r w:rsidRPr="008E0CBB">
              <w:rPr>
                <w:snapToGrid w:val="0"/>
                <w:sz w:val="16"/>
              </w:rPr>
              <w:t xml:space="preserve"> </w:t>
            </w:r>
            <w:proofErr w:type="spellStart"/>
            <w:r w:rsidRPr="008E0CBB">
              <w:rPr>
                <w:snapToGrid w:val="0"/>
                <w:sz w:val="16"/>
              </w:rPr>
              <w:t>Chinnici</w:t>
            </w:r>
            <w:proofErr w:type="spellEnd"/>
            <w:r w:rsidRPr="008E0CBB">
              <w:rPr>
                <w:snapToGrid w:val="0"/>
                <w:sz w:val="16"/>
              </w:rPr>
              <w:t xml:space="preserve">, Lena </w:t>
            </w:r>
            <w:proofErr w:type="spellStart"/>
            <w:r w:rsidRPr="008E0CBB">
              <w:rPr>
                <w:snapToGrid w:val="0"/>
                <w:sz w:val="16"/>
              </w:rPr>
              <w:t>Düpont</w:t>
            </w:r>
            <w:proofErr w:type="spellEnd"/>
            <w:r w:rsidRPr="008E0CBB">
              <w:rPr>
                <w:snapToGrid w:val="0"/>
                <w:sz w:val="16"/>
              </w:rPr>
              <w:t xml:space="preserve">, Monika </w:t>
            </w:r>
            <w:proofErr w:type="spellStart"/>
            <w:r w:rsidRPr="008E0CBB">
              <w:rPr>
                <w:snapToGrid w:val="0"/>
                <w:sz w:val="16"/>
              </w:rPr>
              <w:t>Hohlmeier</w:t>
            </w:r>
            <w:proofErr w:type="spellEnd"/>
            <w:r w:rsidRPr="008E0CBB">
              <w:rPr>
                <w:snapToGrid w:val="0"/>
                <w:sz w:val="16"/>
              </w:rPr>
              <w:t xml:space="preserve">, </w:t>
            </w:r>
            <w:proofErr w:type="spellStart"/>
            <w:r w:rsidRPr="008E0CBB">
              <w:rPr>
                <w:snapToGrid w:val="0"/>
                <w:sz w:val="16"/>
              </w:rPr>
              <w:t>Andrey</w:t>
            </w:r>
            <w:proofErr w:type="spellEnd"/>
            <w:r w:rsidRPr="008E0CBB">
              <w:rPr>
                <w:snapToGrid w:val="0"/>
                <w:sz w:val="16"/>
              </w:rPr>
              <w:t xml:space="preserve"> </w:t>
            </w:r>
            <w:proofErr w:type="spellStart"/>
            <w:r w:rsidRPr="008E0CBB">
              <w:rPr>
                <w:snapToGrid w:val="0"/>
                <w:sz w:val="16"/>
              </w:rPr>
              <w:t>Kovatchev</w:t>
            </w:r>
            <w:proofErr w:type="spellEnd"/>
            <w:r w:rsidRPr="008E0CBB">
              <w:rPr>
                <w:snapToGrid w:val="0"/>
                <w:sz w:val="16"/>
              </w:rPr>
              <w:t xml:space="preserve">, </w:t>
            </w:r>
            <w:proofErr w:type="spellStart"/>
            <w:r w:rsidRPr="008E0CBB">
              <w:rPr>
                <w:snapToGrid w:val="0"/>
                <w:sz w:val="16"/>
              </w:rPr>
              <w:t>Jeroen</w:t>
            </w:r>
            <w:proofErr w:type="spellEnd"/>
            <w:r w:rsidRPr="008E0CBB">
              <w:rPr>
                <w:snapToGrid w:val="0"/>
                <w:sz w:val="16"/>
              </w:rPr>
              <w:t xml:space="preserve"> </w:t>
            </w:r>
            <w:proofErr w:type="spellStart"/>
            <w:r w:rsidRPr="008E0CBB">
              <w:rPr>
                <w:snapToGrid w:val="0"/>
                <w:sz w:val="16"/>
              </w:rPr>
              <w:t>Lenaers</w:t>
            </w:r>
            <w:proofErr w:type="spellEnd"/>
            <w:r w:rsidRPr="008E0CBB">
              <w:rPr>
                <w:snapToGrid w:val="0"/>
                <w:sz w:val="16"/>
              </w:rPr>
              <w:t xml:space="preserve">, Lukas </w:t>
            </w:r>
            <w:proofErr w:type="spellStart"/>
            <w:r w:rsidRPr="008E0CBB">
              <w:rPr>
                <w:snapToGrid w:val="0"/>
                <w:sz w:val="16"/>
              </w:rPr>
              <w:t>Mandl</w:t>
            </w:r>
            <w:proofErr w:type="spellEnd"/>
            <w:r w:rsidRPr="008E0CBB">
              <w:rPr>
                <w:snapToGrid w:val="0"/>
                <w:sz w:val="16"/>
              </w:rPr>
              <w:t xml:space="preserve">, Verena </w:t>
            </w:r>
            <w:proofErr w:type="spellStart"/>
            <w:r w:rsidRPr="008E0CBB">
              <w:rPr>
                <w:snapToGrid w:val="0"/>
                <w:sz w:val="16"/>
              </w:rPr>
              <w:t>Mertens</w:t>
            </w:r>
            <w:proofErr w:type="spellEnd"/>
            <w:r w:rsidRPr="008E0CBB">
              <w:rPr>
                <w:snapToGrid w:val="0"/>
                <w:sz w:val="16"/>
              </w:rPr>
              <w:t xml:space="preserve">, </w:t>
            </w:r>
            <w:proofErr w:type="spellStart"/>
            <w:r w:rsidRPr="008E0CBB">
              <w:rPr>
                <w:snapToGrid w:val="0"/>
                <w:sz w:val="16"/>
              </w:rPr>
              <w:t>Nadine</w:t>
            </w:r>
            <w:proofErr w:type="spellEnd"/>
            <w:r w:rsidRPr="008E0CBB">
              <w:rPr>
                <w:snapToGrid w:val="0"/>
                <w:sz w:val="16"/>
              </w:rPr>
              <w:t xml:space="preserve"> </w:t>
            </w:r>
            <w:proofErr w:type="spellStart"/>
            <w:r w:rsidRPr="008E0CBB">
              <w:rPr>
                <w:snapToGrid w:val="0"/>
                <w:sz w:val="16"/>
              </w:rPr>
              <w:t>Morano</w:t>
            </w:r>
            <w:proofErr w:type="spellEnd"/>
            <w:r w:rsidRPr="008E0CBB">
              <w:rPr>
                <w:snapToGrid w:val="0"/>
                <w:sz w:val="16"/>
              </w:rPr>
              <w:t xml:space="preserve">, Ana </w:t>
            </w:r>
            <w:proofErr w:type="spellStart"/>
            <w:r w:rsidRPr="008E0CBB">
              <w:rPr>
                <w:snapToGrid w:val="0"/>
                <w:sz w:val="16"/>
              </w:rPr>
              <w:t>Miguel</w:t>
            </w:r>
            <w:proofErr w:type="spellEnd"/>
            <w:r w:rsidRPr="008E0CBB">
              <w:rPr>
                <w:snapToGrid w:val="0"/>
                <w:sz w:val="16"/>
              </w:rPr>
              <w:t xml:space="preserve"> </w:t>
            </w:r>
            <w:proofErr w:type="spellStart"/>
            <w:r w:rsidRPr="008E0CBB">
              <w:rPr>
                <w:snapToGrid w:val="0"/>
                <w:sz w:val="16"/>
              </w:rPr>
              <w:t>Pedro</w:t>
            </w:r>
            <w:proofErr w:type="spellEnd"/>
            <w:r w:rsidRPr="008E0CBB">
              <w:rPr>
                <w:snapToGrid w:val="0"/>
                <w:sz w:val="16"/>
              </w:rPr>
              <w:t xml:space="preserve">, </w:t>
            </w:r>
            <w:proofErr w:type="spellStart"/>
            <w:r w:rsidRPr="008E0CBB">
              <w:rPr>
                <w:snapToGrid w:val="0"/>
                <w:sz w:val="16"/>
              </w:rPr>
              <w:t>Oliver</w:t>
            </w:r>
            <w:proofErr w:type="spellEnd"/>
            <w:r w:rsidRPr="008E0CBB">
              <w:rPr>
                <w:snapToGrid w:val="0"/>
                <w:sz w:val="16"/>
              </w:rPr>
              <w:t xml:space="preserve"> </w:t>
            </w:r>
            <w:proofErr w:type="spellStart"/>
            <w:r w:rsidRPr="008E0CBB">
              <w:rPr>
                <w:snapToGrid w:val="0"/>
                <w:sz w:val="16"/>
              </w:rPr>
              <w:t>Schenk</w:t>
            </w:r>
            <w:proofErr w:type="spellEnd"/>
            <w:r w:rsidRPr="008E0CBB">
              <w:rPr>
                <w:snapToGrid w:val="0"/>
                <w:sz w:val="16"/>
              </w:rPr>
              <w:t xml:space="preserve">, </w:t>
            </w:r>
            <w:proofErr w:type="spellStart"/>
            <w:r w:rsidRPr="008E0CBB">
              <w:rPr>
                <w:snapToGrid w:val="0"/>
                <w:sz w:val="16"/>
              </w:rPr>
              <w:t>Michał</w:t>
            </w:r>
            <w:proofErr w:type="spellEnd"/>
            <w:r w:rsidRPr="008E0CBB">
              <w:rPr>
                <w:snapToGrid w:val="0"/>
                <w:sz w:val="16"/>
              </w:rPr>
              <w:t xml:space="preserve"> </w:t>
            </w:r>
            <w:proofErr w:type="spellStart"/>
            <w:r w:rsidRPr="008E0CBB">
              <w:rPr>
                <w:snapToGrid w:val="0"/>
                <w:sz w:val="16"/>
              </w:rPr>
              <w:t>Szczerba</w:t>
            </w:r>
            <w:proofErr w:type="spellEnd"/>
            <w:r w:rsidRPr="008E0CBB">
              <w:rPr>
                <w:snapToGrid w:val="0"/>
                <w:sz w:val="16"/>
              </w:rPr>
              <w:t xml:space="preserve">, </w:t>
            </w:r>
            <w:proofErr w:type="spellStart"/>
            <w:r w:rsidRPr="008E0CBB">
              <w:rPr>
                <w:snapToGrid w:val="0"/>
                <w:sz w:val="16"/>
              </w:rPr>
              <w:t>Alice</w:t>
            </w:r>
            <w:proofErr w:type="spellEnd"/>
            <w:r w:rsidRPr="008E0CBB">
              <w:rPr>
                <w:snapToGrid w:val="0"/>
                <w:sz w:val="16"/>
              </w:rPr>
              <w:t xml:space="preserve"> </w:t>
            </w:r>
            <w:proofErr w:type="spellStart"/>
            <w:r w:rsidRPr="008E0CBB">
              <w:rPr>
                <w:snapToGrid w:val="0"/>
                <w:sz w:val="16"/>
              </w:rPr>
              <w:t>Teodorescu</w:t>
            </w:r>
            <w:proofErr w:type="spellEnd"/>
            <w:r w:rsidRPr="008E0CBB">
              <w:rPr>
                <w:snapToGrid w:val="0"/>
                <w:sz w:val="16"/>
              </w:rPr>
              <w:t xml:space="preserve"> </w:t>
            </w:r>
            <w:proofErr w:type="spellStart"/>
            <w:r w:rsidRPr="008E0CBB">
              <w:rPr>
                <w:snapToGrid w:val="0"/>
                <w:sz w:val="16"/>
              </w:rPr>
              <w:t>Måwe</w:t>
            </w:r>
            <w:proofErr w:type="spellEnd"/>
            <w:r w:rsidRPr="008E0CBB">
              <w:rPr>
                <w:snapToGrid w:val="0"/>
                <w:sz w:val="16"/>
              </w:rPr>
              <w:t xml:space="preserve">, Tomas </w:t>
            </w:r>
            <w:proofErr w:type="spellStart"/>
            <w:r w:rsidRPr="008E0CBB">
              <w:rPr>
                <w:snapToGrid w:val="0"/>
                <w:sz w:val="16"/>
              </w:rPr>
              <w:t>Tobé</w:t>
            </w:r>
            <w:proofErr w:type="spellEnd"/>
            <w:r w:rsidRPr="008E0CBB">
              <w:rPr>
                <w:snapToGrid w:val="0"/>
                <w:sz w:val="16"/>
              </w:rPr>
              <w:t xml:space="preserve">, </w:t>
            </w:r>
            <w:proofErr w:type="spellStart"/>
            <w:r w:rsidRPr="008E0CBB">
              <w:rPr>
                <w:snapToGrid w:val="0"/>
                <w:sz w:val="16"/>
              </w:rPr>
              <w:t>Elissavet</w:t>
            </w:r>
            <w:proofErr w:type="spellEnd"/>
            <w:r w:rsidRPr="008E0CBB">
              <w:rPr>
                <w:snapToGrid w:val="0"/>
                <w:sz w:val="16"/>
              </w:rPr>
              <w:t xml:space="preserve"> </w:t>
            </w:r>
            <w:proofErr w:type="spellStart"/>
            <w:r w:rsidRPr="008E0CBB">
              <w:rPr>
                <w:snapToGrid w:val="0"/>
                <w:sz w:val="16"/>
              </w:rPr>
              <w:t>Vozemberg-Vrionidi</w:t>
            </w:r>
            <w:proofErr w:type="spellEnd"/>
            <w:r w:rsidRPr="008E0CBB">
              <w:rPr>
                <w:snapToGrid w:val="0"/>
                <w:sz w:val="16"/>
              </w:rPr>
              <w:t xml:space="preserve">, </w:t>
            </w:r>
            <w:proofErr w:type="spellStart"/>
            <w:r w:rsidRPr="008E0CBB">
              <w:rPr>
                <w:snapToGrid w:val="0"/>
                <w:sz w:val="16"/>
              </w:rPr>
              <w:t>Isabel</w:t>
            </w:r>
            <w:proofErr w:type="spellEnd"/>
            <w:r w:rsidRPr="008E0CBB">
              <w:rPr>
                <w:snapToGrid w:val="0"/>
                <w:sz w:val="16"/>
              </w:rPr>
              <w:t xml:space="preserve"> </w:t>
            </w:r>
            <w:proofErr w:type="spellStart"/>
            <w:r w:rsidRPr="008E0CBB">
              <w:rPr>
                <w:snapToGrid w:val="0"/>
                <w:sz w:val="16"/>
              </w:rPr>
              <w:t>Wiseler</w:t>
            </w:r>
            <w:proofErr w:type="spellEnd"/>
            <w:r w:rsidRPr="008E0CBB">
              <w:rPr>
                <w:snapToGrid w:val="0"/>
                <w:sz w:val="16"/>
              </w:rPr>
              <w:t xml:space="preserve">-Lima, </w:t>
            </w:r>
            <w:proofErr w:type="spellStart"/>
            <w:r w:rsidRPr="008E0CBB">
              <w:rPr>
                <w:snapToGrid w:val="0"/>
                <w:sz w:val="16"/>
              </w:rPr>
              <w:t>Javier</w:t>
            </w:r>
            <w:proofErr w:type="spellEnd"/>
            <w:r w:rsidRPr="008E0CBB">
              <w:rPr>
                <w:snapToGrid w:val="0"/>
                <w:sz w:val="16"/>
              </w:rPr>
              <w:t xml:space="preserve"> </w:t>
            </w:r>
            <w:proofErr w:type="spellStart"/>
            <w:r w:rsidRPr="008E0CBB">
              <w:rPr>
                <w:snapToGrid w:val="0"/>
                <w:sz w:val="16"/>
              </w:rPr>
              <w:t>Zarzalejos</w:t>
            </w:r>
            <w:proofErr w:type="spellEnd"/>
            <w:r w:rsidRPr="008E0CBB">
              <w:rPr>
                <w:snapToGrid w:val="0"/>
                <w:sz w:val="16"/>
              </w:rPr>
              <w:t xml:space="preserve">, </w:t>
            </w:r>
            <w:proofErr w:type="spellStart"/>
            <w:r w:rsidRPr="008E0CBB">
              <w:rPr>
                <w:snapToGrid w:val="0"/>
                <w:sz w:val="16"/>
              </w:rPr>
              <w:t>Tomáš</w:t>
            </w:r>
            <w:proofErr w:type="spellEnd"/>
            <w:r w:rsidRPr="008E0CBB">
              <w:rPr>
                <w:snapToGrid w:val="0"/>
                <w:sz w:val="16"/>
              </w:rPr>
              <w:t xml:space="preserve"> </w:t>
            </w:r>
            <w:proofErr w:type="spellStart"/>
            <w:r w:rsidRPr="008E0CBB">
              <w:rPr>
                <w:snapToGrid w:val="0"/>
                <w:sz w:val="16"/>
              </w:rPr>
              <w:t>Zdechovský</w:t>
            </w:r>
            <w:proofErr w:type="spellEnd"/>
          </w:p>
        </w:tc>
      </w:tr>
      <w:tr w:rsidR="00B04730" w:rsidRPr="008E0CBB" w14:paraId="193FCB7D" w14:textId="77777777" w:rsidTr="00A5405C">
        <w:trPr>
          <w:cantSplit/>
        </w:trPr>
        <w:tc>
          <w:tcPr>
            <w:tcW w:w="1701" w:type="dxa"/>
            <w:shd w:val="clear" w:color="auto" w:fill="FFFFFF"/>
          </w:tcPr>
          <w:p w14:paraId="19F8A1BB" w14:textId="77777777" w:rsidR="00B04730" w:rsidRPr="008E0CBB" w:rsidRDefault="00B04730" w:rsidP="00A5405C">
            <w:pPr>
              <w:spacing w:before="120" w:after="120"/>
              <w:rPr>
                <w:snapToGrid w:val="0"/>
                <w:sz w:val="16"/>
              </w:rPr>
            </w:pPr>
            <w:proofErr w:type="spellStart"/>
            <w:r w:rsidRPr="008E0CBB">
              <w:rPr>
                <w:snapToGrid w:val="0"/>
                <w:sz w:val="16"/>
              </w:rPr>
              <w:t>PfE</w:t>
            </w:r>
            <w:proofErr w:type="spellEnd"/>
          </w:p>
        </w:tc>
        <w:tc>
          <w:tcPr>
            <w:tcW w:w="7371" w:type="dxa"/>
            <w:shd w:val="clear" w:color="auto" w:fill="FFFFFF"/>
          </w:tcPr>
          <w:p w14:paraId="72614923" w14:textId="77777777" w:rsidR="00B04730" w:rsidRPr="008E0CBB" w:rsidRDefault="00B04730" w:rsidP="00A5405C">
            <w:pPr>
              <w:spacing w:before="120" w:after="120"/>
              <w:rPr>
                <w:snapToGrid w:val="0"/>
                <w:sz w:val="16"/>
              </w:rPr>
            </w:pPr>
            <w:proofErr w:type="spellStart"/>
            <w:r w:rsidRPr="008E0CBB">
              <w:rPr>
                <w:snapToGrid w:val="0"/>
                <w:sz w:val="16"/>
              </w:rPr>
              <w:t>Tom</w:t>
            </w:r>
            <w:proofErr w:type="spellEnd"/>
            <w:r w:rsidRPr="008E0CBB">
              <w:rPr>
                <w:snapToGrid w:val="0"/>
                <w:sz w:val="16"/>
              </w:rPr>
              <w:t xml:space="preserve"> </w:t>
            </w:r>
            <w:proofErr w:type="spellStart"/>
            <w:r w:rsidRPr="008E0CBB">
              <w:rPr>
                <w:snapToGrid w:val="0"/>
                <w:sz w:val="16"/>
              </w:rPr>
              <w:t>Vandendriessche</w:t>
            </w:r>
            <w:proofErr w:type="spellEnd"/>
          </w:p>
        </w:tc>
      </w:tr>
      <w:tr w:rsidR="00B04730" w:rsidRPr="008E0CBB" w14:paraId="71484BAB" w14:textId="77777777" w:rsidTr="00A5405C">
        <w:trPr>
          <w:cantSplit/>
        </w:trPr>
        <w:tc>
          <w:tcPr>
            <w:tcW w:w="1701" w:type="dxa"/>
            <w:shd w:val="clear" w:color="auto" w:fill="FFFFFF"/>
          </w:tcPr>
          <w:p w14:paraId="3F6E32FB" w14:textId="77777777" w:rsidR="00B04730" w:rsidRPr="008E0CBB" w:rsidRDefault="00B04730" w:rsidP="00A5405C">
            <w:pPr>
              <w:spacing w:before="120" w:after="120"/>
              <w:rPr>
                <w:snapToGrid w:val="0"/>
                <w:sz w:val="16"/>
              </w:rPr>
            </w:pPr>
            <w:proofErr w:type="spellStart"/>
            <w:r w:rsidRPr="008E0CBB">
              <w:rPr>
                <w:snapToGrid w:val="0"/>
                <w:sz w:val="16"/>
              </w:rPr>
              <w:t>Renew</w:t>
            </w:r>
            <w:proofErr w:type="spellEnd"/>
          </w:p>
        </w:tc>
        <w:tc>
          <w:tcPr>
            <w:tcW w:w="7371" w:type="dxa"/>
            <w:shd w:val="clear" w:color="auto" w:fill="FFFFFF"/>
          </w:tcPr>
          <w:p w14:paraId="01A6A659" w14:textId="77777777" w:rsidR="00B04730" w:rsidRPr="008E0CBB" w:rsidRDefault="00B04730" w:rsidP="00A5405C">
            <w:pPr>
              <w:spacing w:before="120" w:after="120"/>
              <w:rPr>
                <w:snapToGrid w:val="0"/>
                <w:sz w:val="16"/>
              </w:rPr>
            </w:pPr>
            <w:proofErr w:type="spellStart"/>
            <w:r w:rsidRPr="008E0CBB">
              <w:rPr>
                <w:snapToGrid w:val="0"/>
                <w:sz w:val="16"/>
              </w:rPr>
              <w:t>Abir</w:t>
            </w:r>
            <w:proofErr w:type="spellEnd"/>
            <w:r w:rsidRPr="008E0CBB">
              <w:rPr>
                <w:snapToGrid w:val="0"/>
                <w:sz w:val="16"/>
              </w:rPr>
              <w:t xml:space="preserve"> Al-</w:t>
            </w:r>
            <w:proofErr w:type="spellStart"/>
            <w:r w:rsidRPr="008E0CBB">
              <w:rPr>
                <w:snapToGrid w:val="0"/>
                <w:sz w:val="16"/>
              </w:rPr>
              <w:t>Sahlani</w:t>
            </w:r>
            <w:proofErr w:type="spellEnd"/>
            <w:r w:rsidRPr="008E0CBB">
              <w:rPr>
                <w:snapToGrid w:val="0"/>
                <w:sz w:val="16"/>
              </w:rPr>
              <w:t xml:space="preserve">, Veronika </w:t>
            </w:r>
            <w:proofErr w:type="spellStart"/>
            <w:r w:rsidRPr="008E0CBB">
              <w:rPr>
                <w:snapToGrid w:val="0"/>
                <w:sz w:val="16"/>
              </w:rPr>
              <w:t>Cifrová</w:t>
            </w:r>
            <w:proofErr w:type="spellEnd"/>
            <w:r w:rsidRPr="008E0CBB">
              <w:rPr>
                <w:snapToGrid w:val="0"/>
                <w:sz w:val="16"/>
              </w:rPr>
              <w:t xml:space="preserve"> </w:t>
            </w:r>
            <w:proofErr w:type="spellStart"/>
            <w:r w:rsidRPr="008E0CBB">
              <w:rPr>
                <w:snapToGrid w:val="0"/>
                <w:sz w:val="16"/>
              </w:rPr>
              <w:t>Ostrihoňová</w:t>
            </w:r>
            <w:proofErr w:type="spellEnd"/>
            <w:r w:rsidRPr="008E0CBB">
              <w:rPr>
                <w:snapToGrid w:val="0"/>
                <w:sz w:val="16"/>
              </w:rPr>
              <w:t xml:space="preserve">, </w:t>
            </w:r>
            <w:proofErr w:type="spellStart"/>
            <w:r w:rsidRPr="008E0CBB">
              <w:rPr>
                <w:snapToGrid w:val="0"/>
                <w:sz w:val="16"/>
              </w:rPr>
              <w:t>Raquel</w:t>
            </w:r>
            <w:proofErr w:type="spellEnd"/>
            <w:r w:rsidRPr="008E0CBB">
              <w:rPr>
                <w:snapToGrid w:val="0"/>
                <w:sz w:val="16"/>
              </w:rPr>
              <w:t xml:space="preserve"> </w:t>
            </w:r>
            <w:proofErr w:type="spellStart"/>
            <w:r w:rsidRPr="008E0CBB">
              <w:rPr>
                <w:snapToGrid w:val="0"/>
                <w:sz w:val="16"/>
              </w:rPr>
              <w:t>García</w:t>
            </w:r>
            <w:proofErr w:type="spellEnd"/>
            <w:r w:rsidRPr="008E0CBB">
              <w:rPr>
                <w:snapToGrid w:val="0"/>
                <w:sz w:val="16"/>
              </w:rPr>
              <w:t xml:space="preserve"> </w:t>
            </w:r>
            <w:proofErr w:type="spellStart"/>
            <w:r w:rsidRPr="008E0CBB">
              <w:rPr>
                <w:snapToGrid w:val="0"/>
                <w:sz w:val="16"/>
              </w:rPr>
              <w:t>Hermida</w:t>
            </w:r>
            <w:proofErr w:type="spellEnd"/>
            <w:r w:rsidRPr="008E0CBB">
              <w:rPr>
                <w:snapToGrid w:val="0"/>
                <w:sz w:val="16"/>
              </w:rPr>
              <w:t xml:space="preserve">-Van </w:t>
            </w:r>
            <w:proofErr w:type="spellStart"/>
            <w:r w:rsidRPr="008E0CBB">
              <w:rPr>
                <w:snapToGrid w:val="0"/>
                <w:sz w:val="16"/>
              </w:rPr>
              <w:t>Der</w:t>
            </w:r>
            <w:proofErr w:type="spellEnd"/>
            <w:r w:rsidRPr="008E0CBB">
              <w:rPr>
                <w:snapToGrid w:val="0"/>
                <w:sz w:val="16"/>
              </w:rPr>
              <w:t xml:space="preserve"> </w:t>
            </w:r>
            <w:proofErr w:type="spellStart"/>
            <w:r w:rsidRPr="008E0CBB">
              <w:rPr>
                <w:snapToGrid w:val="0"/>
                <w:sz w:val="16"/>
              </w:rPr>
              <w:t>Walle</w:t>
            </w:r>
            <w:proofErr w:type="spellEnd"/>
            <w:r w:rsidRPr="008E0CBB">
              <w:rPr>
                <w:snapToGrid w:val="0"/>
                <w:sz w:val="16"/>
              </w:rPr>
              <w:t xml:space="preserve">, Irena </w:t>
            </w:r>
            <w:proofErr w:type="spellStart"/>
            <w:r w:rsidRPr="008E0CBB">
              <w:rPr>
                <w:snapToGrid w:val="0"/>
                <w:sz w:val="16"/>
              </w:rPr>
              <w:t>Joveva</w:t>
            </w:r>
            <w:proofErr w:type="spellEnd"/>
            <w:r w:rsidRPr="008E0CBB">
              <w:rPr>
                <w:snapToGrid w:val="0"/>
                <w:sz w:val="16"/>
              </w:rPr>
              <w:t xml:space="preserve">, </w:t>
            </w:r>
            <w:proofErr w:type="spellStart"/>
            <w:r w:rsidRPr="008E0CBB">
              <w:rPr>
                <w:snapToGrid w:val="0"/>
                <w:sz w:val="16"/>
              </w:rPr>
              <w:t>Fabienne</w:t>
            </w:r>
            <w:proofErr w:type="spellEnd"/>
            <w:r w:rsidRPr="008E0CBB">
              <w:rPr>
                <w:snapToGrid w:val="0"/>
                <w:sz w:val="16"/>
              </w:rPr>
              <w:t xml:space="preserve"> </w:t>
            </w:r>
            <w:proofErr w:type="spellStart"/>
            <w:r w:rsidRPr="008E0CBB">
              <w:rPr>
                <w:snapToGrid w:val="0"/>
                <w:sz w:val="16"/>
              </w:rPr>
              <w:t>Keller</w:t>
            </w:r>
            <w:proofErr w:type="spellEnd"/>
            <w:r w:rsidRPr="008E0CBB">
              <w:rPr>
                <w:snapToGrid w:val="0"/>
                <w:sz w:val="16"/>
              </w:rPr>
              <w:t xml:space="preserve">, </w:t>
            </w:r>
            <w:proofErr w:type="spellStart"/>
            <w:r w:rsidRPr="008E0CBB">
              <w:rPr>
                <w:snapToGrid w:val="0"/>
                <w:sz w:val="16"/>
              </w:rPr>
              <w:t>Michael</w:t>
            </w:r>
            <w:proofErr w:type="spellEnd"/>
            <w:r w:rsidRPr="008E0CBB">
              <w:rPr>
                <w:snapToGrid w:val="0"/>
                <w:sz w:val="16"/>
              </w:rPr>
              <w:t xml:space="preserve"> </w:t>
            </w:r>
            <w:proofErr w:type="spellStart"/>
            <w:r w:rsidRPr="008E0CBB">
              <w:rPr>
                <w:snapToGrid w:val="0"/>
                <w:sz w:val="16"/>
              </w:rPr>
              <w:t>McNamara</w:t>
            </w:r>
            <w:proofErr w:type="spellEnd"/>
            <w:r w:rsidRPr="008E0CBB">
              <w:rPr>
                <w:snapToGrid w:val="0"/>
                <w:sz w:val="16"/>
              </w:rPr>
              <w:t xml:space="preserve">, </w:t>
            </w:r>
            <w:proofErr w:type="spellStart"/>
            <w:r w:rsidRPr="008E0CBB">
              <w:rPr>
                <w:snapToGrid w:val="0"/>
                <w:sz w:val="16"/>
              </w:rPr>
              <w:t>Nikola</w:t>
            </w:r>
            <w:proofErr w:type="spellEnd"/>
            <w:r w:rsidRPr="008E0CBB">
              <w:rPr>
                <w:snapToGrid w:val="0"/>
                <w:sz w:val="16"/>
              </w:rPr>
              <w:t xml:space="preserve"> </w:t>
            </w:r>
            <w:proofErr w:type="spellStart"/>
            <w:r w:rsidRPr="008E0CBB">
              <w:rPr>
                <w:snapToGrid w:val="0"/>
                <w:sz w:val="16"/>
              </w:rPr>
              <w:t>Minchev</w:t>
            </w:r>
            <w:proofErr w:type="spellEnd"/>
            <w:r w:rsidRPr="008E0CBB">
              <w:rPr>
                <w:snapToGrid w:val="0"/>
                <w:sz w:val="16"/>
              </w:rPr>
              <w:t xml:space="preserve">, </w:t>
            </w:r>
            <w:proofErr w:type="spellStart"/>
            <w:r w:rsidRPr="008E0CBB">
              <w:rPr>
                <w:snapToGrid w:val="0"/>
                <w:sz w:val="16"/>
              </w:rPr>
              <w:t>Jan-Christoph</w:t>
            </w:r>
            <w:proofErr w:type="spellEnd"/>
            <w:r w:rsidRPr="008E0CBB">
              <w:rPr>
                <w:snapToGrid w:val="0"/>
                <w:sz w:val="16"/>
              </w:rPr>
              <w:t xml:space="preserve"> </w:t>
            </w:r>
            <w:proofErr w:type="spellStart"/>
            <w:r w:rsidRPr="008E0CBB">
              <w:rPr>
                <w:snapToGrid w:val="0"/>
                <w:sz w:val="16"/>
              </w:rPr>
              <w:t>Oetjen</w:t>
            </w:r>
            <w:proofErr w:type="spellEnd"/>
          </w:p>
        </w:tc>
      </w:tr>
      <w:tr w:rsidR="00B04730" w:rsidRPr="008E0CBB" w14:paraId="103D95F5" w14:textId="77777777" w:rsidTr="00A5405C">
        <w:trPr>
          <w:cantSplit/>
        </w:trPr>
        <w:tc>
          <w:tcPr>
            <w:tcW w:w="1701" w:type="dxa"/>
            <w:shd w:val="clear" w:color="auto" w:fill="FFFFFF"/>
          </w:tcPr>
          <w:p w14:paraId="7D8BC6D2" w14:textId="77777777" w:rsidR="00B04730" w:rsidRPr="008E0CBB" w:rsidRDefault="00B04730" w:rsidP="00A5405C">
            <w:pPr>
              <w:spacing w:before="120" w:after="120"/>
              <w:rPr>
                <w:snapToGrid w:val="0"/>
                <w:sz w:val="16"/>
              </w:rPr>
            </w:pPr>
            <w:r w:rsidRPr="008E0CBB">
              <w:rPr>
                <w:snapToGrid w:val="0"/>
                <w:sz w:val="16"/>
              </w:rPr>
              <w:t>S&amp;D</w:t>
            </w:r>
          </w:p>
        </w:tc>
        <w:tc>
          <w:tcPr>
            <w:tcW w:w="7371" w:type="dxa"/>
            <w:shd w:val="clear" w:color="auto" w:fill="FFFFFF"/>
          </w:tcPr>
          <w:p w14:paraId="76575AA6" w14:textId="77777777" w:rsidR="00B04730" w:rsidRPr="008E0CBB" w:rsidRDefault="00B04730" w:rsidP="00A5405C">
            <w:pPr>
              <w:spacing w:before="120" w:after="120"/>
              <w:rPr>
                <w:snapToGrid w:val="0"/>
                <w:sz w:val="16"/>
              </w:rPr>
            </w:pPr>
            <w:r w:rsidRPr="008E0CBB">
              <w:rPr>
                <w:snapToGrid w:val="0"/>
                <w:sz w:val="16"/>
              </w:rPr>
              <w:t xml:space="preserve">Katarina </w:t>
            </w:r>
            <w:proofErr w:type="spellStart"/>
            <w:r w:rsidRPr="008E0CBB">
              <w:rPr>
                <w:snapToGrid w:val="0"/>
                <w:sz w:val="16"/>
              </w:rPr>
              <w:t>Barley</w:t>
            </w:r>
            <w:proofErr w:type="spellEnd"/>
            <w:r w:rsidRPr="008E0CBB">
              <w:rPr>
                <w:snapToGrid w:val="0"/>
                <w:sz w:val="16"/>
              </w:rPr>
              <w:t xml:space="preserve">, </w:t>
            </w:r>
            <w:proofErr w:type="spellStart"/>
            <w:r w:rsidRPr="008E0CBB">
              <w:rPr>
                <w:snapToGrid w:val="0"/>
                <w:sz w:val="16"/>
              </w:rPr>
              <w:t>José</w:t>
            </w:r>
            <w:proofErr w:type="spellEnd"/>
            <w:r w:rsidRPr="008E0CBB">
              <w:rPr>
                <w:snapToGrid w:val="0"/>
                <w:sz w:val="16"/>
              </w:rPr>
              <w:t xml:space="preserve"> </w:t>
            </w:r>
            <w:proofErr w:type="spellStart"/>
            <w:r w:rsidRPr="008E0CBB">
              <w:rPr>
                <w:snapToGrid w:val="0"/>
                <w:sz w:val="16"/>
              </w:rPr>
              <w:t>Cepeda</w:t>
            </w:r>
            <w:proofErr w:type="spellEnd"/>
            <w:r w:rsidRPr="008E0CBB">
              <w:rPr>
                <w:snapToGrid w:val="0"/>
                <w:sz w:val="16"/>
              </w:rPr>
              <w:t xml:space="preserve">, Marina </w:t>
            </w:r>
            <w:proofErr w:type="spellStart"/>
            <w:r w:rsidRPr="008E0CBB">
              <w:rPr>
                <w:snapToGrid w:val="0"/>
                <w:sz w:val="16"/>
              </w:rPr>
              <w:t>Kaljurand</w:t>
            </w:r>
            <w:proofErr w:type="spellEnd"/>
            <w:r w:rsidRPr="008E0CBB">
              <w:rPr>
                <w:snapToGrid w:val="0"/>
                <w:sz w:val="16"/>
              </w:rPr>
              <w:t xml:space="preserve">, </w:t>
            </w:r>
            <w:proofErr w:type="spellStart"/>
            <w:r w:rsidRPr="008E0CBB">
              <w:rPr>
                <w:snapToGrid w:val="0"/>
                <w:sz w:val="16"/>
              </w:rPr>
              <w:t>Murielle</w:t>
            </w:r>
            <w:proofErr w:type="spellEnd"/>
            <w:r w:rsidRPr="008E0CBB">
              <w:rPr>
                <w:snapToGrid w:val="0"/>
                <w:sz w:val="16"/>
              </w:rPr>
              <w:t xml:space="preserve"> </w:t>
            </w:r>
            <w:proofErr w:type="spellStart"/>
            <w:r w:rsidRPr="008E0CBB">
              <w:rPr>
                <w:snapToGrid w:val="0"/>
                <w:sz w:val="16"/>
              </w:rPr>
              <w:t>Laurent</w:t>
            </w:r>
            <w:proofErr w:type="spellEnd"/>
            <w:r w:rsidRPr="008E0CBB">
              <w:rPr>
                <w:snapToGrid w:val="0"/>
                <w:sz w:val="16"/>
              </w:rPr>
              <w:t xml:space="preserve">, Ana </w:t>
            </w:r>
            <w:proofErr w:type="spellStart"/>
            <w:r w:rsidRPr="008E0CBB">
              <w:rPr>
                <w:snapToGrid w:val="0"/>
                <w:sz w:val="16"/>
              </w:rPr>
              <w:t>Catarina</w:t>
            </w:r>
            <w:proofErr w:type="spellEnd"/>
            <w:r w:rsidRPr="008E0CBB">
              <w:rPr>
                <w:snapToGrid w:val="0"/>
                <w:sz w:val="16"/>
              </w:rPr>
              <w:t xml:space="preserve"> </w:t>
            </w:r>
            <w:proofErr w:type="spellStart"/>
            <w:r w:rsidRPr="008E0CBB">
              <w:rPr>
                <w:snapToGrid w:val="0"/>
                <w:sz w:val="16"/>
              </w:rPr>
              <w:t>Mendes</w:t>
            </w:r>
            <w:proofErr w:type="spellEnd"/>
            <w:r w:rsidRPr="008E0CBB">
              <w:rPr>
                <w:snapToGrid w:val="0"/>
                <w:sz w:val="16"/>
              </w:rPr>
              <w:t xml:space="preserve">, </w:t>
            </w:r>
            <w:proofErr w:type="spellStart"/>
            <w:r w:rsidRPr="008E0CBB">
              <w:rPr>
                <w:snapToGrid w:val="0"/>
                <w:sz w:val="16"/>
              </w:rPr>
              <w:t>Javier</w:t>
            </w:r>
            <w:proofErr w:type="spellEnd"/>
            <w:r w:rsidRPr="008E0CBB">
              <w:rPr>
                <w:snapToGrid w:val="0"/>
                <w:sz w:val="16"/>
              </w:rPr>
              <w:t xml:space="preserve"> </w:t>
            </w:r>
            <w:proofErr w:type="spellStart"/>
            <w:r w:rsidRPr="008E0CBB">
              <w:rPr>
                <w:snapToGrid w:val="0"/>
                <w:sz w:val="16"/>
              </w:rPr>
              <w:t>Moreno</w:t>
            </w:r>
            <w:proofErr w:type="spellEnd"/>
            <w:r w:rsidRPr="008E0CBB">
              <w:rPr>
                <w:snapToGrid w:val="0"/>
                <w:sz w:val="16"/>
              </w:rPr>
              <w:t xml:space="preserve"> </w:t>
            </w:r>
            <w:proofErr w:type="spellStart"/>
            <w:r w:rsidRPr="008E0CBB">
              <w:rPr>
                <w:snapToGrid w:val="0"/>
                <w:sz w:val="16"/>
              </w:rPr>
              <w:t>Sánchez</w:t>
            </w:r>
            <w:proofErr w:type="spellEnd"/>
            <w:r w:rsidRPr="008E0CBB">
              <w:rPr>
                <w:snapToGrid w:val="0"/>
                <w:sz w:val="16"/>
              </w:rPr>
              <w:t xml:space="preserve">, </w:t>
            </w:r>
            <w:proofErr w:type="spellStart"/>
            <w:r w:rsidRPr="008E0CBB">
              <w:rPr>
                <w:snapToGrid w:val="0"/>
                <w:sz w:val="16"/>
              </w:rPr>
              <w:t>Matjaž</w:t>
            </w:r>
            <w:proofErr w:type="spellEnd"/>
            <w:r w:rsidRPr="008E0CBB">
              <w:rPr>
                <w:snapToGrid w:val="0"/>
                <w:sz w:val="16"/>
              </w:rPr>
              <w:t xml:space="preserve"> </w:t>
            </w:r>
            <w:proofErr w:type="spellStart"/>
            <w:r w:rsidRPr="008E0CBB">
              <w:rPr>
                <w:snapToGrid w:val="0"/>
                <w:sz w:val="16"/>
              </w:rPr>
              <w:t>Nemec</w:t>
            </w:r>
            <w:proofErr w:type="spellEnd"/>
            <w:r w:rsidRPr="008E0CBB">
              <w:rPr>
                <w:snapToGrid w:val="0"/>
                <w:sz w:val="16"/>
              </w:rPr>
              <w:t xml:space="preserve">, </w:t>
            </w:r>
            <w:proofErr w:type="spellStart"/>
            <w:r w:rsidRPr="008E0CBB">
              <w:rPr>
                <w:snapToGrid w:val="0"/>
                <w:sz w:val="16"/>
              </w:rPr>
              <w:t>Marcos</w:t>
            </w:r>
            <w:proofErr w:type="spellEnd"/>
            <w:r w:rsidRPr="008E0CBB">
              <w:rPr>
                <w:snapToGrid w:val="0"/>
                <w:sz w:val="16"/>
              </w:rPr>
              <w:t xml:space="preserve"> Ros </w:t>
            </w:r>
            <w:proofErr w:type="spellStart"/>
            <w:r w:rsidRPr="008E0CBB">
              <w:rPr>
                <w:snapToGrid w:val="0"/>
                <w:sz w:val="16"/>
              </w:rPr>
              <w:t>Sempere</w:t>
            </w:r>
            <w:proofErr w:type="spellEnd"/>
            <w:r w:rsidRPr="008E0CBB">
              <w:rPr>
                <w:snapToGrid w:val="0"/>
                <w:sz w:val="16"/>
              </w:rPr>
              <w:t xml:space="preserve">, </w:t>
            </w:r>
            <w:proofErr w:type="spellStart"/>
            <w:r w:rsidRPr="008E0CBB">
              <w:rPr>
                <w:snapToGrid w:val="0"/>
                <w:sz w:val="16"/>
              </w:rPr>
              <w:t>Birgit</w:t>
            </w:r>
            <w:proofErr w:type="spellEnd"/>
            <w:r w:rsidRPr="008E0CBB">
              <w:rPr>
                <w:snapToGrid w:val="0"/>
                <w:sz w:val="16"/>
              </w:rPr>
              <w:t xml:space="preserve"> </w:t>
            </w:r>
            <w:proofErr w:type="spellStart"/>
            <w:r w:rsidRPr="008E0CBB">
              <w:rPr>
                <w:snapToGrid w:val="0"/>
                <w:sz w:val="16"/>
              </w:rPr>
              <w:t>Sippel</w:t>
            </w:r>
            <w:proofErr w:type="spellEnd"/>
            <w:r w:rsidRPr="008E0CBB">
              <w:rPr>
                <w:snapToGrid w:val="0"/>
                <w:sz w:val="16"/>
              </w:rPr>
              <w:t xml:space="preserve">, </w:t>
            </w:r>
            <w:proofErr w:type="spellStart"/>
            <w:r w:rsidRPr="008E0CBB">
              <w:rPr>
                <w:snapToGrid w:val="0"/>
                <w:sz w:val="16"/>
              </w:rPr>
              <w:t>Krzysztof</w:t>
            </w:r>
            <w:proofErr w:type="spellEnd"/>
            <w:r w:rsidRPr="008E0CBB">
              <w:rPr>
                <w:snapToGrid w:val="0"/>
                <w:sz w:val="16"/>
              </w:rPr>
              <w:t xml:space="preserve"> </w:t>
            </w:r>
            <w:proofErr w:type="spellStart"/>
            <w:r w:rsidRPr="008E0CBB">
              <w:rPr>
                <w:snapToGrid w:val="0"/>
                <w:sz w:val="16"/>
              </w:rPr>
              <w:t>Śmiszek</w:t>
            </w:r>
            <w:proofErr w:type="spellEnd"/>
            <w:r w:rsidRPr="008E0CBB">
              <w:rPr>
                <w:snapToGrid w:val="0"/>
                <w:sz w:val="16"/>
              </w:rPr>
              <w:t xml:space="preserve">, </w:t>
            </w:r>
            <w:proofErr w:type="spellStart"/>
            <w:r w:rsidRPr="008E0CBB">
              <w:rPr>
                <w:snapToGrid w:val="0"/>
                <w:sz w:val="16"/>
              </w:rPr>
              <w:t>Cecilia</w:t>
            </w:r>
            <w:proofErr w:type="spellEnd"/>
            <w:r w:rsidRPr="008E0CBB">
              <w:rPr>
                <w:snapToGrid w:val="0"/>
                <w:sz w:val="16"/>
              </w:rPr>
              <w:t xml:space="preserve"> </w:t>
            </w:r>
            <w:proofErr w:type="spellStart"/>
            <w:r w:rsidRPr="008E0CBB">
              <w:rPr>
                <w:snapToGrid w:val="0"/>
                <w:sz w:val="16"/>
              </w:rPr>
              <w:t>Strada</w:t>
            </w:r>
            <w:proofErr w:type="spellEnd"/>
            <w:r w:rsidRPr="008E0CBB">
              <w:rPr>
                <w:snapToGrid w:val="0"/>
                <w:sz w:val="16"/>
              </w:rPr>
              <w:t xml:space="preserve">, </w:t>
            </w:r>
            <w:proofErr w:type="spellStart"/>
            <w:r w:rsidRPr="008E0CBB">
              <w:rPr>
                <w:snapToGrid w:val="0"/>
                <w:sz w:val="16"/>
              </w:rPr>
              <w:t>Kristian</w:t>
            </w:r>
            <w:proofErr w:type="spellEnd"/>
            <w:r w:rsidRPr="008E0CBB">
              <w:rPr>
                <w:snapToGrid w:val="0"/>
                <w:sz w:val="16"/>
              </w:rPr>
              <w:t xml:space="preserve"> </w:t>
            </w:r>
            <w:proofErr w:type="spellStart"/>
            <w:r w:rsidRPr="008E0CBB">
              <w:rPr>
                <w:snapToGrid w:val="0"/>
                <w:sz w:val="16"/>
              </w:rPr>
              <w:t>Vigenin</w:t>
            </w:r>
            <w:proofErr w:type="spellEnd"/>
            <w:r w:rsidRPr="008E0CBB">
              <w:rPr>
                <w:snapToGrid w:val="0"/>
                <w:sz w:val="16"/>
              </w:rPr>
              <w:t xml:space="preserve">, </w:t>
            </w:r>
            <w:proofErr w:type="spellStart"/>
            <w:r w:rsidRPr="008E0CBB">
              <w:rPr>
                <w:snapToGrid w:val="0"/>
                <w:sz w:val="16"/>
              </w:rPr>
              <w:t>Alessandro</w:t>
            </w:r>
            <w:proofErr w:type="spellEnd"/>
            <w:r w:rsidRPr="008E0CBB">
              <w:rPr>
                <w:snapToGrid w:val="0"/>
                <w:sz w:val="16"/>
              </w:rPr>
              <w:t xml:space="preserve"> </w:t>
            </w:r>
            <w:proofErr w:type="spellStart"/>
            <w:r w:rsidRPr="008E0CBB">
              <w:rPr>
                <w:snapToGrid w:val="0"/>
                <w:sz w:val="16"/>
              </w:rPr>
              <w:t>Zan</w:t>
            </w:r>
            <w:proofErr w:type="spellEnd"/>
          </w:p>
        </w:tc>
      </w:tr>
      <w:tr w:rsidR="00B04730" w:rsidRPr="008E0CBB" w14:paraId="20F97B5C" w14:textId="77777777" w:rsidTr="00A5405C">
        <w:trPr>
          <w:cantSplit/>
        </w:trPr>
        <w:tc>
          <w:tcPr>
            <w:tcW w:w="1701" w:type="dxa"/>
            <w:shd w:val="clear" w:color="auto" w:fill="FFFFFF"/>
          </w:tcPr>
          <w:p w14:paraId="25AE9107" w14:textId="77777777" w:rsidR="00B04730" w:rsidRPr="008E0CBB" w:rsidRDefault="00B04730" w:rsidP="00A5405C">
            <w:pPr>
              <w:spacing w:before="120" w:after="120"/>
              <w:rPr>
                <w:snapToGrid w:val="0"/>
                <w:sz w:val="16"/>
              </w:rPr>
            </w:pPr>
            <w:proofErr w:type="spellStart"/>
            <w:r w:rsidRPr="008E0CBB">
              <w:rPr>
                <w:snapToGrid w:val="0"/>
                <w:sz w:val="16"/>
              </w:rPr>
              <w:t>Verts</w:t>
            </w:r>
            <w:proofErr w:type="spellEnd"/>
            <w:r w:rsidRPr="008E0CBB">
              <w:rPr>
                <w:snapToGrid w:val="0"/>
                <w:sz w:val="16"/>
              </w:rPr>
              <w:t>/ALE</w:t>
            </w:r>
          </w:p>
        </w:tc>
        <w:tc>
          <w:tcPr>
            <w:tcW w:w="7371" w:type="dxa"/>
            <w:shd w:val="clear" w:color="auto" w:fill="FFFFFF"/>
          </w:tcPr>
          <w:p w14:paraId="34FE75C9" w14:textId="77777777" w:rsidR="00B04730" w:rsidRPr="008E0CBB" w:rsidRDefault="00B04730" w:rsidP="00A5405C">
            <w:pPr>
              <w:spacing w:before="120" w:after="120"/>
              <w:rPr>
                <w:snapToGrid w:val="0"/>
                <w:sz w:val="16"/>
              </w:rPr>
            </w:pPr>
            <w:proofErr w:type="spellStart"/>
            <w:r w:rsidRPr="008E0CBB">
              <w:rPr>
                <w:snapToGrid w:val="0"/>
                <w:sz w:val="16"/>
              </w:rPr>
              <w:t>Jaume</w:t>
            </w:r>
            <w:proofErr w:type="spellEnd"/>
            <w:r w:rsidRPr="008E0CBB">
              <w:rPr>
                <w:snapToGrid w:val="0"/>
                <w:sz w:val="16"/>
              </w:rPr>
              <w:t xml:space="preserve"> </w:t>
            </w:r>
            <w:proofErr w:type="spellStart"/>
            <w:r w:rsidRPr="008E0CBB">
              <w:rPr>
                <w:snapToGrid w:val="0"/>
                <w:sz w:val="16"/>
              </w:rPr>
              <w:t>Asens</w:t>
            </w:r>
            <w:proofErr w:type="spellEnd"/>
            <w:r w:rsidRPr="008E0CBB">
              <w:rPr>
                <w:snapToGrid w:val="0"/>
                <w:sz w:val="16"/>
              </w:rPr>
              <w:t xml:space="preserve"> </w:t>
            </w:r>
            <w:proofErr w:type="spellStart"/>
            <w:r w:rsidRPr="008E0CBB">
              <w:rPr>
                <w:snapToGrid w:val="0"/>
                <w:sz w:val="16"/>
              </w:rPr>
              <w:t>Llodrà</w:t>
            </w:r>
            <w:proofErr w:type="spellEnd"/>
            <w:r w:rsidRPr="008E0CBB">
              <w:rPr>
                <w:snapToGrid w:val="0"/>
                <w:sz w:val="16"/>
              </w:rPr>
              <w:t xml:space="preserve">, </w:t>
            </w:r>
            <w:proofErr w:type="spellStart"/>
            <w:r w:rsidRPr="008E0CBB">
              <w:rPr>
                <w:snapToGrid w:val="0"/>
                <w:sz w:val="16"/>
              </w:rPr>
              <w:t>Saskia</w:t>
            </w:r>
            <w:proofErr w:type="spellEnd"/>
            <w:r w:rsidRPr="008E0CBB">
              <w:rPr>
                <w:snapToGrid w:val="0"/>
                <w:sz w:val="16"/>
              </w:rPr>
              <w:t xml:space="preserve"> </w:t>
            </w:r>
            <w:proofErr w:type="spellStart"/>
            <w:r w:rsidRPr="008E0CBB">
              <w:rPr>
                <w:snapToGrid w:val="0"/>
                <w:sz w:val="16"/>
              </w:rPr>
              <w:t>Bricmont</w:t>
            </w:r>
            <w:proofErr w:type="spellEnd"/>
            <w:r w:rsidRPr="008E0CBB">
              <w:rPr>
                <w:snapToGrid w:val="0"/>
                <w:sz w:val="16"/>
              </w:rPr>
              <w:t xml:space="preserve">, </w:t>
            </w:r>
            <w:proofErr w:type="spellStart"/>
            <w:r w:rsidRPr="008E0CBB">
              <w:rPr>
                <w:snapToGrid w:val="0"/>
                <w:sz w:val="16"/>
              </w:rPr>
              <w:t>Markéta</w:t>
            </w:r>
            <w:proofErr w:type="spellEnd"/>
            <w:r w:rsidRPr="008E0CBB">
              <w:rPr>
                <w:snapToGrid w:val="0"/>
                <w:sz w:val="16"/>
              </w:rPr>
              <w:t xml:space="preserve"> </w:t>
            </w:r>
            <w:proofErr w:type="spellStart"/>
            <w:r w:rsidRPr="008E0CBB">
              <w:rPr>
                <w:snapToGrid w:val="0"/>
                <w:sz w:val="16"/>
              </w:rPr>
              <w:t>Gregorová</w:t>
            </w:r>
            <w:proofErr w:type="spellEnd"/>
            <w:r w:rsidRPr="008E0CBB">
              <w:rPr>
                <w:snapToGrid w:val="0"/>
                <w:sz w:val="16"/>
              </w:rPr>
              <w:t xml:space="preserve">, </w:t>
            </w:r>
            <w:proofErr w:type="spellStart"/>
            <w:r w:rsidRPr="008E0CBB">
              <w:rPr>
                <w:snapToGrid w:val="0"/>
                <w:sz w:val="16"/>
              </w:rPr>
              <w:t>Alice</w:t>
            </w:r>
            <w:proofErr w:type="spellEnd"/>
            <w:r w:rsidRPr="008E0CBB">
              <w:rPr>
                <w:snapToGrid w:val="0"/>
                <w:sz w:val="16"/>
              </w:rPr>
              <w:t xml:space="preserve"> </w:t>
            </w:r>
            <w:proofErr w:type="spellStart"/>
            <w:r w:rsidRPr="008E0CBB">
              <w:rPr>
                <w:snapToGrid w:val="0"/>
                <w:sz w:val="16"/>
              </w:rPr>
              <w:t>Kuhnke</w:t>
            </w:r>
            <w:proofErr w:type="spellEnd"/>
            <w:r w:rsidRPr="008E0CBB">
              <w:rPr>
                <w:snapToGrid w:val="0"/>
                <w:sz w:val="16"/>
              </w:rPr>
              <w:t xml:space="preserve">, </w:t>
            </w:r>
            <w:proofErr w:type="spellStart"/>
            <w:r w:rsidRPr="008E0CBB">
              <w:rPr>
                <w:snapToGrid w:val="0"/>
                <w:sz w:val="16"/>
              </w:rPr>
              <w:t>Leoluca</w:t>
            </w:r>
            <w:proofErr w:type="spellEnd"/>
            <w:r w:rsidRPr="008E0CBB">
              <w:rPr>
                <w:snapToGrid w:val="0"/>
                <w:sz w:val="16"/>
              </w:rPr>
              <w:t xml:space="preserve"> </w:t>
            </w:r>
            <w:proofErr w:type="spellStart"/>
            <w:r w:rsidRPr="008E0CBB">
              <w:rPr>
                <w:snapToGrid w:val="0"/>
                <w:sz w:val="16"/>
              </w:rPr>
              <w:t>Orlando</w:t>
            </w:r>
            <w:proofErr w:type="spellEnd"/>
            <w:r w:rsidRPr="008E0CBB">
              <w:rPr>
                <w:snapToGrid w:val="0"/>
                <w:sz w:val="16"/>
              </w:rPr>
              <w:t xml:space="preserve">, </w:t>
            </w:r>
            <w:proofErr w:type="spellStart"/>
            <w:r w:rsidRPr="008E0CBB">
              <w:rPr>
                <w:snapToGrid w:val="0"/>
                <w:sz w:val="16"/>
              </w:rPr>
              <w:t>Catarina</w:t>
            </w:r>
            <w:proofErr w:type="spellEnd"/>
            <w:r w:rsidRPr="008E0CBB">
              <w:rPr>
                <w:snapToGrid w:val="0"/>
                <w:sz w:val="16"/>
              </w:rPr>
              <w:t xml:space="preserve"> </w:t>
            </w:r>
            <w:proofErr w:type="spellStart"/>
            <w:r w:rsidRPr="008E0CBB">
              <w:rPr>
                <w:snapToGrid w:val="0"/>
                <w:sz w:val="16"/>
              </w:rPr>
              <w:t>Vieira</w:t>
            </w:r>
            <w:proofErr w:type="spellEnd"/>
          </w:p>
        </w:tc>
      </w:tr>
    </w:tbl>
    <w:p w14:paraId="1DFE3C02" w14:textId="77777777" w:rsidR="00B04730" w:rsidRPr="008E0CBB" w:rsidRDefault="00B04730" w:rsidP="00B0473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04730" w:rsidRPr="008E0CBB" w14:paraId="3A1922B0" w14:textId="77777777" w:rsidTr="00A5405C">
        <w:trPr>
          <w:cantSplit/>
        </w:trPr>
        <w:tc>
          <w:tcPr>
            <w:tcW w:w="1701" w:type="dxa"/>
            <w:shd w:val="pct10" w:color="000000" w:fill="FFFFFF"/>
            <w:vAlign w:val="center"/>
          </w:tcPr>
          <w:p w14:paraId="3D50EC6C" w14:textId="77777777" w:rsidR="00B04730" w:rsidRPr="008E0CBB" w:rsidRDefault="00B04730" w:rsidP="00A5405C">
            <w:pPr>
              <w:spacing w:before="120" w:after="120"/>
              <w:jc w:val="center"/>
              <w:rPr>
                <w:b/>
                <w:bCs/>
                <w:snapToGrid w:val="0"/>
                <w:sz w:val="16"/>
              </w:rPr>
            </w:pPr>
            <w:r w:rsidRPr="008E0CBB">
              <w:rPr>
                <w:b/>
                <w:snapToGrid w:val="0"/>
                <w:sz w:val="16"/>
              </w:rPr>
              <w:t>14</w:t>
            </w:r>
          </w:p>
        </w:tc>
        <w:tc>
          <w:tcPr>
            <w:tcW w:w="7371" w:type="dxa"/>
            <w:shd w:val="pct10" w:color="000000" w:fill="FFFFFF"/>
          </w:tcPr>
          <w:p w14:paraId="648AC0F3" w14:textId="77777777" w:rsidR="00B04730" w:rsidRPr="008E0CBB" w:rsidRDefault="00B04730" w:rsidP="00A5405C">
            <w:pPr>
              <w:spacing w:before="120" w:after="120"/>
              <w:jc w:val="center"/>
              <w:rPr>
                <w:rFonts w:ascii="Arial" w:hAnsi="Arial"/>
                <w:b/>
                <w:bCs/>
                <w:snapToGrid w:val="0"/>
                <w:sz w:val="28"/>
              </w:rPr>
            </w:pPr>
            <w:r w:rsidRPr="008E0CBB">
              <w:rPr>
                <w:rFonts w:ascii="Arial" w:hAnsi="Arial"/>
                <w:b/>
                <w:snapToGrid w:val="0"/>
                <w:sz w:val="28"/>
              </w:rPr>
              <w:t>-</w:t>
            </w:r>
          </w:p>
        </w:tc>
      </w:tr>
      <w:tr w:rsidR="00B04730" w:rsidRPr="008E0CBB" w14:paraId="123B92FE" w14:textId="77777777" w:rsidTr="00A5405C">
        <w:trPr>
          <w:cantSplit/>
        </w:trPr>
        <w:tc>
          <w:tcPr>
            <w:tcW w:w="1701" w:type="dxa"/>
            <w:shd w:val="clear" w:color="auto" w:fill="FFFFFF"/>
          </w:tcPr>
          <w:p w14:paraId="71548FCD" w14:textId="77777777" w:rsidR="00B04730" w:rsidRPr="008E0CBB" w:rsidRDefault="00B04730" w:rsidP="00A5405C">
            <w:pPr>
              <w:spacing w:before="120" w:after="120"/>
              <w:rPr>
                <w:snapToGrid w:val="0"/>
                <w:sz w:val="16"/>
              </w:rPr>
            </w:pPr>
            <w:r w:rsidRPr="008E0CBB">
              <w:rPr>
                <w:snapToGrid w:val="0"/>
                <w:sz w:val="16"/>
              </w:rPr>
              <w:t>ECR</w:t>
            </w:r>
          </w:p>
        </w:tc>
        <w:tc>
          <w:tcPr>
            <w:tcW w:w="7371" w:type="dxa"/>
            <w:shd w:val="clear" w:color="auto" w:fill="FFFFFF"/>
          </w:tcPr>
          <w:p w14:paraId="541DB1D1" w14:textId="77777777" w:rsidR="00B04730" w:rsidRPr="008E0CBB" w:rsidRDefault="00B04730" w:rsidP="00A5405C">
            <w:pPr>
              <w:spacing w:before="120" w:after="120"/>
              <w:rPr>
                <w:snapToGrid w:val="0"/>
                <w:sz w:val="16"/>
              </w:rPr>
            </w:pPr>
            <w:proofErr w:type="spellStart"/>
            <w:r w:rsidRPr="008E0CBB">
              <w:rPr>
                <w:snapToGrid w:val="0"/>
                <w:sz w:val="16"/>
              </w:rPr>
              <w:t>Mariusz</w:t>
            </w:r>
            <w:proofErr w:type="spellEnd"/>
            <w:r w:rsidRPr="008E0CBB">
              <w:rPr>
                <w:snapToGrid w:val="0"/>
                <w:sz w:val="16"/>
              </w:rPr>
              <w:t xml:space="preserve"> </w:t>
            </w:r>
            <w:proofErr w:type="spellStart"/>
            <w:r w:rsidRPr="008E0CBB">
              <w:rPr>
                <w:snapToGrid w:val="0"/>
                <w:sz w:val="16"/>
              </w:rPr>
              <w:t>Kamiński</w:t>
            </w:r>
            <w:proofErr w:type="spellEnd"/>
            <w:r w:rsidRPr="008E0CBB">
              <w:rPr>
                <w:snapToGrid w:val="0"/>
                <w:sz w:val="16"/>
              </w:rPr>
              <w:t xml:space="preserve">, </w:t>
            </w:r>
            <w:proofErr w:type="spellStart"/>
            <w:r w:rsidRPr="008E0CBB">
              <w:rPr>
                <w:snapToGrid w:val="0"/>
                <w:sz w:val="16"/>
              </w:rPr>
              <w:t>Sebastian</w:t>
            </w:r>
            <w:proofErr w:type="spellEnd"/>
            <w:r w:rsidRPr="008E0CBB">
              <w:rPr>
                <w:snapToGrid w:val="0"/>
                <w:sz w:val="16"/>
              </w:rPr>
              <w:t xml:space="preserve"> </w:t>
            </w:r>
            <w:proofErr w:type="spellStart"/>
            <w:r w:rsidRPr="008E0CBB">
              <w:rPr>
                <w:snapToGrid w:val="0"/>
                <w:sz w:val="16"/>
              </w:rPr>
              <w:t>Tynkkynen</w:t>
            </w:r>
            <w:proofErr w:type="spellEnd"/>
            <w:r w:rsidRPr="008E0CBB">
              <w:rPr>
                <w:snapToGrid w:val="0"/>
                <w:sz w:val="16"/>
              </w:rPr>
              <w:t xml:space="preserve">, </w:t>
            </w:r>
            <w:proofErr w:type="spellStart"/>
            <w:r w:rsidRPr="008E0CBB">
              <w:rPr>
                <w:snapToGrid w:val="0"/>
                <w:sz w:val="16"/>
              </w:rPr>
              <w:t>Maciej</w:t>
            </w:r>
            <w:proofErr w:type="spellEnd"/>
            <w:r w:rsidRPr="008E0CBB">
              <w:rPr>
                <w:snapToGrid w:val="0"/>
                <w:sz w:val="16"/>
              </w:rPr>
              <w:t xml:space="preserve"> </w:t>
            </w:r>
            <w:proofErr w:type="spellStart"/>
            <w:r w:rsidRPr="008E0CBB">
              <w:rPr>
                <w:snapToGrid w:val="0"/>
                <w:sz w:val="16"/>
              </w:rPr>
              <w:t>Wąsik</w:t>
            </w:r>
            <w:proofErr w:type="spellEnd"/>
          </w:p>
        </w:tc>
      </w:tr>
      <w:tr w:rsidR="00B04730" w:rsidRPr="008E0CBB" w14:paraId="63915E65" w14:textId="77777777" w:rsidTr="00A5405C">
        <w:trPr>
          <w:cantSplit/>
        </w:trPr>
        <w:tc>
          <w:tcPr>
            <w:tcW w:w="1701" w:type="dxa"/>
            <w:shd w:val="clear" w:color="auto" w:fill="FFFFFF"/>
          </w:tcPr>
          <w:p w14:paraId="1282DB9D" w14:textId="77777777" w:rsidR="00B04730" w:rsidRPr="008E0CBB" w:rsidRDefault="00B04730" w:rsidP="00A5405C">
            <w:pPr>
              <w:spacing w:before="120" w:after="120"/>
              <w:rPr>
                <w:snapToGrid w:val="0"/>
                <w:sz w:val="16"/>
              </w:rPr>
            </w:pPr>
            <w:r w:rsidRPr="008E0CBB">
              <w:rPr>
                <w:snapToGrid w:val="0"/>
                <w:sz w:val="16"/>
              </w:rPr>
              <w:t>ESN</w:t>
            </w:r>
          </w:p>
        </w:tc>
        <w:tc>
          <w:tcPr>
            <w:tcW w:w="7371" w:type="dxa"/>
            <w:shd w:val="clear" w:color="auto" w:fill="FFFFFF"/>
          </w:tcPr>
          <w:p w14:paraId="412FD87F" w14:textId="77777777" w:rsidR="00B04730" w:rsidRPr="008E0CBB" w:rsidRDefault="00B04730" w:rsidP="00A5405C">
            <w:pPr>
              <w:spacing w:before="120" w:after="120"/>
              <w:rPr>
                <w:snapToGrid w:val="0"/>
                <w:sz w:val="16"/>
              </w:rPr>
            </w:pPr>
            <w:r w:rsidRPr="008E0CBB">
              <w:rPr>
                <w:snapToGrid w:val="0"/>
                <w:sz w:val="16"/>
              </w:rPr>
              <w:t xml:space="preserve">Mary </w:t>
            </w:r>
            <w:proofErr w:type="spellStart"/>
            <w:r w:rsidRPr="008E0CBB">
              <w:rPr>
                <w:snapToGrid w:val="0"/>
                <w:sz w:val="16"/>
              </w:rPr>
              <w:t>Khan</w:t>
            </w:r>
            <w:proofErr w:type="spellEnd"/>
            <w:r w:rsidRPr="008E0CBB">
              <w:rPr>
                <w:snapToGrid w:val="0"/>
                <w:sz w:val="16"/>
              </w:rPr>
              <w:t xml:space="preserve">, Milan </w:t>
            </w:r>
            <w:proofErr w:type="spellStart"/>
            <w:r w:rsidRPr="008E0CBB">
              <w:rPr>
                <w:snapToGrid w:val="0"/>
                <w:sz w:val="16"/>
              </w:rPr>
              <w:t>Uhrík</w:t>
            </w:r>
            <w:proofErr w:type="spellEnd"/>
            <w:r w:rsidRPr="008E0CBB">
              <w:rPr>
                <w:snapToGrid w:val="0"/>
                <w:sz w:val="16"/>
              </w:rPr>
              <w:t xml:space="preserve">, </w:t>
            </w:r>
            <w:proofErr w:type="spellStart"/>
            <w:r w:rsidRPr="008E0CBB">
              <w:rPr>
                <w:snapToGrid w:val="0"/>
                <w:sz w:val="16"/>
              </w:rPr>
              <w:t>Ewa</w:t>
            </w:r>
            <w:proofErr w:type="spellEnd"/>
            <w:r w:rsidRPr="008E0CBB">
              <w:rPr>
                <w:snapToGrid w:val="0"/>
                <w:sz w:val="16"/>
              </w:rPr>
              <w:t xml:space="preserve"> </w:t>
            </w:r>
            <w:proofErr w:type="spellStart"/>
            <w:r w:rsidRPr="008E0CBB">
              <w:rPr>
                <w:snapToGrid w:val="0"/>
                <w:sz w:val="16"/>
              </w:rPr>
              <w:t>Zajączkowska-Hernik</w:t>
            </w:r>
            <w:proofErr w:type="spellEnd"/>
          </w:p>
        </w:tc>
      </w:tr>
      <w:tr w:rsidR="00B04730" w:rsidRPr="008E0CBB" w14:paraId="79F3C971" w14:textId="77777777" w:rsidTr="00A5405C">
        <w:trPr>
          <w:cantSplit/>
        </w:trPr>
        <w:tc>
          <w:tcPr>
            <w:tcW w:w="1701" w:type="dxa"/>
            <w:shd w:val="clear" w:color="auto" w:fill="FFFFFF"/>
          </w:tcPr>
          <w:p w14:paraId="5ADF35DC" w14:textId="77777777" w:rsidR="00B04730" w:rsidRPr="008E0CBB" w:rsidRDefault="00B04730" w:rsidP="00A5405C">
            <w:pPr>
              <w:spacing w:before="120" w:after="120"/>
              <w:rPr>
                <w:snapToGrid w:val="0"/>
                <w:sz w:val="16"/>
              </w:rPr>
            </w:pPr>
            <w:r w:rsidRPr="008E0CBB">
              <w:rPr>
                <w:snapToGrid w:val="0"/>
                <w:sz w:val="16"/>
              </w:rPr>
              <w:t>NI</w:t>
            </w:r>
          </w:p>
        </w:tc>
        <w:tc>
          <w:tcPr>
            <w:tcW w:w="7371" w:type="dxa"/>
            <w:shd w:val="clear" w:color="auto" w:fill="FFFFFF"/>
          </w:tcPr>
          <w:p w14:paraId="40222BB6" w14:textId="77777777" w:rsidR="00B04730" w:rsidRPr="008E0CBB" w:rsidRDefault="00B04730" w:rsidP="00A5405C">
            <w:pPr>
              <w:spacing w:before="120" w:after="120"/>
              <w:rPr>
                <w:snapToGrid w:val="0"/>
                <w:sz w:val="16"/>
              </w:rPr>
            </w:pPr>
            <w:proofErr w:type="spellStart"/>
            <w:r w:rsidRPr="008E0CBB">
              <w:rPr>
                <w:snapToGrid w:val="0"/>
                <w:sz w:val="16"/>
              </w:rPr>
              <w:t>Erik</w:t>
            </w:r>
            <w:proofErr w:type="spellEnd"/>
            <w:r w:rsidRPr="008E0CBB">
              <w:rPr>
                <w:snapToGrid w:val="0"/>
                <w:sz w:val="16"/>
              </w:rPr>
              <w:t xml:space="preserve"> </w:t>
            </w:r>
            <w:proofErr w:type="spellStart"/>
            <w:r w:rsidRPr="008E0CBB">
              <w:rPr>
                <w:snapToGrid w:val="0"/>
                <w:sz w:val="16"/>
              </w:rPr>
              <w:t>Kaliňák</w:t>
            </w:r>
            <w:proofErr w:type="spellEnd"/>
          </w:p>
        </w:tc>
      </w:tr>
      <w:tr w:rsidR="00B04730" w:rsidRPr="008E0CBB" w14:paraId="52CFFA83" w14:textId="77777777" w:rsidTr="00A5405C">
        <w:trPr>
          <w:cantSplit/>
        </w:trPr>
        <w:tc>
          <w:tcPr>
            <w:tcW w:w="1701" w:type="dxa"/>
            <w:shd w:val="clear" w:color="auto" w:fill="FFFFFF"/>
          </w:tcPr>
          <w:p w14:paraId="1883FC93" w14:textId="77777777" w:rsidR="00B04730" w:rsidRPr="008E0CBB" w:rsidRDefault="00B04730" w:rsidP="00A5405C">
            <w:pPr>
              <w:spacing w:before="120" w:after="120"/>
              <w:rPr>
                <w:snapToGrid w:val="0"/>
                <w:sz w:val="16"/>
              </w:rPr>
            </w:pPr>
            <w:proofErr w:type="spellStart"/>
            <w:r w:rsidRPr="008E0CBB">
              <w:rPr>
                <w:snapToGrid w:val="0"/>
                <w:sz w:val="16"/>
              </w:rPr>
              <w:t>PfE</w:t>
            </w:r>
            <w:proofErr w:type="spellEnd"/>
          </w:p>
        </w:tc>
        <w:tc>
          <w:tcPr>
            <w:tcW w:w="7371" w:type="dxa"/>
            <w:shd w:val="clear" w:color="auto" w:fill="FFFFFF"/>
          </w:tcPr>
          <w:p w14:paraId="1A7D4515" w14:textId="77777777" w:rsidR="00B04730" w:rsidRPr="008E0CBB" w:rsidRDefault="00B04730" w:rsidP="00A5405C">
            <w:pPr>
              <w:spacing w:before="120" w:after="120"/>
              <w:rPr>
                <w:snapToGrid w:val="0"/>
                <w:sz w:val="16"/>
              </w:rPr>
            </w:pPr>
            <w:proofErr w:type="spellStart"/>
            <w:r w:rsidRPr="008E0CBB">
              <w:rPr>
                <w:snapToGrid w:val="0"/>
                <w:sz w:val="16"/>
              </w:rPr>
              <w:t>Nikola</w:t>
            </w:r>
            <w:proofErr w:type="spellEnd"/>
            <w:r w:rsidRPr="008E0CBB">
              <w:rPr>
                <w:snapToGrid w:val="0"/>
                <w:sz w:val="16"/>
              </w:rPr>
              <w:t xml:space="preserve"> </w:t>
            </w:r>
            <w:proofErr w:type="spellStart"/>
            <w:r w:rsidRPr="008E0CBB">
              <w:rPr>
                <w:snapToGrid w:val="0"/>
                <w:sz w:val="16"/>
              </w:rPr>
              <w:t>Bartůšek</w:t>
            </w:r>
            <w:proofErr w:type="spellEnd"/>
            <w:r w:rsidRPr="008E0CBB">
              <w:rPr>
                <w:snapToGrid w:val="0"/>
                <w:sz w:val="16"/>
              </w:rPr>
              <w:t xml:space="preserve">, </w:t>
            </w:r>
            <w:proofErr w:type="spellStart"/>
            <w:r w:rsidRPr="008E0CBB">
              <w:rPr>
                <w:snapToGrid w:val="0"/>
                <w:sz w:val="16"/>
              </w:rPr>
              <w:t>Susanna</w:t>
            </w:r>
            <w:proofErr w:type="spellEnd"/>
            <w:r w:rsidRPr="008E0CBB">
              <w:rPr>
                <w:snapToGrid w:val="0"/>
                <w:sz w:val="16"/>
              </w:rPr>
              <w:t xml:space="preserve"> </w:t>
            </w:r>
            <w:proofErr w:type="spellStart"/>
            <w:r w:rsidRPr="008E0CBB">
              <w:rPr>
                <w:snapToGrid w:val="0"/>
                <w:sz w:val="16"/>
              </w:rPr>
              <w:t>Ceccardi</w:t>
            </w:r>
            <w:proofErr w:type="spellEnd"/>
            <w:r w:rsidRPr="008E0CBB">
              <w:rPr>
                <w:snapToGrid w:val="0"/>
                <w:sz w:val="16"/>
              </w:rPr>
              <w:t xml:space="preserve">, </w:t>
            </w:r>
            <w:proofErr w:type="spellStart"/>
            <w:r w:rsidRPr="008E0CBB">
              <w:rPr>
                <w:snapToGrid w:val="0"/>
                <w:sz w:val="16"/>
              </w:rPr>
              <w:t>Anna</w:t>
            </w:r>
            <w:proofErr w:type="spellEnd"/>
            <w:r w:rsidRPr="008E0CBB">
              <w:rPr>
                <w:snapToGrid w:val="0"/>
                <w:sz w:val="16"/>
              </w:rPr>
              <w:t xml:space="preserve"> Maria </w:t>
            </w:r>
            <w:proofErr w:type="spellStart"/>
            <w:r w:rsidRPr="008E0CBB">
              <w:rPr>
                <w:snapToGrid w:val="0"/>
                <w:sz w:val="16"/>
              </w:rPr>
              <w:t>Cisint</w:t>
            </w:r>
            <w:proofErr w:type="spellEnd"/>
            <w:r w:rsidRPr="008E0CBB">
              <w:rPr>
                <w:snapToGrid w:val="0"/>
                <w:sz w:val="16"/>
              </w:rPr>
              <w:t xml:space="preserve">, </w:t>
            </w:r>
            <w:proofErr w:type="spellStart"/>
            <w:r w:rsidRPr="008E0CBB">
              <w:rPr>
                <w:snapToGrid w:val="0"/>
                <w:sz w:val="16"/>
              </w:rPr>
              <w:t>Marieke</w:t>
            </w:r>
            <w:proofErr w:type="spellEnd"/>
            <w:r w:rsidRPr="008E0CBB">
              <w:rPr>
                <w:snapToGrid w:val="0"/>
                <w:sz w:val="16"/>
              </w:rPr>
              <w:t xml:space="preserve"> </w:t>
            </w:r>
            <w:proofErr w:type="spellStart"/>
            <w:r w:rsidRPr="008E0CBB">
              <w:rPr>
                <w:snapToGrid w:val="0"/>
                <w:sz w:val="16"/>
              </w:rPr>
              <w:t>Ehlers</w:t>
            </w:r>
            <w:proofErr w:type="spellEnd"/>
            <w:r w:rsidRPr="008E0CBB">
              <w:rPr>
                <w:snapToGrid w:val="0"/>
                <w:sz w:val="16"/>
              </w:rPr>
              <w:t xml:space="preserve">, </w:t>
            </w:r>
            <w:proofErr w:type="spellStart"/>
            <w:r w:rsidRPr="008E0CBB">
              <w:rPr>
                <w:snapToGrid w:val="0"/>
                <w:sz w:val="16"/>
              </w:rPr>
              <w:t>Fabrice</w:t>
            </w:r>
            <w:proofErr w:type="spellEnd"/>
            <w:r w:rsidRPr="008E0CBB">
              <w:rPr>
                <w:snapToGrid w:val="0"/>
                <w:sz w:val="16"/>
              </w:rPr>
              <w:t xml:space="preserve"> </w:t>
            </w:r>
            <w:proofErr w:type="spellStart"/>
            <w:r w:rsidRPr="008E0CBB">
              <w:rPr>
                <w:snapToGrid w:val="0"/>
                <w:sz w:val="16"/>
              </w:rPr>
              <w:t>Leggeri</w:t>
            </w:r>
            <w:proofErr w:type="spellEnd"/>
            <w:r w:rsidRPr="008E0CBB">
              <w:rPr>
                <w:snapToGrid w:val="0"/>
                <w:sz w:val="16"/>
              </w:rPr>
              <w:t xml:space="preserve">, </w:t>
            </w:r>
            <w:proofErr w:type="spellStart"/>
            <w:r w:rsidRPr="008E0CBB">
              <w:rPr>
                <w:snapToGrid w:val="0"/>
                <w:sz w:val="16"/>
              </w:rPr>
              <w:t>Petra</w:t>
            </w:r>
            <w:proofErr w:type="spellEnd"/>
            <w:r w:rsidRPr="008E0CBB">
              <w:rPr>
                <w:snapToGrid w:val="0"/>
                <w:sz w:val="16"/>
              </w:rPr>
              <w:t xml:space="preserve"> </w:t>
            </w:r>
            <w:proofErr w:type="spellStart"/>
            <w:r w:rsidRPr="008E0CBB">
              <w:rPr>
                <w:snapToGrid w:val="0"/>
                <w:sz w:val="16"/>
              </w:rPr>
              <w:t>Steger</w:t>
            </w:r>
            <w:proofErr w:type="spellEnd"/>
            <w:r w:rsidRPr="008E0CBB">
              <w:rPr>
                <w:snapToGrid w:val="0"/>
                <w:sz w:val="16"/>
              </w:rPr>
              <w:t xml:space="preserve">, </w:t>
            </w:r>
            <w:proofErr w:type="spellStart"/>
            <w:r w:rsidRPr="008E0CBB">
              <w:rPr>
                <w:snapToGrid w:val="0"/>
                <w:sz w:val="16"/>
              </w:rPr>
              <w:t>Alexandre</w:t>
            </w:r>
            <w:proofErr w:type="spellEnd"/>
            <w:r w:rsidRPr="008E0CBB">
              <w:rPr>
                <w:snapToGrid w:val="0"/>
                <w:sz w:val="16"/>
              </w:rPr>
              <w:t xml:space="preserve"> </w:t>
            </w:r>
            <w:proofErr w:type="spellStart"/>
            <w:r w:rsidRPr="008E0CBB">
              <w:rPr>
                <w:snapToGrid w:val="0"/>
                <w:sz w:val="16"/>
              </w:rPr>
              <w:t>Varaut</w:t>
            </w:r>
            <w:proofErr w:type="spellEnd"/>
          </w:p>
        </w:tc>
      </w:tr>
    </w:tbl>
    <w:p w14:paraId="0FCA6329" w14:textId="77777777" w:rsidR="00B04730" w:rsidRPr="008E0CBB" w:rsidRDefault="00B04730" w:rsidP="00B0473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04730" w:rsidRPr="008E0CBB" w14:paraId="67BB898C" w14:textId="77777777" w:rsidTr="00A5405C">
        <w:trPr>
          <w:cantSplit/>
        </w:trPr>
        <w:tc>
          <w:tcPr>
            <w:tcW w:w="1701" w:type="dxa"/>
            <w:shd w:val="pct10" w:color="000000" w:fill="FFFFFF"/>
            <w:vAlign w:val="center"/>
          </w:tcPr>
          <w:p w14:paraId="624AE120" w14:textId="77777777" w:rsidR="00B04730" w:rsidRPr="008E0CBB" w:rsidRDefault="00B04730" w:rsidP="00A5405C">
            <w:pPr>
              <w:spacing w:before="120" w:after="120"/>
              <w:jc w:val="center"/>
              <w:rPr>
                <w:b/>
                <w:bCs/>
                <w:snapToGrid w:val="0"/>
                <w:sz w:val="16"/>
              </w:rPr>
            </w:pPr>
            <w:r w:rsidRPr="008E0CBB">
              <w:rPr>
                <w:b/>
                <w:snapToGrid w:val="0"/>
                <w:sz w:val="16"/>
              </w:rPr>
              <w:t>9</w:t>
            </w:r>
          </w:p>
        </w:tc>
        <w:tc>
          <w:tcPr>
            <w:tcW w:w="7371" w:type="dxa"/>
            <w:shd w:val="pct10" w:color="000000" w:fill="FFFFFF"/>
          </w:tcPr>
          <w:p w14:paraId="6DAB8288" w14:textId="77777777" w:rsidR="00B04730" w:rsidRPr="008E0CBB" w:rsidRDefault="00B04730" w:rsidP="00A5405C">
            <w:pPr>
              <w:spacing w:before="120" w:after="120"/>
              <w:jc w:val="center"/>
              <w:rPr>
                <w:rFonts w:ascii="Arial" w:hAnsi="Arial"/>
                <w:b/>
                <w:bCs/>
                <w:snapToGrid w:val="0"/>
                <w:sz w:val="28"/>
              </w:rPr>
            </w:pPr>
            <w:r w:rsidRPr="008E0CBB">
              <w:rPr>
                <w:rFonts w:ascii="Arial" w:hAnsi="Arial"/>
                <w:b/>
                <w:snapToGrid w:val="0"/>
                <w:sz w:val="28"/>
              </w:rPr>
              <w:t>0</w:t>
            </w:r>
          </w:p>
        </w:tc>
      </w:tr>
      <w:tr w:rsidR="00B04730" w:rsidRPr="008E0CBB" w14:paraId="41B27890" w14:textId="77777777" w:rsidTr="00A5405C">
        <w:trPr>
          <w:cantSplit/>
        </w:trPr>
        <w:tc>
          <w:tcPr>
            <w:tcW w:w="1701" w:type="dxa"/>
            <w:shd w:val="clear" w:color="auto" w:fill="FFFFFF"/>
          </w:tcPr>
          <w:p w14:paraId="2098C0AA" w14:textId="77777777" w:rsidR="00B04730" w:rsidRPr="008E0CBB" w:rsidRDefault="00B04730" w:rsidP="00A5405C">
            <w:pPr>
              <w:spacing w:before="120" w:after="120"/>
              <w:rPr>
                <w:snapToGrid w:val="0"/>
                <w:sz w:val="16"/>
              </w:rPr>
            </w:pPr>
            <w:r w:rsidRPr="008E0CBB">
              <w:rPr>
                <w:snapToGrid w:val="0"/>
                <w:sz w:val="16"/>
              </w:rPr>
              <w:t>ECR</w:t>
            </w:r>
          </w:p>
        </w:tc>
        <w:tc>
          <w:tcPr>
            <w:tcW w:w="7371" w:type="dxa"/>
            <w:shd w:val="clear" w:color="auto" w:fill="FFFFFF"/>
          </w:tcPr>
          <w:p w14:paraId="1F23F674" w14:textId="77777777" w:rsidR="00B04730" w:rsidRPr="008E0CBB" w:rsidRDefault="00B04730" w:rsidP="00A5405C">
            <w:pPr>
              <w:spacing w:before="120" w:after="120"/>
              <w:rPr>
                <w:snapToGrid w:val="0"/>
                <w:sz w:val="16"/>
              </w:rPr>
            </w:pPr>
            <w:proofErr w:type="spellStart"/>
            <w:r w:rsidRPr="008E0CBB">
              <w:rPr>
                <w:snapToGrid w:val="0"/>
                <w:sz w:val="16"/>
              </w:rPr>
              <w:t>Stefano</w:t>
            </w:r>
            <w:proofErr w:type="spellEnd"/>
            <w:r w:rsidRPr="008E0CBB">
              <w:rPr>
                <w:snapToGrid w:val="0"/>
                <w:sz w:val="16"/>
              </w:rPr>
              <w:t xml:space="preserve"> </w:t>
            </w:r>
            <w:proofErr w:type="spellStart"/>
            <w:r w:rsidRPr="008E0CBB">
              <w:rPr>
                <w:snapToGrid w:val="0"/>
                <w:sz w:val="16"/>
              </w:rPr>
              <w:t>Cavedagna</w:t>
            </w:r>
            <w:proofErr w:type="spellEnd"/>
            <w:r w:rsidRPr="008E0CBB">
              <w:rPr>
                <w:snapToGrid w:val="0"/>
                <w:sz w:val="16"/>
              </w:rPr>
              <w:t xml:space="preserve">, </w:t>
            </w:r>
            <w:proofErr w:type="spellStart"/>
            <w:r w:rsidRPr="008E0CBB">
              <w:rPr>
                <w:snapToGrid w:val="0"/>
                <w:sz w:val="16"/>
              </w:rPr>
              <w:t>Alessandro</w:t>
            </w:r>
            <w:proofErr w:type="spellEnd"/>
            <w:r w:rsidRPr="008E0CBB">
              <w:rPr>
                <w:snapToGrid w:val="0"/>
                <w:sz w:val="16"/>
              </w:rPr>
              <w:t xml:space="preserve"> </w:t>
            </w:r>
            <w:proofErr w:type="spellStart"/>
            <w:r w:rsidRPr="008E0CBB">
              <w:rPr>
                <w:snapToGrid w:val="0"/>
                <w:sz w:val="16"/>
              </w:rPr>
              <w:t>Ciriani</w:t>
            </w:r>
            <w:proofErr w:type="spellEnd"/>
            <w:r w:rsidRPr="008E0CBB">
              <w:rPr>
                <w:snapToGrid w:val="0"/>
                <w:sz w:val="16"/>
              </w:rPr>
              <w:t xml:space="preserve">, </w:t>
            </w:r>
            <w:proofErr w:type="spellStart"/>
            <w:r w:rsidRPr="008E0CBB">
              <w:rPr>
                <w:snapToGrid w:val="0"/>
                <w:sz w:val="16"/>
              </w:rPr>
              <w:t>Pietro</w:t>
            </w:r>
            <w:proofErr w:type="spellEnd"/>
            <w:r w:rsidRPr="008E0CBB">
              <w:rPr>
                <w:snapToGrid w:val="0"/>
                <w:sz w:val="16"/>
              </w:rPr>
              <w:t xml:space="preserve"> </w:t>
            </w:r>
            <w:proofErr w:type="spellStart"/>
            <w:r w:rsidRPr="008E0CBB">
              <w:rPr>
                <w:snapToGrid w:val="0"/>
                <w:sz w:val="16"/>
              </w:rPr>
              <w:t>Fiocchi</w:t>
            </w:r>
            <w:proofErr w:type="spellEnd"/>
            <w:r w:rsidRPr="008E0CBB">
              <w:rPr>
                <w:snapToGrid w:val="0"/>
                <w:sz w:val="16"/>
              </w:rPr>
              <w:t xml:space="preserve">, </w:t>
            </w:r>
            <w:proofErr w:type="spellStart"/>
            <w:r w:rsidRPr="008E0CBB">
              <w:rPr>
                <w:snapToGrid w:val="0"/>
                <w:sz w:val="16"/>
              </w:rPr>
              <w:t>Paolo</w:t>
            </w:r>
            <w:proofErr w:type="spellEnd"/>
            <w:r w:rsidRPr="008E0CBB">
              <w:rPr>
                <w:snapToGrid w:val="0"/>
                <w:sz w:val="16"/>
              </w:rPr>
              <w:t xml:space="preserve"> </w:t>
            </w:r>
            <w:proofErr w:type="spellStart"/>
            <w:r w:rsidRPr="008E0CBB">
              <w:rPr>
                <w:snapToGrid w:val="0"/>
                <w:sz w:val="16"/>
              </w:rPr>
              <w:t>Inselvini</w:t>
            </w:r>
            <w:proofErr w:type="spellEnd"/>
          </w:p>
        </w:tc>
      </w:tr>
      <w:tr w:rsidR="00B04730" w:rsidRPr="008E0CBB" w14:paraId="15E39B26" w14:textId="77777777" w:rsidTr="00A5405C">
        <w:trPr>
          <w:cantSplit/>
        </w:trPr>
        <w:tc>
          <w:tcPr>
            <w:tcW w:w="1701" w:type="dxa"/>
            <w:shd w:val="clear" w:color="auto" w:fill="FFFFFF"/>
          </w:tcPr>
          <w:p w14:paraId="76C7FD88" w14:textId="77777777" w:rsidR="00B04730" w:rsidRPr="008E0CBB" w:rsidRDefault="00B04730" w:rsidP="00A5405C">
            <w:pPr>
              <w:spacing w:before="120" w:after="120"/>
              <w:rPr>
                <w:snapToGrid w:val="0"/>
                <w:sz w:val="16"/>
              </w:rPr>
            </w:pPr>
            <w:proofErr w:type="spellStart"/>
            <w:r w:rsidRPr="008E0CBB">
              <w:rPr>
                <w:snapToGrid w:val="0"/>
                <w:sz w:val="16"/>
              </w:rPr>
              <w:t>PfE</w:t>
            </w:r>
            <w:proofErr w:type="spellEnd"/>
          </w:p>
        </w:tc>
        <w:tc>
          <w:tcPr>
            <w:tcW w:w="7371" w:type="dxa"/>
            <w:shd w:val="clear" w:color="auto" w:fill="FFFFFF"/>
          </w:tcPr>
          <w:p w14:paraId="715646B6" w14:textId="77777777" w:rsidR="00B04730" w:rsidRPr="008E0CBB" w:rsidRDefault="00B04730" w:rsidP="00A5405C">
            <w:pPr>
              <w:spacing w:before="120" w:after="120"/>
              <w:rPr>
                <w:snapToGrid w:val="0"/>
                <w:sz w:val="16"/>
              </w:rPr>
            </w:pPr>
            <w:proofErr w:type="spellStart"/>
            <w:r w:rsidRPr="008E0CBB">
              <w:rPr>
                <w:snapToGrid w:val="0"/>
                <w:sz w:val="16"/>
              </w:rPr>
              <w:t>Jaroslav</w:t>
            </w:r>
            <w:proofErr w:type="spellEnd"/>
            <w:r w:rsidRPr="008E0CBB">
              <w:rPr>
                <w:snapToGrid w:val="0"/>
                <w:sz w:val="16"/>
              </w:rPr>
              <w:t xml:space="preserve"> </w:t>
            </w:r>
            <w:proofErr w:type="spellStart"/>
            <w:r w:rsidRPr="008E0CBB">
              <w:rPr>
                <w:snapToGrid w:val="0"/>
                <w:sz w:val="16"/>
              </w:rPr>
              <w:t>Bžoch</w:t>
            </w:r>
            <w:proofErr w:type="spellEnd"/>
          </w:p>
        </w:tc>
      </w:tr>
      <w:tr w:rsidR="00B04730" w:rsidRPr="008E0CBB" w14:paraId="3A32F6F7" w14:textId="77777777" w:rsidTr="00A5405C">
        <w:trPr>
          <w:cantSplit/>
        </w:trPr>
        <w:tc>
          <w:tcPr>
            <w:tcW w:w="1701" w:type="dxa"/>
            <w:shd w:val="clear" w:color="auto" w:fill="FFFFFF"/>
          </w:tcPr>
          <w:p w14:paraId="57C3AAFD" w14:textId="77777777" w:rsidR="00B04730" w:rsidRPr="008E0CBB" w:rsidRDefault="00B04730" w:rsidP="00A5405C">
            <w:pPr>
              <w:spacing w:before="120" w:after="120"/>
              <w:rPr>
                <w:snapToGrid w:val="0"/>
                <w:sz w:val="16"/>
              </w:rPr>
            </w:pPr>
            <w:proofErr w:type="spellStart"/>
            <w:r w:rsidRPr="008E0CBB">
              <w:rPr>
                <w:snapToGrid w:val="0"/>
                <w:sz w:val="16"/>
              </w:rPr>
              <w:t>The</w:t>
            </w:r>
            <w:proofErr w:type="spellEnd"/>
            <w:r w:rsidRPr="008E0CBB">
              <w:rPr>
                <w:snapToGrid w:val="0"/>
                <w:sz w:val="16"/>
              </w:rPr>
              <w:t xml:space="preserve"> </w:t>
            </w:r>
            <w:proofErr w:type="spellStart"/>
            <w:r w:rsidRPr="008E0CBB">
              <w:rPr>
                <w:snapToGrid w:val="0"/>
                <w:sz w:val="16"/>
              </w:rPr>
              <w:t>Left</w:t>
            </w:r>
            <w:proofErr w:type="spellEnd"/>
          </w:p>
        </w:tc>
        <w:tc>
          <w:tcPr>
            <w:tcW w:w="7371" w:type="dxa"/>
            <w:shd w:val="clear" w:color="auto" w:fill="FFFFFF"/>
          </w:tcPr>
          <w:p w14:paraId="08838FDE" w14:textId="77777777" w:rsidR="00B04730" w:rsidRPr="008E0CBB" w:rsidRDefault="00B04730" w:rsidP="00A5405C">
            <w:pPr>
              <w:spacing w:before="120" w:after="120"/>
              <w:rPr>
                <w:snapToGrid w:val="0"/>
                <w:sz w:val="16"/>
              </w:rPr>
            </w:pPr>
            <w:proofErr w:type="spellStart"/>
            <w:r w:rsidRPr="008E0CBB">
              <w:rPr>
                <w:snapToGrid w:val="0"/>
                <w:sz w:val="16"/>
              </w:rPr>
              <w:t>Pernando</w:t>
            </w:r>
            <w:proofErr w:type="spellEnd"/>
            <w:r w:rsidRPr="008E0CBB">
              <w:rPr>
                <w:snapToGrid w:val="0"/>
                <w:sz w:val="16"/>
              </w:rPr>
              <w:t xml:space="preserve"> </w:t>
            </w:r>
            <w:proofErr w:type="spellStart"/>
            <w:r w:rsidRPr="008E0CBB">
              <w:rPr>
                <w:snapToGrid w:val="0"/>
                <w:sz w:val="16"/>
              </w:rPr>
              <w:t>Barrena</w:t>
            </w:r>
            <w:proofErr w:type="spellEnd"/>
            <w:r w:rsidRPr="008E0CBB">
              <w:rPr>
                <w:snapToGrid w:val="0"/>
                <w:sz w:val="16"/>
              </w:rPr>
              <w:t xml:space="preserve"> </w:t>
            </w:r>
            <w:proofErr w:type="spellStart"/>
            <w:r w:rsidRPr="008E0CBB">
              <w:rPr>
                <w:snapToGrid w:val="0"/>
                <w:sz w:val="16"/>
              </w:rPr>
              <w:t>Arza</w:t>
            </w:r>
            <w:proofErr w:type="spellEnd"/>
            <w:r w:rsidRPr="008E0CBB">
              <w:rPr>
                <w:snapToGrid w:val="0"/>
                <w:sz w:val="16"/>
              </w:rPr>
              <w:t xml:space="preserve">, </w:t>
            </w:r>
            <w:proofErr w:type="spellStart"/>
            <w:r w:rsidRPr="008E0CBB">
              <w:rPr>
                <w:snapToGrid w:val="0"/>
                <w:sz w:val="16"/>
              </w:rPr>
              <w:t>Damien</w:t>
            </w:r>
            <w:proofErr w:type="spellEnd"/>
            <w:r w:rsidRPr="008E0CBB">
              <w:rPr>
                <w:snapToGrid w:val="0"/>
                <w:sz w:val="16"/>
              </w:rPr>
              <w:t xml:space="preserve"> </w:t>
            </w:r>
            <w:proofErr w:type="spellStart"/>
            <w:r w:rsidRPr="008E0CBB">
              <w:rPr>
                <w:snapToGrid w:val="0"/>
                <w:sz w:val="16"/>
              </w:rPr>
              <w:t>Carême</w:t>
            </w:r>
            <w:proofErr w:type="spellEnd"/>
            <w:r w:rsidRPr="008E0CBB">
              <w:rPr>
                <w:snapToGrid w:val="0"/>
                <w:sz w:val="16"/>
              </w:rPr>
              <w:t xml:space="preserve">, </w:t>
            </w:r>
            <w:proofErr w:type="spellStart"/>
            <w:r w:rsidRPr="008E0CBB">
              <w:rPr>
                <w:snapToGrid w:val="0"/>
                <w:sz w:val="16"/>
              </w:rPr>
              <w:t>Estrella</w:t>
            </w:r>
            <w:proofErr w:type="spellEnd"/>
            <w:r w:rsidRPr="008E0CBB">
              <w:rPr>
                <w:snapToGrid w:val="0"/>
                <w:sz w:val="16"/>
              </w:rPr>
              <w:t xml:space="preserve"> </w:t>
            </w:r>
            <w:proofErr w:type="spellStart"/>
            <w:r w:rsidRPr="008E0CBB">
              <w:rPr>
                <w:snapToGrid w:val="0"/>
                <w:sz w:val="16"/>
              </w:rPr>
              <w:t>Galán</w:t>
            </w:r>
            <w:proofErr w:type="spellEnd"/>
            <w:r w:rsidRPr="008E0CBB">
              <w:rPr>
                <w:snapToGrid w:val="0"/>
                <w:sz w:val="16"/>
              </w:rPr>
              <w:t xml:space="preserve">, </w:t>
            </w:r>
            <w:proofErr w:type="spellStart"/>
            <w:r w:rsidRPr="008E0CBB">
              <w:rPr>
                <w:snapToGrid w:val="0"/>
                <w:sz w:val="16"/>
              </w:rPr>
              <w:t>Ilaria</w:t>
            </w:r>
            <w:proofErr w:type="spellEnd"/>
            <w:r w:rsidRPr="008E0CBB">
              <w:rPr>
                <w:snapToGrid w:val="0"/>
                <w:sz w:val="16"/>
              </w:rPr>
              <w:t xml:space="preserve"> </w:t>
            </w:r>
            <w:proofErr w:type="spellStart"/>
            <w:r w:rsidRPr="008E0CBB">
              <w:rPr>
                <w:snapToGrid w:val="0"/>
                <w:sz w:val="16"/>
              </w:rPr>
              <w:t>Salis</w:t>
            </w:r>
            <w:proofErr w:type="spellEnd"/>
          </w:p>
        </w:tc>
      </w:tr>
    </w:tbl>
    <w:p w14:paraId="503927DD" w14:textId="77777777" w:rsidR="00B04730" w:rsidRPr="008E0CBB" w:rsidRDefault="00B04730" w:rsidP="00B04730">
      <w:pPr>
        <w:spacing w:after="240"/>
      </w:pPr>
    </w:p>
    <w:p w14:paraId="3BBB23B9" w14:textId="77777777" w:rsidR="00B04730" w:rsidRPr="008E0CBB" w:rsidRDefault="00B04730" w:rsidP="00B04730">
      <w:r w:rsidRPr="008E0CBB">
        <w:t>Sutartiniai ženklai:</w:t>
      </w:r>
    </w:p>
    <w:p w14:paraId="15565344" w14:textId="72F2DFD2" w:rsidR="00B04730" w:rsidRPr="008E0CBB" w:rsidRDefault="00B04730" w:rsidP="00B04730">
      <w:pPr>
        <w:tabs>
          <w:tab w:val="center" w:pos="284"/>
          <w:tab w:val="left" w:pos="426"/>
        </w:tabs>
        <w:rPr>
          <w:snapToGrid w:val="0"/>
        </w:rPr>
      </w:pPr>
      <w:r w:rsidRPr="008E0CBB">
        <w:rPr>
          <w:snapToGrid w:val="0"/>
        </w:rPr>
        <w:t>+</w:t>
      </w:r>
      <w:r w:rsidRPr="008E0CBB">
        <w:rPr>
          <w:snapToGrid w:val="0"/>
        </w:rPr>
        <w:tab/>
        <w:t>:</w:t>
      </w:r>
      <w:r w:rsidRPr="008E0CBB">
        <w:rPr>
          <w:snapToGrid w:val="0"/>
        </w:rPr>
        <w:tab/>
      </w:r>
      <w:r>
        <w:rPr>
          <w:snapToGrid w:val="0"/>
        </w:rPr>
        <w:t>už</w:t>
      </w:r>
    </w:p>
    <w:p w14:paraId="2BC51020" w14:textId="06F0B36B" w:rsidR="00B04730" w:rsidRPr="008E0CBB" w:rsidRDefault="00B04730" w:rsidP="00B04730">
      <w:pPr>
        <w:tabs>
          <w:tab w:val="center" w:pos="284"/>
          <w:tab w:val="left" w:pos="426"/>
        </w:tabs>
        <w:rPr>
          <w:snapToGrid w:val="0"/>
        </w:rPr>
      </w:pPr>
      <w:r w:rsidRPr="008E0CBB">
        <w:rPr>
          <w:snapToGrid w:val="0"/>
        </w:rPr>
        <w:t>-</w:t>
      </w:r>
      <w:r w:rsidRPr="008E0CBB">
        <w:rPr>
          <w:snapToGrid w:val="0"/>
        </w:rPr>
        <w:tab/>
        <w:t>:</w:t>
      </w:r>
      <w:r w:rsidRPr="008E0CBB">
        <w:rPr>
          <w:snapToGrid w:val="0"/>
        </w:rPr>
        <w:tab/>
      </w:r>
      <w:r>
        <w:rPr>
          <w:snapToGrid w:val="0"/>
        </w:rPr>
        <w:t>prieš</w:t>
      </w:r>
    </w:p>
    <w:p w14:paraId="42086CD9" w14:textId="34E3D0D8" w:rsidR="00B04730" w:rsidRPr="008E0CBB" w:rsidRDefault="00B04730" w:rsidP="00B04730">
      <w:pPr>
        <w:tabs>
          <w:tab w:val="center" w:pos="284"/>
          <w:tab w:val="left" w:pos="426"/>
        </w:tabs>
        <w:rPr>
          <w:snapToGrid w:val="0"/>
        </w:rPr>
      </w:pPr>
      <w:r w:rsidRPr="008E0CBB">
        <w:rPr>
          <w:snapToGrid w:val="0"/>
        </w:rPr>
        <w:t>0</w:t>
      </w:r>
      <w:r w:rsidRPr="008E0CBB">
        <w:rPr>
          <w:snapToGrid w:val="0"/>
        </w:rPr>
        <w:tab/>
        <w:t>:</w:t>
      </w:r>
      <w:r w:rsidRPr="008E0CBB">
        <w:rPr>
          <w:snapToGrid w:val="0"/>
        </w:rPr>
        <w:tab/>
      </w:r>
      <w:r>
        <w:rPr>
          <w:snapToGrid w:val="0"/>
        </w:rPr>
        <w:t>susilaikė</w:t>
      </w:r>
    </w:p>
    <w:p w14:paraId="584496C6" w14:textId="77777777" w:rsidR="00B04730" w:rsidRPr="008E0CBB" w:rsidRDefault="00B04730" w:rsidP="00B04730"/>
    <w:p w14:paraId="5A5910E1" w14:textId="77777777" w:rsidR="00B04730" w:rsidRPr="008E0CBB" w:rsidRDefault="00B04730" w:rsidP="00B04730">
      <w:pPr>
        <w:pStyle w:val="PageHeadingNotTOC"/>
        <w:jc w:val="left"/>
      </w:pPr>
    </w:p>
    <w:bookmarkEnd w:id="4"/>
    <w:p w14:paraId="2EDBAF58" w14:textId="77777777" w:rsidR="002E2F2E" w:rsidRPr="008E0CBB" w:rsidRDefault="002E2F2E" w:rsidP="00B04730">
      <w:pPr>
        <w:pStyle w:val="PageHeadingNotTOC"/>
        <w:spacing w:after="0"/>
        <w:jc w:val="left"/>
      </w:pPr>
    </w:p>
    <w:sectPr w:rsidR="002E2F2E" w:rsidRPr="008E0CBB" w:rsidSect="00B04730">
      <w:headerReference w:type="even" r:id="rId23"/>
      <w:headerReference w:type="default" r:id="rId24"/>
      <w:headerReference w:type="first" r:id="rId25"/>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AEE54" w14:textId="77777777" w:rsidR="00B04730" w:rsidRPr="008E0CBB" w:rsidRDefault="00B04730">
      <w:r w:rsidRPr="008E0CBB">
        <w:separator/>
      </w:r>
    </w:p>
  </w:endnote>
  <w:endnote w:type="continuationSeparator" w:id="0">
    <w:p w14:paraId="34E6E183" w14:textId="77777777" w:rsidR="00B04730" w:rsidRPr="008E0CBB" w:rsidRDefault="00B04730">
      <w:r w:rsidRPr="008E0C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CF952" w14:textId="77777777" w:rsidR="00B04730" w:rsidRDefault="00B04730" w:rsidP="00B04730">
    <w:pPr>
      <w:pStyle w:val="EPFooter"/>
    </w:pPr>
    <w:r>
      <w:t>PE</w:t>
    </w:r>
    <w:r w:rsidRPr="00B04730">
      <w:rPr>
        <w:rStyle w:val="HideTWBExt"/>
      </w:rPr>
      <w:t>&lt;</w:t>
    </w:r>
    <w:proofErr w:type="spellStart"/>
    <w:r w:rsidRPr="00B04730">
      <w:rPr>
        <w:rStyle w:val="HideTWBExt"/>
      </w:rPr>
      <w:t>NoPE</w:t>
    </w:r>
    <w:proofErr w:type="spellEnd"/>
    <w:r w:rsidRPr="00B04730">
      <w:rPr>
        <w:rStyle w:val="HideTWBExt"/>
      </w:rPr>
      <w:t>&gt;</w:t>
    </w:r>
    <w:r>
      <w:t>778.227</w:t>
    </w:r>
    <w:r w:rsidRPr="00B04730">
      <w:rPr>
        <w:rStyle w:val="HideTWBExt"/>
      </w:rPr>
      <w:t>&lt;/</w:t>
    </w:r>
    <w:proofErr w:type="spellStart"/>
    <w:r w:rsidRPr="00B04730">
      <w:rPr>
        <w:rStyle w:val="HideTWBExt"/>
      </w:rPr>
      <w:t>NoPE</w:t>
    </w:r>
    <w:proofErr w:type="spellEnd"/>
    <w:r w:rsidRPr="00B04730">
      <w:rPr>
        <w:rStyle w:val="HideTWBExt"/>
      </w:rPr>
      <w:t>&gt;&lt;Version&gt;</w:t>
    </w:r>
    <w:r>
      <w:t>v05-00</w:t>
    </w:r>
    <w:r w:rsidRPr="00B04730">
      <w:rPr>
        <w:rStyle w:val="HideTWBExt"/>
      </w:rPr>
      <w:t>&lt;/</w:t>
    </w:r>
    <w:proofErr w:type="spellStart"/>
    <w:r w:rsidRPr="00B04730">
      <w:rPr>
        <w:rStyle w:val="HideTWBExt"/>
      </w:rPr>
      <w:t>Version</w:t>
    </w:r>
    <w:proofErr w:type="spellEnd"/>
    <w:r w:rsidRPr="00B04730">
      <w:rPr>
        <w:rStyle w:val="HideTWBExt"/>
      </w:rPr>
      <w:t>&gt;</w:t>
    </w:r>
    <w:r>
      <w:tab/>
    </w:r>
    <w:r>
      <w:fldChar w:fldCharType="begin"/>
    </w:r>
    <w:r>
      <w:instrText xml:space="preserve"> PAGE  \* MERGEFORMAT </w:instrText>
    </w:r>
    <w:r>
      <w:fldChar w:fldCharType="separate"/>
    </w:r>
    <w:r>
      <w:rPr>
        <w:noProof/>
      </w:rPr>
      <w:t>18</w:t>
    </w:r>
    <w:r>
      <w:fldChar w:fldCharType="end"/>
    </w:r>
    <w:r>
      <w:t>/</w:t>
    </w:r>
    <w:fldSimple w:instr=" NUMPAGES  \* MERGEFORMAT ">
      <w:r>
        <w:rPr>
          <w:noProof/>
        </w:rPr>
        <w:t>1</w:t>
      </w:r>
    </w:fldSimple>
    <w:r>
      <w:tab/>
    </w:r>
    <w:r w:rsidRPr="00B04730">
      <w:rPr>
        <w:rStyle w:val="HideTWBExt"/>
      </w:rPr>
      <w:t>&lt;PathFdR&gt;</w:t>
    </w:r>
    <w:r>
      <w:t>AD\1341059LT.docx</w:t>
    </w:r>
    <w:r w:rsidRPr="00B04730">
      <w:rPr>
        <w:rStyle w:val="HideTWBExt"/>
      </w:rPr>
      <w:t>&lt;/</w:t>
    </w:r>
    <w:proofErr w:type="spellStart"/>
    <w:r w:rsidRPr="00B04730">
      <w:rPr>
        <w:rStyle w:val="HideTWBExt"/>
      </w:rPr>
      <w:t>PathFdR</w:t>
    </w:r>
    <w:proofErr w:type="spellEnd"/>
    <w:r w:rsidRPr="00B04730">
      <w:rPr>
        <w:rStyle w:val="HideTWBExt"/>
      </w:rPr>
      <w:t>&gt;</w:t>
    </w:r>
  </w:p>
  <w:p w14:paraId="6505AA9A" w14:textId="46ED1D45" w:rsidR="00B04730" w:rsidRPr="008E0CBB" w:rsidRDefault="00B04730" w:rsidP="00B04730">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93A27" w14:textId="77777777" w:rsidR="00B04730" w:rsidRDefault="00B04730" w:rsidP="00B04730">
    <w:pPr>
      <w:pStyle w:val="EPFooter"/>
    </w:pPr>
    <w:r w:rsidRPr="00B04730">
      <w:rPr>
        <w:rStyle w:val="HideTWBExt"/>
      </w:rPr>
      <w:t>&lt;PathFdR&gt;</w:t>
    </w:r>
    <w:r>
      <w:t>AD\1341059LT.docx</w:t>
    </w:r>
    <w:r w:rsidRPr="00B04730">
      <w:rPr>
        <w:rStyle w:val="HideTWBExt"/>
      </w:rPr>
      <w:t>&lt;/</w:t>
    </w:r>
    <w:proofErr w:type="spellStart"/>
    <w:r w:rsidRPr="00B04730">
      <w:rPr>
        <w:rStyle w:val="HideTWBExt"/>
      </w:rPr>
      <w:t>PathFdR</w:t>
    </w:r>
    <w:proofErr w:type="spellEnd"/>
    <w:r w:rsidRPr="00B04730">
      <w:rPr>
        <w:rStyle w:val="HideTWBExt"/>
      </w:rPr>
      <w:t>&gt;</w:t>
    </w:r>
    <w:r>
      <w:tab/>
    </w:r>
    <w:r>
      <w:fldChar w:fldCharType="begin"/>
    </w:r>
    <w:r>
      <w:instrText xml:space="preserve"> PAGE  \* MERGEFORMAT </w:instrText>
    </w:r>
    <w:r>
      <w:fldChar w:fldCharType="separate"/>
    </w:r>
    <w:r>
      <w:rPr>
        <w:noProof/>
      </w:rPr>
      <w:t>18</w:t>
    </w:r>
    <w:r>
      <w:fldChar w:fldCharType="end"/>
    </w:r>
    <w:r>
      <w:t>/</w:t>
    </w:r>
    <w:fldSimple w:instr=" NUMPAGES  \* MERGEFORMAT ">
      <w:r>
        <w:rPr>
          <w:noProof/>
        </w:rPr>
        <w:t>1</w:t>
      </w:r>
    </w:fldSimple>
    <w:r>
      <w:tab/>
      <w:t>PE</w:t>
    </w:r>
    <w:r w:rsidRPr="00B04730">
      <w:rPr>
        <w:rStyle w:val="HideTWBExt"/>
      </w:rPr>
      <w:t>&lt;</w:t>
    </w:r>
    <w:proofErr w:type="spellStart"/>
    <w:r w:rsidRPr="00B04730">
      <w:rPr>
        <w:rStyle w:val="HideTWBExt"/>
      </w:rPr>
      <w:t>NoPE</w:t>
    </w:r>
    <w:proofErr w:type="spellEnd"/>
    <w:r w:rsidRPr="00B04730">
      <w:rPr>
        <w:rStyle w:val="HideTWBExt"/>
      </w:rPr>
      <w:t>&gt;</w:t>
    </w:r>
    <w:r>
      <w:t>778.227</w:t>
    </w:r>
    <w:r w:rsidRPr="00B04730">
      <w:rPr>
        <w:rStyle w:val="HideTWBExt"/>
      </w:rPr>
      <w:t>&lt;/</w:t>
    </w:r>
    <w:proofErr w:type="spellStart"/>
    <w:r w:rsidRPr="00B04730">
      <w:rPr>
        <w:rStyle w:val="HideTWBExt"/>
      </w:rPr>
      <w:t>NoPE</w:t>
    </w:r>
    <w:proofErr w:type="spellEnd"/>
    <w:r w:rsidRPr="00B04730">
      <w:rPr>
        <w:rStyle w:val="HideTWBExt"/>
      </w:rPr>
      <w:t>&gt;&lt;Version&gt;</w:t>
    </w:r>
    <w:r>
      <w:t>v05-00</w:t>
    </w:r>
    <w:r w:rsidRPr="00B04730">
      <w:rPr>
        <w:rStyle w:val="HideTWBExt"/>
      </w:rPr>
      <w:t>&lt;/</w:t>
    </w:r>
    <w:proofErr w:type="spellStart"/>
    <w:r w:rsidRPr="00B04730">
      <w:rPr>
        <w:rStyle w:val="HideTWBExt"/>
      </w:rPr>
      <w:t>Version</w:t>
    </w:r>
    <w:proofErr w:type="spellEnd"/>
    <w:r w:rsidRPr="00B04730">
      <w:rPr>
        <w:rStyle w:val="HideTWBExt"/>
      </w:rPr>
      <w:t>&gt;</w:t>
    </w:r>
  </w:p>
  <w:p w14:paraId="7B7C0DF1" w14:textId="070D7136" w:rsidR="00B04730" w:rsidRPr="008E0CBB" w:rsidRDefault="00B04730" w:rsidP="00B04730">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8F572" w14:textId="77777777" w:rsidR="00B04730" w:rsidRDefault="00B04730" w:rsidP="00B04730">
    <w:pPr>
      <w:pStyle w:val="EPFooter"/>
    </w:pPr>
    <w:r w:rsidRPr="00B04730">
      <w:rPr>
        <w:rStyle w:val="HideTWBExt"/>
      </w:rPr>
      <w:t>&lt;PathFdR&gt;</w:t>
    </w:r>
    <w:r>
      <w:t>AD\1341059LT.docx</w:t>
    </w:r>
    <w:r w:rsidRPr="00B04730">
      <w:rPr>
        <w:rStyle w:val="HideTWBExt"/>
      </w:rPr>
      <w:t>&lt;/</w:t>
    </w:r>
    <w:proofErr w:type="spellStart"/>
    <w:r w:rsidRPr="00B04730">
      <w:rPr>
        <w:rStyle w:val="HideTWBExt"/>
      </w:rPr>
      <w:t>PathFdR</w:t>
    </w:r>
    <w:proofErr w:type="spellEnd"/>
    <w:r w:rsidRPr="00B04730">
      <w:rPr>
        <w:rStyle w:val="HideTWBExt"/>
      </w:rPr>
      <w:t>&gt;</w:t>
    </w:r>
    <w:r>
      <w:tab/>
    </w:r>
    <w:r>
      <w:tab/>
      <w:t>PE</w:t>
    </w:r>
    <w:r w:rsidRPr="00B04730">
      <w:rPr>
        <w:rStyle w:val="HideTWBExt"/>
      </w:rPr>
      <w:t>&lt;</w:t>
    </w:r>
    <w:proofErr w:type="spellStart"/>
    <w:r w:rsidRPr="00B04730">
      <w:rPr>
        <w:rStyle w:val="HideTWBExt"/>
      </w:rPr>
      <w:t>NoPE</w:t>
    </w:r>
    <w:proofErr w:type="spellEnd"/>
    <w:r w:rsidRPr="00B04730">
      <w:rPr>
        <w:rStyle w:val="HideTWBExt"/>
      </w:rPr>
      <w:t>&gt;</w:t>
    </w:r>
    <w:r>
      <w:t>778.227</w:t>
    </w:r>
    <w:r w:rsidRPr="00B04730">
      <w:rPr>
        <w:rStyle w:val="HideTWBExt"/>
      </w:rPr>
      <w:t>&lt;/</w:t>
    </w:r>
    <w:proofErr w:type="spellStart"/>
    <w:r w:rsidRPr="00B04730">
      <w:rPr>
        <w:rStyle w:val="HideTWBExt"/>
      </w:rPr>
      <w:t>NoPE</w:t>
    </w:r>
    <w:proofErr w:type="spellEnd"/>
    <w:r w:rsidRPr="00B04730">
      <w:rPr>
        <w:rStyle w:val="HideTWBExt"/>
      </w:rPr>
      <w:t>&gt;&lt;Version&gt;</w:t>
    </w:r>
    <w:r>
      <w:t>v05-00</w:t>
    </w:r>
    <w:r w:rsidRPr="00B04730">
      <w:rPr>
        <w:rStyle w:val="HideTWBExt"/>
      </w:rPr>
      <w:t>&lt;/</w:t>
    </w:r>
    <w:proofErr w:type="spellStart"/>
    <w:r w:rsidRPr="00B04730">
      <w:rPr>
        <w:rStyle w:val="HideTWBExt"/>
      </w:rPr>
      <w:t>Version</w:t>
    </w:r>
    <w:proofErr w:type="spellEnd"/>
    <w:r w:rsidRPr="00B04730">
      <w:rPr>
        <w:rStyle w:val="HideTWBExt"/>
      </w:rPr>
      <w:t>&gt;</w:t>
    </w:r>
  </w:p>
  <w:p w14:paraId="1EA9B835" w14:textId="19DE77DC" w:rsidR="00B04730" w:rsidRPr="008E0CBB" w:rsidRDefault="00B04730" w:rsidP="00B04730">
    <w:pPr>
      <w:pStyle w:val="EPFooter2"/>
    </w:pPr>
    <w:r>
      <w:t>LT</w:t>
    </w:r>
    <w:r>
      <w:tab/>
    </w:r>
    <w:r w:rsidRPr="00B04730">
      <w:rPr>
        <w:b w:val="0"/>
        <w:i/>
        <w:color w:val="C0C0C0"/>
        <w:sz w:val="22"/>
      </w:rPr>
      <w:t>Suvienijusi įvairovę</w:t>
    </w:r>
    <w:r>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ED42A" w14:textId="77777777" w:rsidR="00B04730" w:rsidRPr="008E0CBB" w:rsidRDefault="00B04730" w:rsidP="007D590C">
    <w:pPr>
      <w:pStyle w:val="EPFooter"/>
    </w:pPr>
    <w:r w:rsidRPr="008E0CBB">
      <w:rPr>
        <w:rStyle w:val="HideTWBExt"/>
      </w:rPr>
      <w:t>&lt;PathFdR&gt;</w:t>
    </w:r>
    <w:r w:rsidRPr="008E0CBB">
      <w:t>AD\1341059EN.docx</w:t>
    </w:r>
    <w:r w:rsidRPr="008E0CBB">
      <w:rPr>
        <w:rStyle w:val="HideTWBExt"/>
      </w:rPr>
      <w:t>&lt;/</w:t>
    </w:r>
    <w:proofErr w:type="spellStart"/>
    <w:r w:rsidRPr="008E0CBB">
      <w:rPr>
        <w:rStyle w:val="HideTWBExt"/>
      </w:rPr>
      <w:t>PathFdR</w:t>
    </w:r>
    <w:proofErr w:type="spellEnd"/>
    <w:r w:rsidRPr="008E0CBB">
      <w:rPr>
        <w:rStyle w:val="HideTWBExt"/>
      </w:rPr>
      <w:t>&gt;</w:t>
    </w:r>
    <w:r w:rsidRPr="008E0CBB">
      <w:tab/>
    </w:r>
    <w:r w:rsidRPr="008E0CBB">
      <w:tab/>
      <w:t>PE</w:t>
    </w:r>
    <w:r w:rsidRPr="008E0CBB">
      <w:rPr>
        <w:rStyle w:val="HideTWBExt"/>
      </w:rPr>
      <w:t>&lt;</w:t>
    </w:r>
    <w:proofErr w:type="spellStart"/>
    <w:r w:rsidRPr="008E0CBB">
      <w:rPr>
        <w:rStyle w:val="HideTWBExt"/>
      </w:rPr>
      <w:t>NoPE</w:t>
    </w:r>
    <w:proofErr w:type="spellEnd"/>
    <w:r w:rsidRPr="008E0CBB">
      <w:rPr>
        <w:rStyle w:val="HideTWBExt"/>
      </w:rPr>
      <w:t>&gt;</w:t>
    </w:r>
    <w:r w:rsidRPr="008E0CBB">
      <w:t>778.277</w:t>
    </w:r>
    <w:r w:rsidRPr="008E0CBB">
      <w:rPr>
        <w:rStyle w:val="HideTWBExt"/>
      </w:rPr>
      <w:t>&lt;/</w:t>
    </w:r>
    <w:proofErr w:type="spellStart"/>
    <w:r w:rsidRPr="008E0CBB">
      <w:rPr>
        <w:rStyle w:val="HideTWBExt"/>
      </w:rPr>
      <w:t>NoPE</w:t>
    </w:r>
    <w:proofErr w:type="spellEnd"/>
    <w:r w:rsidRPr="008E0CBB">
      <w:rPr>
        <w:rStyle w:val="HideTWBExt"/>
      </w:rPr>
      <w:t>&gt;&lt;Version&gt;</w:t>
    </w:r>
    <w:r w:rsidRPr="008E0CBB">
      <w:t>v04-00</w:t>
    </w:r>
    <w:r w:rsidRPr="008E0CBB">
      <w:rPr>
        <w:rStyle w:val="HideTWBExt"/>
      </w:rPr>
      <w:t>&lt;/</w:t>
    </w:r>
    <w:proofErr w:type="spellStart"/>
    <w:r w:rsidRPr="008E0CBB">
      <w:rPr>
        <w:rStyle w:val="HideTWBExt"/>
      </w:rPr>
      <w:t>Version</w:t>
    </w:r>
    <w:proofErr w:type="spellEnd"/>
    <w:r w:rsidRPr="008E0CBB">
      <w:rPr>
        <w:rStyle w:val="HideTWBExt"/>
      </w:rPr>
      <w:t>&gt;</w:t>
    </w:r>
  </w:p>
  <w:p w14:paraId="396E20A1" w14:textId="77777777" w:rsidR="00B04730" w:rsidRPr="008E0CBB" w:rsidRDefault="00B04730" w:rsidP="007D590C">
    <w:pPr>
      <w:pStyle w:val="EPFooter2"/>
    </w:pPr>
    <w:r w:rsidRPr="008E0CBB">
      <w:t>XT</w:t>
    </w:r>
    <w:r w:rsidRPr="008E0CBB">
      <w:tab/>
    </w:r>
    <w:r w:rsidRPr="008E0CBB">
      <w:rPr>
        <w:b w:val="0"/>
        <w:i/>
        <w:color w:val="C0C0C0"/>
        <w:sz w:val="22"/>
      </w:rPr>
      <w:t xml:space="preserve">United </w:t>
    </w:r>
    <w:proofErr w:type="spellStart"/>
    <w:r w:rsidRPr="008E0CBB">
      <w:rPr>
        <w:b w:val="0"/>
        <w:i/>
        <w:color w:val="C0C0C0"/>
        <w:sz w:val="22"/>
      </w:rPr>
      <w:t>in</w:t>
    </w:r>
    <w:proofErr w:type="spellEnd"/>
    <w:r w:rsidRPr="008E0CBB">
      <w:rPr>
        <w:b w:val="0"/>
        <w:i/>
        <w:color w:val="C0C0C0"/>
        <w:sz w:val="22"/>
      </w:rPr>
      <w:t xml:space="preserve"> </w:t>
    </w:r>
    <w:proofErr w:type="spellStart"/>
    <w:r w:rsidRPr="008E0CBB">
      <w:rPr>
        <w:b w:val="0"/>
        <w:i/>
        <w:color w:val="C0C0C0"/>
        <w:sz w:val="22"/>
      </w:rPr>
      <w:t>diversity</w:t>
    </w:r>
    <w:proofErr w:type="spellEnd"/>
    <w:r w:rsidRPr="008E0CBB">
      <w:tab/>
      <w:t>XT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33DA8" w14:textId="77777777" w:rsidR="00B04730" w:rsidRPr="008E0CBB" w:rsidRDefault="00B04730" w:rsidP="007D590C">
    <w:pPr>
      <w:pStyle w:val="EPFooter"/>
    </w:pPr>
    <w:r w:rsidRPr="008E0CBB">
      <w:rPr>
        <w:rStyle w:val="HideTWBExt"/>
      </w:rPr>
      <w:t>&lt;PathFdR&gt;</w:t>
    </w:r>
    <w:r w:rsidRPr="008E0CBB">
      <w:t>AD\1341059EN.docx</w:t>
    </w:r>
    <w:r w:rsidRPr="008E0CBB">
      <w:rPr>
        <w:rStyle w:val="HideTWBExt"/>
      </w:rPr>
      <w:t>&lt;/</w:t>
    </w:r>
    <w:proofErr w:type="spellStart"/>
    <w:r w:rsidRPr="008E0CBB">
      <w:rPr>
        <w:rStyle w:val="HideTWBExt"/>
      </w:rPr>
      <w:t>PathFdR</w:t>
    </w:r>
    <w:proofErr w:type="spellEnd"/>
    <w:r w:rsidRPr="008E0CBB">
      <w:rPr>
        <w:rStyle w:val="HideTWBExt"/>
      </w:rPr>
      <w:t>&gt;</w:t>
    </w:r>
    <w:r w:rsidRPr="008E0CBB">
      <w:tab/>
    </w:r>
    <w:r w:rsidRPr="008E0CBB">
      <w:tab/>
      <w:t>PE</w:t>
    </w:r>
    <w:r w:rsidRPr="008E0CBB">
      <w:rPr>
        <w:rStyle w:val="HideTWBExt"/>
      </w:rPr>
      <w:t>&lt;</w:t>
    </w:r>
    <w:proofErr w:type="spellStart"/>
    <w:r w:rsidRPr="008E0CBB">
      <w:rPr>
        <w:rStyle w:val="HideTWBExt"/>
      </w:rPr>
      <w:t>NoPE</w:t>
    </w:r>
    <w:proofErr w:type="spellEnd"/>
    <w:r w:rsidRPr="008E0CBB">
      <w:rPr>
        <w:rStyle w:val="HideTWBExt"/>
      </w:rPr>
      <w:t>&gt;</w:t>
    </w:r>
    <w:r w:rsidRPr="008E0CBB">
      <w:t>778.277</w:t>
    </w:r>
    <w:r w:rsidRPr="008E0CBB">
      <w:rPr>
        <w:rStyle w:val="HideTWBExt"/>
      </w:rPr>
      <w:t>&lt;/</w:t>
    </w:r>
    <w:proofErr w:type="spellStart"/>
    <w:r w:rsidRPr="008E0CBB">
      <w:rPr>
        <w:rStyle w:val="HideTWBExt"/>
      </w:rPr>
      <w:t>NoPE</w:t>
    </w:r>
    <w:proofErr w:type="spellEnd"/>
    <w:r w:rsidRPr="008E0CBB">
      <w:rPr>
        <w:rStyle w:val="HideTWBExt"/>
      </w:rPr>
      <w:t>&gt;&lt;Version&gt;</w:t>
    </w:r>
    <w:r w:rsidRPr="008E0CBB">
      <w:t>v04-00</w:t>
    </w:r>
    <w:r w:rsidRPr="008E0CBB">
      <w:rPr>
        <w:rStyle w:val="HideTWBExt"/>
      </w:rPr>
      <w:t>&lt;/</w:t>
    </w:r>
    <w:proofErr w:type="spellStart"/>
    <w:r w:rsidRPr="008E0CBB">
      <w:rPr>
        <w:rStyle w:val="HideTWBExt"/>
      </w:rPr>
      <w:t>Version</w:t>
    </w:r>
    <w:proofErr w:type="spellEnd"/>
    <w:r w:rsidRPr="008E0CBB">
      <w:rPr>
        <w:rStyle w:val="HideTWBExt"/>
      </w:rPr>
      <w:t>&gt;</w:t>
    </w:r>
  </w:p>
  <w:p w14:paraId="5EF13962" w14:textId="77777777" w:rsidR="00B04730" w:rsidRPr="008E0CBB" w:rsidRDefault="00B04730" w:rsidP="007D590C">
    <w:pPr>
      <w:pStyle w:val="EPFooter2"/>
    </w:pPr>
    <w:r w:rsidRPr="008E0CBB">
      <w:t>XT</w:t>
    </w:r>
    <w:r w:rsidRPr="008E0CBB">
      <w:tab/>
    </w:r>
    <w:r w:rsidRPr="008E0CBB">
      <w:rPr>
        <w:b w:val="0"/>
        <w:i/>
        <w:color w:val="C0C0C0"/>
        <w:sz w:val="22"/>
      </w:rPr>
      <w:t xml:space="preserve">United </w:t>
    </w:r>
    <w:proofErr w:type="spellStart"/>
    <w:r w:rsidRPr="008E0CBB">
      <w:rPr>
        <w:b w:val="0"/>
        <w:i/>
        <w:color w:val="C0C0C0"/>
        <w:sz w:val="22"/>
      </w:rPr>
      <w:t>in</w:t>
    </w:r>
    <w:proofErr w:type="spellEnd"/>
    <w:r w:rsidRPr="008E0CBB">
      <w:rPr>
        <w:b w:val="0"/>
        <w:i/>
        <w:color w:val="C0C0C0"/>
        <w:sz w:val="22"/>
      </w:rPr>
      <w:t xml:space="preserve"> </w:t>
    </w:r>
    <w:proofErr w:type="spellStart"/>
    <w:r w:rsidRPr="008E0CBB">
      <w:rPr>
        <w:b w:val="0"/>
        <w:i/>
        <w:color w:val="C0C0C0"/>
        <w:sz w:val="22"/>
      </w:rPr>
      <w:t>diversity</w:t>
    </w:r>
    <w:proofErr w:type="spellEnd"/>
    <w:r w:rsidRPr="008E0CBB">
      <w:tab/>
      <w:t>XT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3A05C" w14:textId="77777777" w:rsidR="007D590C" w:rsidRPr="008E0CBB" w:rsidRDefault="00B04730" w:rsidP="007D590C">
    <w:pPr>
      <w:pStyle w:val="EPFooter"/>
    </w:pPr>
    <w:r w:rsidRPr="008E0CBB">
      <w:rPr>
        <w:rStyle w:val="HideTWBExt"/>
      </w:rPr>
      <w:t>&lt;PathFdR&gt;</w:t>
    </w:r>
    <w:r w:rsidR="00B5168E" w:rsidRPr="008E0CBB">
      <w:t>AD\1341059EN.docx</w:t>
    </w:r>
    <w:r w:rsidRPr="008E0CBB">
      <w:rPr>
        <w:rStyle w:val="HideTWBExt"/>
      </w:rPr>
      <w:t>&lt;/</w:t>
    </w:r>
    <w:proofErr w:type="spellStart"/>
    <w:r w:rsidRPr="008E0CBB">
      <w:rPr>
        <w:rStyle w:val="HideTWBExt"/>
      </w:rPr>
      <w:t>PathFdR</w:t>
    </w:r>
    <w:proofErr w:type="spellEnd"/>
    <w:r w:rsidRPr="008E0CBB">
      <w:rPr>
        <w:rStyle w:val="HideTWBExt"/>
      </w:rPr>
      <w:t>&gt;</w:t>
    </w:r>
    <w:r w:rsidRPr="008E0CBB">
      <w:tab/>
    </w:r>
    <w:r w:rsidRPr="008E0CBB">
      <w:tab/>
      <w:t>PE</w:t>
    </w:r>
    <w:r w:rsidRPr="008E0CBB">
      <w:rPr>
        <w:rStyle w:val="HideTWBExt"/>
      </w:rPr>
      <w:t>&lt;</w:t>
    </w:r>
    <w:proofErr w:type="spellStart"/>
    <w:r w:rsidRPr="008E0CBB">
      <w:rPr>
        <w:rStyle w:val="HideTWBExt"/>
      </w:rPr>
      <w:t>NoPE</w:t>
    </w:r>
    <w:proofErr w:type="spellEnd"/>
    <w:r w:rsidRPr="008E0CBB">
      <w:rPr>
        <w:rStyle w:val="HideTWBExt"/>
      </w:rPr>
      <w:t>&gt;</w:t>
    </w:r>
    <w:r w:rsidRPr="008E0CBB">
      <w:t>778.277</w:t>
    </w:r>
    <w:r w:rsidRPr="008E0CBB">
      <w:rPr>
        <w:rStyle w:val="HideTWBExt"/>
      </w:rPr>
      <w:t>&lt;/</w:t>
    </w:r>
    <w:proofErr w:type="spellStart"/>
    <w:r w:rsidRPr="008E0CBB">
      <w:rPr>
        <w:rStyle w:val="HideTWBExt"/>
      </w:rPr>
      <w:t>NoPE</w:t>
    </w:r>
    <w:proofErr w:type="spellEnd"/>
    <w:r w:rsidRPr="008E0CBB">
      <w:rPr>
        <w:rStyle w:val="HideTWBExt"/>
      </w:rPr>
      <w:t>&gt;&lt;Version&gt;</w:t>
    </w:r>
    <w:r w:rsidRPr="008E0CBB">
      <w:t>v04-00</w:t>
    </w:r>
    <w:r w:rsidRPr="008E0CBB">
      <w:rPr>
        <w:rStyle w:val="HideTWBExt"/>
      </w:rPr>
      <w:t>&lt;/</w:t>
    </w:r>
    <w:proofErr w:type="spellStart"/>
    <w:r w:rsidRPr="008E0CBB">
      <w:rPr>
        <w:rStyle w:val="HideTWBExt"/>
      </w:rPr>
      <w:t>Version</w:t>
    </w:r>
    <w:proofErr w:type="spellEnd"/>
    <w:r w:rsidRPr="008E0CBB">
      <w:rPr>
        <w:rStyle w:val="HideTWBExt"/>
      </w:rPr>
      <w:t>&gt;</w:t>
    </w:r>
  </w:p>
  <w:p w14:paraId="371BD9AA" w14:textId="77777777" w:rsidR="00C75378" w:rsidRPr="008E0CBB" w:rsidRDefault="00B04730" w:rsidP="007D590C">
    <w:pPr>
      <w:pStyle w:val="EPFooter2"/>
    </w:pPr>
    <w:r w:rsidRPr="008E0CBB">
      <w:t>XT</w:t>
    </w:r>
    <w:r w:rsidRPr="008E0CBB">
      <w:tab/>
    </w:r>
    <w:r w:rsidRPr="008E0CBB">
      <w:rPr>
        <w:b w:val="0"/>
        <w:i/>
        <w:color w:val="C0C0C0"/>
        <w:sz w:val="22"/>
      </w:rPr>
      <w:t xml:space="preserve">United </w:t>
    </w:r>
    <w:proofErr w:type="spellStart"/>
    <w:r w:rsidRPr="008E0CBB">
      <w:rPr>
        <w:b w:val="0"/>
        <w:i/>
        <w:color w:val="C0C0C0"/>
        <w:sz w:val="22"/>
      </w:rPr>
      <w:t>in</w:t>
    </w:r>
    <w:proofErr w:type="spellEnd"/>
    <w:r w:rsidRPr="008E0CBB">
      <w:rPr>
        <w:b w:val="0"/>
        <w:i/>
        <w:color w:val="C0C0C0"/>
        <w:sz w:val="22"/>
      </w:rPr>
      <w:t xml:space="preserve"> </w:t>
    </w:r>
    <w:proofErr w:type="spellStart"/>
    <w:r w:rsidRPr="008E0CBB">
      <w:rPr>
        <w:b w:val="0"/>
        <w:i/>
        <w:color w:val="C0C0C0"/>
        <w:sz w:val="22"/>
      </w:rPr>
      <w:t>diversity</w:t>
    </w:r>
    <w:proofErr w:type="spellEnd"/>
    <w:r w:rsidRPr="008E0CBB">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1973" w14:textId="77777777" w:rsidR="001F470B" w:rsidRPr="008E0CBB" w:rsidRDefault="00B04730">
      <w:r w:rsidRPr="008E0CBB">
        <w:separator/>
      </w:r>
    </w:p>
  </w:footnote>
  <w:footnote w:type="continuationSeparator" w:id="0">
    <w:p w14:paraId="1F5C227F" w14:textId="77777777" w:rsidR="001F470B" w:rsidRPr="008E0CBB" w:rsidRDefault="00B04730">
      <w:r w:rsidRPr="008E0CBB">
        <w:continuationSeparator/>
      </w:r>
    </w:p>
  </w:footnote>
  <w:footnote w:id="1">
    <w:p w14:paraId="637874A9" w14:textId="77777777" w:rsidR="00B04730" w:rsidRPr="008E0CBB" w:rsidRDefault="00B04730" w:rsidP="00B04730">
      <w:pPr>
        <w:pStyle w:val="FootnoteText"/>
      </w:pPr>
      <w:r w:rsidRPr="008E0CBB">
        <w:rPr>
          <w:rStyle w:val="FootnoteReference"/>
        </w:rPr>
        <w:footnoteRef/>
      </w:r>
      <w:r w:rsidRPr="008E0CBB">
        <w:t xml:space="preserve"> 2021 m. gegužės 20 d. Europos Parlamento, Europos Sąjungos Tarybos ir Europos Komisijos tarpinstitucinis susitarimas dėl privalomo skaidrumo registro (OL L 207, 2021 6 11, p. 1, ELI: </w:t>
      </w:r>
      <w:hyperlink r:id="rId1" w:tooltip="http://data.europa.eu/eli/agree_interinstit/2021/611/oj" w:history="1">
        <w:r w:rsidRPr="008E0CBB">
          <w:rPr>
            <w:rStyle w:val="Hyperlink"/>
          </w:rPr>
          <w:t>http://data.europa.eu/eli/agree_interinstit/2021/611/oj</w:t>
        </w:r>
      </w:hyperlink>
      <w:r w:rsidRPr="008E0CB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BA8F4" w14:textId="77777777" w:rsidR="00B04730" w:rsidRDefault="00B047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11D4E" w14:textId="77777777" w:rsidR="00B04730" w:rsidRDefault="00B047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EFE52" w14:textId="77777777" w:rsidR="00B04730" w:rsidRDefault="00B047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0565E" w14:textId="77777777" w:rsidR="00B04730" w:rsidRDefault="00B047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7868E" w14:textId="77777777" w:rsidR="00B04730" w:rsidRDefault="00B047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3D81" w14:textId="77777777" w:rsidR="00B04730" w:rsidRDefault="00B047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EB15" w14:textId="77777777" w:rsidR="00B04730" w:rsidRDefault="00B0473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4475F" w14:textId="77777777" w:rsidR="00B04730" w:rsidRDefault="00B0473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C2C6" w14:textId="77777777" w:rsidR="00B04730" w:rsidRDefault="00B0473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BE1EF" w14:textId="77777777" w:rsidR="007D590C" w:rsidRDefault="007D590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53D19" w14:textId="77777777" w:rsidR="007D590C" w:rsidRDefault="007D590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B654B" w14:textId="77777777" w:rsidR="007D590C" w:rsidRDefault="007D59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4175292">
    <w:abstractNumId w:val="9"/>
  </w:num>
  <w:num w:numId="2" w16cid:durableId="1987590181">
    <w:abstractNumId w:val="9"/>
  </w:num>
  <w:num w:numId="3" w16cid:durableId="661930877">
    <w:abstractNumId w:val="7"/>
  </w:num>
  <w:num w:numId="4" w16cid:durableId="1011369849">
    <w:abstractNumId w:val="7"/>
  </w:num>
  <w:num w:numId="5" w16cid:durableId="609288861">
    <w:abstractNumId w:val="6"/>
  </w:num>
  <w:num w:numId="6" w16cid:durableId="1875919752">
    <w:abstractNumId w:val="6"/>
  </w:num>
  <w:num w:numId="7" w16cid:durableId="477841226">
    <w:abstractNumId w:val="5"/>
  </w:num>
  <w:num w:numId="8" w16cid:durableId="1036274501">
    <w:abstractNumId w:val="5"/>
  </w:num>
  <w:num w:numId="9" w16cid:durableId="772096971">
    <w:abstractNumId w:val="4"/>
  </w:num>
  <w:num w:numId="10" w16cid:durableId="265117398">
    <w:abstractNumId w:val="4"/>
  </w:num>
  <w:num w:numId="11" w16cid:durableId="2102752478">
    <w:abstractNumId w:val="8"/>
  </w:num>
  <w:num w:numId="12" w16cid:durableId="1981808909">
    <w:abstractNumId w:val="8"/>
  </w:num>
  <w:num w:numId="13" w16cid:durableId="676232478">
    <w:abstractNumId w:val="3"/>
  </w:num>
  <w:num w:numId="14" w16cid:durableId="1285963319">
    <w:abstractNumId w:val="3"/>
  </w:num>
  <w:num w:numId="15" w16cid:durableId="179901252">
    <w:abstractNumId w:val="2"/>
  </w:num>
  <w:num w:numId="16" w16cid:durableId="992029999">
    <w:abstractNumId w:val="2"/>
  </w:num>
  <w:num w:numId="17" w16cid:durableId="1984697487">
    <w:abstractNumId w:val="1"/>
  </w:num>
  <w:num w:numId="18" w16cid:durableId="1615401595">
    <w:abstractNumId w:val="1"/>
  </w:num>
  <w:num w:numId="19" w16cid:durableId="244069370">
    <w:abstractNumId w:val="0"/>
  </w:num>
  <w:num w:numId="20" w16cid:durableId="2009597964">
    <w:abstractNumId w:val="0"/>
  </w:num>
  <w:num w:numId="21" w16cid:durableId="1739786983">
    <w:abstractNumId w:val="9"/>
  </w:num>
  <w:num w:numId="22" w16cid:durableId="1456607187">
    <w:abstractNumId w:val="7"/>
  </w:num>
  <w:num w:numId="23" w16cid:durableId="1316840900">
    <w:abstractNumId w:val="6"/>
  </w:num>
  <w:num w:numId="24" w16cid:durableId="2040665234">
    <w:abstractNumId w:val="5"/>
  </w:num>
  <w:num w:numId="25" w16cid:durableId="1735393666">
    <w:abstractNumId w:val="4"/>
  </w:num>
  <w:num w:numId="26" w16cid:durableId="2042893943">
    <w:abstractNumId w:val="8"/>
  </w:num>
  <w:num w:numId="27" w16cid:durableId="1447887224">
    <w:abstractNumId w:val="3"/>
  </w:num>
  <w:num w:numId="28" w16cid:durableId="907687154">
    <w:abstractNumId w:val="2"/>
  </w:num>
  <w:num w:numId="29" w16cid:durableId="137695818">
    <w:abstractNumId w:val="1"/>
  </w:num>
  <w:num w:numId="30" w16cid:durableId="1716656599">
    <w:abstractNumId w:val="0"/>
  </w:num>
  <w:num w:numId="31" w16cid:durableId="1704286411">
    <w:abstractNumId w:val="9"/>
  </w:num>
  <w:num w:numId="32" w16cid:durableId="897740376">
    <w:abstractNumId w:val="7"/>
  </w:num>
  <w:num w:numId="33" w16cid:durableId="802118895">
    <w:abstractNumId w:val="6"/>
  </w:num>
  <w:num w:numId="34" w16cid:durableId="117258843">
    <w:abstractNumId w:val="5"/>
  </w:num>
  <w:num w:numId="35" w16cid:durableId="1665082236">
    <w:abstractNumId w:val="4"/>
  </w:num>
  <w:num w:numId="36" w16cid:durableId="864712067">
    <w:abstractNumId w:val="8"/>
  </w:num>
  <w:num w:numId="37" w16cid:durableId="869756316">
    <w:abstractNumId w:val="3"/>
  </w:num>
  <w:num w:numId="38" w16cid:durableId="2128574804">
    <w:abstractNumId w:val="2"/>
  </w:num>
  <w:num w:numId="39" w16cid:durableId="333538826">
    <w:abstractNumId w:val="1"/>
  </w:num>
  <w:num w:numId="40" w16cid:durableId="164369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1"/>
    <w:docVar w:name="COMKEY" w:val="LIBE"/>
    <w:docVar w:name="CONTRIBUTIONMNU" w:val=" 1"/>
    <w:docVar w:name="CopyToNetwork" w:val="-1"/>
    <w:docVar w:name="FONCTIONMNU" w:val=" 1"/>
    <w:docVar w:name="LastEditedSection" w:val=" 1"/>
    <w:docVar w:name="PARTCOUNT" w:val="0"/>
    <w:docVar w:name="strDocTypeID" w:val="PA_NonLegDec"/>
    <w:docVar w:name="strSubDir" w:val="1341"/>
    <w:docVar w:name="TITLEMNU" w:val=" 1"/>
    <w:docVar w:name="TXTAUTHOR" w:val="mm"/>
    <w:docVar w:name="TXTBUDYEAR" w:val="mm"/>
    <w:docVar w:name="TXTLANGUE" w:val="EN"/>
    <w:docVar w:name="TXTLANGUEMIN" w:val="en"/>
    <w:docVar w:name="TXTNRPE" w:val="778.227"/>
    <w:docVar w:name="TXTNRPROC" w:val="99"/>
    <w:docVar w:name="TXTPEorAP" w:val="PE"/>
    <w:docVar w:name="TXTROUTE" w:val="AD\1341059EN.docx"/>
    <w:docVar w:name="TXTVERSION" w:val="05-00"/>
  </w:docVars>
  <w:rsids>
    <w:rsidRoot w:val="001F470B"/>
    <w:rsid w:val="000048A8"/>
    <w:rsid w:val="00007A18"/>
    <w:rsid w:val="00062634"/>
    <w:rsid w:val="000A05CA"/>
    <w:rsid w:val="000A2EFA"/>
    <w:rsid w:val="000B6C4B"/>
    <w:rsid w:val="000C4CDD"/>
    <w:rsid w:val="000D001F"/>
    <w:rsid w:val="000D099F"/>
    <w:rsid w:val="000D19A2"/>
    <w:rsid w:val="000D6813"/>
    <w:rsid w:val="000E6813"/>
    <w:rsid w:val="000F07FE"/>
    <w:rsid w:val="001275F4"/>
    <w:rsid w:val="00136C76"/>
    <w:rsid w:val="001503C5"/>
    <w:rsid w:val="001A455F"/>
    <w:rsid w:val="001F2766"/>
    <w:rsid w:val="001F470B"/>
    <w:rsid w:val="001F6ED8"/>
    <w:rsid w:val="00212D35"/>
    <w:rsid w:val="00221F41"/>
    <w:rsid w:val="00235AB7"/>
    <w:rsid w:val="00245C7F"/>
    <w:rsid w:val="00271180"/>
    <w:rsid w:val="002744AE"/>
    <w:rsid w:val="002A4AC9"/>
    <w:rsid w:val="002B2892"/>
    <w:rsid w:val="002C0EE6"/>
    <w:rsid w:val="002C34AE"/>
    <w:rsid w:val="002E2F2E"/>
    <w:rsid w:val="00307C14"/>
    <w:rsid w:val="003707A7"/>
    <w:rsid w:val="00380FCD"/>
    <w:rsid w:val="00385BAB"/>
    <w:rsid w:val="0039003E"/>
    <w:rsid w:val="00396A50"/>
    <w:rsid w:val="00396FA9"/>
    <w:rsid w:val="003B72FC"/>
    <w:rsid w:val="003D684B"/>
    <w:rsid w:val="003E06CF"/>
    <w:rsid w:val="003E35FB"/>
    <w:rsid w:val="003F3B83"/>
    <w:rsid w:val="00425153"/>
    <w:rsid w:val="00431E30"/>
    <w:rsid w:val="00447DA8"/>
    <w:rsid w:val="00467D0A"/>
    <w:rsid w:val="00487232"/>
    <w:rsid w:val="0049491C"/>
    <w:rsid w:val="00495CA4"/>
    <w:rsid w:val="004A34E6"/>
    <w:rsid w:val="004C28FB"/>
    <w:rsid w:val="004E54DC"/>
    <w:rsid w:val="004F48ED"/>
    <w:rsid w:val="005051DD"/>
    <w:rsid w:val="00514664"/>
    <w:rsid w:val="0055017A"/>
    <w:rsid w:val="00577018"/>
    <w:rsid w:val="005779E7"/>
    <w:rsid w:val="005D0786"/>
    <w:rsid w:val="005D1938"/>
    <w:rsid w:val="005D771E"/>
    <w:rsid w:val="005E3670"/>
    <w:rsid w:val="00600DC9"/>
    <w:rsid w:val="00643F39"/>
    <w:rsid w:val="0066728C"/>
    <w:rsid w:val="006819E0"/>
    <w:rsid w:val="006C21AA"/>
    <w:rsid w:val="0071319E"/>
    <w:rsid w:val="00722749"/>
    <w:rsid w:val="007611A2"/>
    <w:rsid w:val="007D590C"/>
    <w:rsid w:val="007F1F92"/>
    <w:rsid w:val="00806587"/>
    <w:rsid w:val="008425DD"/>
    <w:rsid w:val="0086451E"/>
    <w:rsid w:val="008818A9"/>
    <w:rsid w:val="008C6240"/>
    <w:rsid w:val="008E0CBB"/>
    <w:rsid w:val="008E7061"/>
    <w:rsid w:val="008E7494"/>
    <w:rsid w:val="008F36CD"/>
    <w:rsid w:val="008F7002"/>
    <w:rsid w:val="009239ED"/>
    <w:rsid w:val="00932240"/>
    <w:rsid w:val="0095301E"/>
    <w:rsid w:val="0095497D"/>
    <w:rsid w:val="009669A8"/>
    <w:rsid w:val="00972FD8"/>
    <w:rsid w:val="00977F76"/>
    <w:rsid w:val="0098140C"/>
    <w:rsid w:val="009A33F4"/>
    <w:rsid w:val="009A403C"/>
    <w:rsid w:val="009B1A61"/>
    <w:rsid w:val="009B4367"/>
    <w:rsid w:val="009B5265"/>
    <w:rsid w:val="00A2041C"/>
    <w:rsid w:val="00A722B1"/>
    <w:rsid w:val="00A8267E"/>
    <w:rsid w:val="00A93570"/>
    <w:rsid w:val="00A9617A"/>
    <w:rsid w:val="00AA1A2C"/>
    <w:rsid w:val="00AA223C"/>
    <w:rsid w:val="00AA46F0"/>
    <w:rsid w:val="00AF77DA"/>
    <w:rsid w:val="00B030CA"/>
    <w:rsid w:val="00B0320F"/>
    <w:rsid w:val="00B04730"/>
    <w:rsid w:val="00B107A4"/>
    <w:rsid w:val="00B1441B"/>
    <w:rsid w:val="00B362F7"/>
    <w:rsid w:val="00B43990"/>
    <w:rsid w:val="00B5168E"/>
    <w:rsid w:val="00B83BFE"/>
    <w:rsid w:val="00B93668"/>
    <w:rsid w:val="00BB2AC1"/>
    <w:rsid w:val="00BC15CB"/>
    <w:rsid w:val="00BC356D"/>
    <w:rsid w:val="00BC5578"/>
    <w:rsid w:val="00C04938"/>
    <w:rsid w:val="00C175C0"/>
    <w:rsid w:val="00C47E30"/>
    <w:rsid w:val="00C54F53"/>
    <w:rsid w:val="00C75378"/>
    <w:rsid w:val="00C84F87"/>
    <w:rsid w:val="00C85D0F"/>
    <w:rsid w:val="00CA0D01"/>
    <w:rsid w:val="00CF7076"/>
    <w:rsid w:val="00D41244"/>
    <w:rsid w:val="00D438D0"/>
    <w:rsid w:val="00D44697"/>
    <w:rsid w:val="00D47632"/>
    <w:rsid w:val="00D625A2"/>
    <w:rsid w:val="00D71751"/>
    <w:rsid w:val="00D759AA"/>
    <w:rsid w:val="00DA7632"/>
    <w:rsid w:val="00DB0FE5"/>
    <w:rsid w:val="00DD11FB"/>
    <w:rsid w:val="00E01434"/>
    <w:rsid w:val="00E05697"/>
    <w:rsid w:val="00E12435"/>
    <w:rsid w:val="00E3462E"/>
    <w:rsid w:val="00E729C7"/>
    <w:rsid w:val="00E83B40"/>
    <w:rsid w:val="00E9601C"/>
    <w:rsid w:val="00EA78B3"/>
    <w:rsid w:val="00EB19AA"/>
    <w:rsid w:val="00EC2C85"/>
    <w:rsid w:val="00F036E0"/>
    <w:rsid w:val="00F129D0"/>
    <w:rsid w:val="00F24442"/>
    <w:rsid w:val="00F313E3"/>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AF7F9"/>
  <w15:chartTrackingRefBased/>
  <w15:docId w15:val="{F4B71830-46AF-43A2-AE2D-53D6CA581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customStyle="1" w:styleId="NormalHanging12aChar">
    <w:name w:val="NormalHanging12a Char"/>
    <w:basedOn w:val="DefaultParagraphFont"/>
    <w:link w:val="NormalHanging12a"/>
    <w:rsid w:val="007D590C"/>
    <w:rPr>
      <w:sz w:val="24"/>
    </w:rPr>
  </w:style>
  <w:style w:type="paragraph" w:customStyle="1" w:styleId="Normal24a">
    <w:name w:val="Normal24a"/>
    <w:basedOn w:val="Normal"/>
    <w:rsid w:val="007D590C"/>
    <w:pPr>
      <w:spacing w:after="480"/>
    </w:pPr>
    <w:rPr>
      <w:szCs w:val="24"/>
    </w:rPr>
  </w:style>
  <w:style w:type="paragraph" w:customStyle="1" w:styleId="NormalBoldCenter">
    <w:name w:val="NormalBoldCenter"/>
    <w:basedOn w:val="Normal"/>
    <w:rsid w:val="007D590C"/>
    <w:pPr>
      <w:jc w:val="center"/>
    </w:pPr>
    <w:rPr>
      <w:b/>
      <w:szCs w:val="24"/>
    </w:rPr>
  </w:style>
  <w:style w:type="paragraph" w:customStyle="1" w:styleId="Footprint12b">
    <w:name w:val="Footprint12b"/>
    <w:basedOn w:val="Normal"/>
    <w:rsid w:val="007D590C"/>
    <w:pPr>
      <w:spacing w:before="240"/>
    </w:pPr>
    <w:rPr>
      <w:szCs w:val="24"/>
    </w:rPr>
  </w:style>
  <w:style w:type="paragraph" w:customStyle="1" w:styleId="NormalSingle">
    <w:name w:val="NormalSingle"/>
    <w:basedOn w:val="Normal"/>
    <w:qFormat/>
    <w:rsid w:val="007D590C"/>
    <w:rPr>
      <w:szCs w:val="24"/>
    </w:rPr>
  </w:style>
  <w:style w:type="paragraph" w:styleId="FootnoteText">
    <w:name w:val="footnote text"/>
    <w:basedOn w:val="Normal"/>
    <w:link w:val="FootnoteTextChar"/>
    <w:rsid w:val="007D590C"/>
    <w:rPr>
      <w:sz w:val="20"/>
    </w:rPr>
  </w:style>
  <w:style w:type="character" w:customStyle="1" w:styleId="FootnoteTextChar">
    <w:name w:val="Footnote Text Char"/>
    <w:basedOn w:val="DefaultParagraphFont"/>
    <w:link w:val="FootnoteText"/>
    <w:rsid w:val="007D590C"/>
  </w:style>
  <w:style w:type="character" w:styleId="FootnoteReference">
    <w:name w:val="footnote reference"/>
    <w:basedOn w:val="DefaultParagraphFont"/>
    <w:rsid w:val="007D590C"/>
    <w:rPr>
      <w:vertAlign w:val="superscript"/>
    </w:rPr>
  </w:style>
  <w:style w:type="character" w:styleId="Hyperlink">
    <w:name w:val="Hyperlink"/>
    <w:basedOn w:val="DefaultParagraphFont"/>
    <w:rsid w:val="007D590C"/>
    <w:rPr>
      <w:color w:val="0563C1" w:themeColor="hyperlink"/>
      <w:u w:val="single"/>
    </w:rPr>
  </w:style>
  <w:style w:type="character" w:styleId="UnresolvedMention">
    <w:name w:val="Unresolved Mention"/>
    <w:basedOn w:val="DefaultParagraphFont"/>
    <w:uiPriority w:val="99"/>
    <w:semiHidden/>
    <w:unhideWhenUsed/>
    <w:rsid w:val="007D590C"/>
    <w:rPr>
      <w:color w:val="605E5C"/>
      <w:shd w:val="clear" w:color="auto" w:fill="E1DFDD"/>
    </w:rPr>
  </w:style>
  <w:style w:type="paragraph" w:styleId="Footer">
    <w:name w:val="footer"/>
    <w:basedOn w:val="Normal"/>
    <w:link w:val="FooterChar"/>
    <w:semiHidden/>
    <w:rsid w:val="007D590C"/>
    <w:pPr>
      <w:tabs>
        <w:tab w:val="center" w:pos="4513"/>
        <w:tab w:val="right" w:pos="9026"/>
      </w:tabs>
    </w:pPr>
  </w:style>
  <w:style w:type="character" w:customStyle="1" w:styleId="FooterChar">
    <w:name w:val="Footer Char"/>
    <w:basedOn w:val="DefaultParagraphFont"/>
    <w:link w:val="Footer"/>
    <w:semiHidden/>
    <w:rsid w:val="007D590C"/>
    <w:rPr>
      <w:sz w:val="24"/>
    </w:rPr>
  </w:style>
  <w:style w:type="paragraph" w:styleId="Revision">
    <w:name w:val="Revision"/>
    <w:hidden/>
    <w:uiPriority w:val="99"/>
    <w:semiHidden/>
    <w:rsid w:val="00F313E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 Id="rId22" Type="http://schemas.openxmlformats.org/officeDocument/2006/relationships/footer" Target="foot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5502</Words>
  <Characters>37637</Characters>
  <Application>Microsoft Office Word</Application>
  <DocSecurity>0</DocSecurity>
  <Lines>637</Lines>
  <Paragraphs>175</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42964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2026-04-08T06:25:00Z</cp:lastPrinted>
  <dcterms:created xsi:type="dcterms:W3CDTF">2026-04-10T08:39:00Z</dcterms:created>
  <dcterms:modified xsi:type="dcterms:W3CDTF">2026-04-10T08:39:00Z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1341059</vt:lpwstr>
  </property>
  <property fmtid="{D5CDD505-2E9C-101B-9397-08002B2CF9AE}" pid="4" name="&lt;Model&gt;">
    <vt:lpwstr>PA_NonLegDec</vt:lpwstr>
  </property>
  <property fmtid="{D5CDD505-2E9C-101B-9397-08002B2CF9AE}" pid="5" name="&lt;ModelCod&gt;">
    <vt:lpwstr>\\eiciBRUpr1\pdocep$\DocEP\DOCS\General\PA\PA_NonLeg\PA_NonLegDec.dotx(08/11/2024 10:44:10)</vt:lpwstr>
  </property>
  <property fmtid="{D5CDD505-2E9C-101B-9397-08002B2CF9AE}" pid="6" name="&lt;ModelTra&gt;">
    <vt:lpwstr>\\eiciBRUpr1\pdocep$\DocEP\TRANSFIL\EN\PA_NonLegDec.EN(21/01/2025 15:39:00)</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AD\1341059LT.docx</vt:lpwstr>
  </property>
  <property fmtid="{D5CDD505-2E9C-101B-9397-08002B2CF9AE}" pid="10" name="LastEdited with">
    <vt:lpwstr>10.2.1 Build [20260301]</vt:lpwstr>
  </property>
  <property fmtid="{D5CDD505-2E9C-101B-9397-08002B2CF9AE}" pid="11" name="PE number">
    <vt:lpwstr>778.227</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- 2026/04/09 16:09</vt:lpwstr>
  </property>
  <property fmtid="{D5CDD505-2E9C-101B-9397-08002B2CF9AE}" pid="15" name="Bookout">
    <vt:lpwstr>OK - 2026/04/10 10:39</vt:lpwstr>
  </property>
</Properties>
</file>