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25710" w14:paraId="6727C56F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A088AF" w14:textId="77777777" w:rsidR="004F48ED" w:rsidRPr="002D28BF" w:rsidRDefault="007269CE" w:rsidP="00C85D0F">
            <w:pPr>
              <w:pStyle w:val="EPName"/>
            </w:pPr>
            <w:r>
              <w:t>Parlament Europejski</w:t>
            </w:r>
          </w:p>
          <w:p w14:paraId="0BA86D7B" w14:textId="77777777" w:rsidR="004F48ED" w:rsidRPr="002D28BF" w:rsidRDefault="007269CE" w:rsidP="00C85D0F">
            <w:pPr>
              <w:pStyle w:val="EPTerm"/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577CBB3C" w14:textId="77777777" w:rsidR="004F48ED" w:rsidRPr="002D28BF" w:rsidRDefault="007269CE" w:rsidP="00C85D0F">
            <w:pPr>
              <w:pStyle w:val="EPLogo"/>
            </w:pPr>
            <w:r w:rsidRPr="002D28BF">
              <w:rPr>
                <w:noProof/>
                <w:lang w:eastAsia="ja-JP"/>
              </w:rPr>
              <w:drawing>
                <wp:inline distT="0" distB="0" distL="0" distR="0" wp14:anchorId="2BE037CE" wp14:editId="53C99E2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CE2EF4" w14:textId="77777777" w:rsidR="00E9601C" w:rsidRPr="002D28BF" w:rsidRDefault="00E9601C" w:rsidP="00E9601C">
      <w:pPr>
        <w:pStyle w:val="LineTop"/>
      </w:pPr>
    </w:p>
    <w:p w14:paraId="2FEC3B9B" w14:textId="77777777" w:rsidR="00E9601C" w:rsidRPr="0072494D" w:rsidRDefault="007269CE" w:rsidP="00E9601C">
      <w:pPr>
        <w:pStyle w:val="EPBody"/>
      </w:pPr>
      <w:r w:rsidRPr="007269CE">
        <w:rPr>
          <w:rStyle w:val="HideTWBExt"/>
        </w:rPr>
        <w:t>&lt;</w:t>
      </w:r>
      <w:r w:rsidRPr="007269CE">
        <w:rPr>
          <w:rStyle w:val="HideTWBExt"/>
          <w:i w:val="0"/>
        </w:rPr>
        <w:t>Commission</w:t>
      </w:r>
      <w:r w:rsidRPr="007269CE">
        <w:rPr>
          <w:rStyle w:val="HideTWBExt"/>
        </w:rPr>
        <w:t>&gt;</w:t>
      </w:r>
      <w:r w:rsidRPr="007269CE">
        <w:rPr>
          <w:rStyle w:val="HideTWBInt"/>
          <w:color w:val="auto"/>
        </w:rPr>
        <w:t>{LIBE}</w:t>
      </w:r>
      <w:r>
        <w:t>Komisja Wolności Obywatelskich, Sprawiedliwości i Spraw Wewnętrznych</w:t>
      </w:r>
      <w:r w:rsidRPr="007269CE">
        <w:rPr>
          <w:rStyle w:val="HideTWBExt"/>
        </w:rPr>
        <w:t>&lt;/</w:t>
      </w:r>
      <w:proofErr w:type="spellStart"/>
      <w:r w:rsidRPr="007269CE">
        <w:rPr>
          <w:rStyle w:val="HideTWBExt"/>
          <w:i w:val="0"/>
        </w:rPr>
        <w:t>Commission</w:t>
      </w:r>
      <w:proofErr w:type="spellEnd"/>
      <w:r w:rsidRPr="007269CE">
        <w:rPr>
          <w:rStyle w:val="HideTWBExt"/>
        </w:rPr>
        <w:t>&gt;</w:t>
      </w:r>
    </w:p>
    <w:p w14:paraId="14B7719E" w14:textId="77777777" w:rsidR="00E9601C" w:rsidRPr="007269CE" w:rsidRDefault="00E9601C" w:rsidP="00E9601C">
      <w:pPr>
        <w:pStyle w:val="LineBottom"/>
      </w:pPr>
    </w:p>
    <w:p w14:paraId="5C8E78BD" w14:textId="77777777" w:rsidR="00932240" w:rsidRPr="0072494D" w:rsidRDefault="007269CE" w:rsidP="00932240">
      <w:pPr>
        <w:pStyle w:val="CoverReference"/>
      </w:pPr>
      <w:r w:rsidRPr="007269CE">
        <w:rPr>
          <w:rStyle w:val="HideTWBExt"/>
          <w:b w:val="0"/>
        </w:rPr>
        <w:t>&lt;RefProc&gt;</w:t>
      </w:r>
      <w:r>
        <w:t>2025/2156</w:t>
      </w:r>
      <w:r w:rsidRPr="007269CE">
        <w:rPr>
          <w:rStyle w:val="HideTWBExt"/>
          <w:b w:val="0"/>
        </w:rPr>
        <w:t>&lt;/</w:t>
      </w:r>
      <w:proofErr w:type="spellStart"/>
      <w:r w:rsidRPr="007269CE">
        <w:rPr>
          <w:rStyle w:val="HideTWBExt"/>
          <w:b w:val="0"/>
        </w:rPr>
        <w:t>RefProc</w:t>
      </w:r>
      <w:proofErr w:type="spellEnd"/>
      <w:r w:rsidRPr="007269CE">
        <w:rPr>
          <w:rStyle w:val="HideTWBExt"/>
          <w:b w:val="0"/>
        </w:rPr>
        <w:t>&gt;&lt;RefTypeProc&gt;</w:t>
      </w:r>
      <w:r>
        <w:t>(DEC)</w:t>
      </w:r>
      <w:r w:rsidRPr="007269CE">
        <w:rPr>
          <w:rStyle w:val="HideTWBExt"/>
          <w:b w:val="0"/>
        </w:rPr>
        <w:t>&lt;/</w:t>
      </w:r>
      <w:proofErr w:type="spellStart"/>
      <w:r w:rsidRPr="007269CE">
        <w:rPr>
          <w:rStyle w:val="HideTWBExt"/>
          <w:b w:val="0"/>
        </w:rPr>
        <w:t>RefTypeProc</w:t>
      </w:r>
      <w:proofErr w:type="spellEnd"/>
      <w:r w:rsidRPr="007269CE">
        <w:rPr>
          <w:rStyle w:val="HideTWBExt"/>
          <w:b w:val="0"/>
        </w:rPr>
        <w:t>&gt;</w:t>
      </w:r>
    </w:p>
    <w:p w14:paraId="60BAC94B" w14:textId="77777777" w:rsidR="002E2F2E" w:rsidRPr="007269CE" w:rsidRDefault="007269CE">
      <w:pPr>
        <w:pStyle w:val="CoverDate"/>
        <w:rPr>
          <w:lang w:val="fr-BE"/>
        </w:rPr>
      </w:pPr>
      <w:r>
        <w:rPr>
          <w:rStyle w:val="HideTWBExt"/>
          <w:lang w:val="fr-BE"/>
        </w:rPr>
        <w:t>&lt;Date&gt;</w:t>
      </w:r>
      <w:r>
        <w:rPr>
          <w:rStyle w:val="HideTWBInt"/>
          <w:color w:val="auto"/>
          <w:lang w:val="fr-BE"/>
        </w:rPr>
        <w:t>{07/04/2026}</w:t>
      </w:r>
      <w:r w:rsidRPr="007269CE">
        <w:rPr>
          <w:lang w:val="fr-BE"/>
        </w:rPr>
        <w:t>7.4.2026</w:t>
      </w:r>
      <w:r>
        <w:rPr>
          <w:rStyle w:val="HideTWBExt"/>
          <w:lang w:val="fr-BE"/>
        </w:rPr>
        <w:t>&lt;/Date&gt;</w:t>
      </w:r>
    </w:p>
    <w:p w14:paraId="78C92BE4" w14:textId="77777777" w:rsidR="002E2F2E" w:rsidRPr="007269CE" w:rsidRDefault="007269CE">
      <w:pPr>
        <w:pStyle w:val="CoverDocType24a"/>
        <w:rPr>
          <w:lang w:val="fr-BE"/>
        </w:rPr>
      </w:pPr>
      <w:r>
        <w:rPr>
          <w:rStyle w:val="HideTWBExt"/>
          <w:b w:val="0"/>
          <w:lang w:val="fr-BE"/>
        </w:rPr>
        <w:t>&lt;TitreType&gt;</w:t>
      </w:r>
      <w:r w:rsidRPr="007269CE">
        <w:rPr>
          <w:lang w:val="fr-BE"/>
        </w:rPr>
        <w:t>OPINIA</w:t>
      </w:r>
      <w:r>
        <w:rPr>
          <w:rStyle w:val="HideTWBExt"/>
          <w:b w:val="0"/>
          <w:lang w:val="fr-BE"/>
        </w:rPr>
        <w:t>&lt;/TitreType&gt;</w:t>
      </w:r>
    </w:p>
    <w:p w14:paraId="58A5CE60" w14:textId="77777777" w:rsidR="002E2F2E" w:rsidRPr="0072494D" w:rsidRDefault="007269CE">
      <w:pPr>
        <w:pStyle w:val="CoverNormal24a"/>
      </w:pPr>
      <w:r w:rsidRPr="007269CE">
        <w:rPr>
          <w:rStyle w:val="HideTWBExt"/>
        </w:rPr>
        <w:t>&lt;CommissionResp&gt;</w:t>
      </w:r>
      <w:r>
        <w:t>Komisji Wolności Obywatelskich, Sprawiedliwości i Spraw Wewnętrznych</w:t>
      </w:r>
      <w:r w:rsidRPr="007269CE">
        <w:rPr>
          <w:rStyle w:val="HideTWBExt"/>
        </w:rPr>
        <w:t>&lt;/CommissionResp&gt;</w:t>
      </w:r>
    </w:p>
    <w:p w14:paraId="6BEB1F26" w14:textId="77777777" w:rsidR="002E2F2E" w:rsidRPr="0072494D" w:rsidRDefault="007269CE" w:rsidP="0095497D">
      <w:pPr>
        <w:pStyle w:val="CoverNormal24a"/>
      </w:pPr>
      <w:r w:rsidRPr="007269CE">
        <w:rPr>
          <w:rStyle w:val="HideTWBExt"/>
        </w:rPr>
        <w:t>&lt;CommissionInt&gt;</w:t>
      </w:r>
      <w:r>
        <w:t>dla Komisji Kontroli Budżetowej</w:t>
      </w:r>
      <w:r w:rsidRPr="007269CE">
        <w:rPr>
          <w:rStyle w:val="HideTWBExt"/>
        </w:rPr>
        <w:t>&lt;/CommissionInt&gt;</w:t>
      </w:r>
    </w:p>
    <w:p w14:paraId="3616F2AF" w14:textId="77777777" w:rsidR="00932240" w:rsidRPr="0072494D" w:rsidRDefault="007269CE" w:rsidP="00932240">
      <w:pPr>
        <w:pStyle w:val="CoverNormal"/>
      </w:pPr>
      <w:r w:rsidRPr="007269CE">
        <w:rPr>
          <w:rStyle w:val="HideTWBExt"/>
        </w:rPr>
        <w:t>&lt;Titre&gt;</w:t>
      </w:r>
      <w:r>
        <w:t>w sprawie absolutorium z wykonania budżetu agencji Unii Europejskiej za rok budżetowy 2024</w:t>
      </w:r>
      <w:r w:rsidRPr="007269CE">
        <w:rPr>
          <w:rStyle w:val="HideTWBExt"/>
        </w:rPr>
        <w:t>&lt;/</w:t>
      </w:r>
      <w:proofErr w:type="spellStart"/>
      <w:r w:rsidRPr="007269CE">
        <w:rPr>
          <w:rStyle w:val="HideTWBExt"/>
        </w:rPr>
        <w:t>Titre</w:t>
      </w:r>
      <w:proofErr w:type="spellEnd"/>
      <w:r w:rsidRPr="007269CE">
        <w:rPr>
          <w:rStyle w:val="HideTWBExt"/>
        </w:rPr>
        <w:t>&gt;</w:t>
      </w:r>
    </w:p>
    <w:p w14:paraId="29690369" w14:textId="77777777" w:rsidR="00932240" w:rsidRPr="0072494D" w:rsidRDefault="007269CE" w:rsidP="00932240">
      <w:pPr>
        <w:pStyle w:val="CoverNormal24a"/>
      </w:pPr>
      <w:r w:rsidRPr="007269CE">
        <w:rPr>
          <w:rStyle w:val="HideTWBExt"/>
        </w:rPr>
        <w:t>&lt;DocRef&gt;</w:t>
      </w:r>
      <w:r>
        <w:t>(2025/2156(DEC</w:t>
      </w:r>
      <w:proofErr w:type="gramStart"/>
      <w:r>
        <w:t>))</w:t>
      </w:r>
      <w:proofErr w:type="gramEnd"/>
      <w:r w:rsidRPr="007269CE">
        <w:rPr>
          <w:rStyle w:val="HideTWBExt"/>
        </w:rPr>
        <w:t>&lt;/DocRef&gt;</w:t>
      </w:r>
    </w:p>
    <w:p w14:paraId="3CB492D6" w14:textId="77777777" w:rsidR="00977F76" w:rsidRPr="0072494D" w:rsidRDefault="007269CE" w:rsidP="00932240">
      <w:pPr>
        <w:pStyle w:val="CoverNormal"/>
        <w:rPr>
          <w:rStyle w:val="HideTWBExt"/>
        </w:rPr>
      </w:pPr>
      <w:r>
        <w:t xml:space="preserve">Sprawozdawczyni komisji opiniodawczej: </w:t>
      </w:r>
      <w:r w:rsidRPr="007269CE">
        <w:rPr>
          <w:rStyle w:val="HideTWBExt"/>
        </w:rPr>
        <w:t>&lt;Depute&gt;</w:t>
      </w:r>
      <w:bookmarkStart w:id="0" w:name="DocEPLastVariable"/>
      <w:bookmarkEnd w:id="0"/>
      <w:proofErr w:type="spellStart"/>
      <w:r>
        <w:t>Evin</w:t>
      </w:r>
      <w:proofErr w:type="spellEnd"/>
      <w:r>
        <w:t xml:space="preserve"> </w:t>
      </w:r>
      <w:proofErr w:type="spellStart"/>
      <w:r>
        <w:t>Incir</w:t>
      </w:r>
      <w:proofErr w:type="spellEnd"/>
      <w:r w:rsidRPr="007269CE">
        <w:rPr>
          <w:rStyle w:val="HideTWBExt"/>
        </w:rPr>
        <w:t>&lt;/Depute&gt;</w:t>
      </w:r>
    </w:p>
    <w:p w14:paraId="7671DE5A" w14:textId="77777777" w:rsidR="00BC15CB" w:rsidRPr="007269CE" w:rsidRDefault="00BC15CB" w:rsidP="00932240">
      <w:pPr>
        <w:pStyle w:val="CoverNormal"/>
      </w:pPr>
    </w:p>
    <w:p w14:paraId="096C0EE5" w14:textId="77777777" w:rsidR="00932240" w:rsidRPr="0072494D" w:rsidRDefault="007269CE" w:rsidP="00932240">
      <w:pPr>
        <w:widowControl/>
        <w:tabs>
          <w:tab w:val="center" w:pos="4677"/>
        </w:tabs>
      </w:pPr>
      <w:r>
        <w:br w:type="page"/>
      </w:r>
      <w:bookmarkStart w:id="1" w:name="FootprintPageAD"/>
      <w:proofErr w:type="spellStart"/>
      <w:r>
        <w:lastRenderedPageBreak/>
        <w:t>PA_NonLegDec</w:t>
      </w:r>
      <w:proofErr w:type="spellEnd"/>
    </w:p>
    <w:p w14:paraId="118425C2" w14:textId="77777777" w:rsidR="00932240" w:rsidRPr="0072494D" w:rsidRDefault="007269CE" w:rsidP="00932240">
      <w:pPr>
        <w:pStyle w:val="PageHeadingNotTOC"/>
      </w:pPr>
      <w:r>
        <w:br w:type="page"/>
        <w:t>OPINIA</w:t>
      </w:r>
    </w:p>
    <w:p w14:paraId="15A950A8" w14:textId="77777777" w:rsidR="00932240" w:rsidRPr="0072494D" w:rsidRDefault="007269CE" w:rsidP="00932240">
      <w:pPr>
        <w:pStyle w:val="Normal12a"/>
      </w:pPr>
      <w:r>
        <w:t xml:space="preserve">Komisja Wolności Obywatelskich, Sprawiedliwości i Spraw Wewnętrznych zwraca się do Komisji </w:t>
      </w:r>
      <w:r>
        <w:t>Kontroli Budżetowej, jako komisji przedmiotowo właściwej, o uwzględnienie w końcowym tekście projektu rezolucji tego, co następuje:</w:t>
      </w:r>
    </w:p>
    <w:p w14:paraId="1B87F3F5" w14:textId="77777777" w:rsidR="00932240" w:rsidRPr="0072494D" w:rsidRDefault="007269CE" w:rsidP="00932240">
      <w:pPr>
        <w:pStyle w:val="NormalHanging12a"/>
        <w:rPr>
          <w:szCs w:val="24"/>
        </w:rPr>
      </w:pPr>
      <w:r>
        <w:t>1.</w:t>
      </w:r>
      <w:r>
        <w:tab/>
        <w:t>wzywa wszystkie agencje działające w obszarze sprawiedliwości i spraw wewnętrznych, by wzmocniły wewnętrzne kontrole skuteczności i unikały powielania struktur administracyjnych; nalega, aby każdemu zwiększeniu budżetu lub liczby pracowników towarzyszyły wymierne wskaźniki wykonania;</w:t>
      </w:r>
    </w:p>
    <w:p w14:paraId="49A6B6F3" w14:textId="77777777" w:rsidR="00932240" w:rsidRPr="0072494D" w:rsidRDefault="007269CE" w:rsidP="00932240">
      <w:pPr>
        <w:pStyle w:val="NormalHanging12a"/>
        <w:rPr>
          <w:szCs w:val="24"/>
        </w:rPr>
      </w:pPr>
      <w:r>
        <w:t>(Uwaga: fragment dodany przed częścią I)</w:t>
      </w:r>
    </w:p>
    <w:p w14:paraId="1BC563EB" w14:textId="77777777" w:rsidR="00932240" w:rsidRPr="0072494D" w:rsidRDefault="007269CE" w:rsidP="00932240">
      <w:pPr>
        <w:pStyle w:val="Normal12a"/>
        <w:rPr>
          <w:b/>
          <w:bCs/>
          <w:i/>
          <w:iCs/>
        </w:rPr>
      </w:pPr>
      <w:r>
        <w:rPr>
          <w:b/>
          <w:i/>
        </w:rPr>
        <w:t>Część I – Absolutorium z wykonania budżetu Agencji Unii Europejskiej ds. Współpracy Wymiarów Sprawiedliwości w Sprawach Karnych za rok budżetowy 2024</w:t>
      </w:r>
    </w:p>
    <w:p w14:paraId="7E96E777" w14:textId="77777777" w:rsidR="00932240" w:rsidRPr="0072494D" w:rsidRDefault="007269CE" w:rsidP="00932240">
      <w:pPr>
        <w:pStyle w:val="Normal12a"/>
        <w:ind w:left="720" w:hanging="720"/>
      </w:pPr>
      <w:bookmarkStart w:id="2" w:name="_Hlk211414452"/>
      <w:r>
        <w:t>2.</w:t>
      </w:r>
      <w:r>
        <w:tab/>
        <w:t>odnotowuje stały wzrost działalności operacyjnej Agencji Unii Europejskiej ds. Współpracy Wymiarów Sprawiedliwości w Sprawach Karnych (</w:t>
      </w:r>
      <w:proofErr w:type="spellStart"/>
      <w:r>
        <w:t>Eurojust</w:t>
      </w:r>
      <w:proofErr w:type="spellEnd"/>
      <w:r>
        <w:t>) – w 2024 r. działalność ta obejmowała rozpatrzenie 12 972 spraw, 640 spotkań koordynacyjnych, 32 ośrodki koordynacyjne i 361 wspólnych zespołów dochodzeniowo-śledczych (coroczny wzrost o 25 %), co ułatwiło wykonanie 452 europejskich nakazów aresztowania i wydanie 2668 europejskich nakazów dochodzeniowych;</w:t>
      </w:r>
    </w:p>
    <w:p w14:paraId="7E3AA9CD" w14:textId="77777777" w:rsidR="00932240" w:rsidRPr="0072494D" w:rsidRDefault="007269CE" w:rsidP="00932240">
      <w:pPr>
        <w:pStyle w:val="Normal12a"/>
        <w:ind w:left="720" w:hanging="720"/>
      </w:pPr>
      <w:r>
        <w:t>3.</w:t>
      </w:r>
      <w:r>
        <w:tab/>
        <w:t xml:space="preserve">pochwala przyrost wydajności osiągnięty przez </w:t>
      </w:r>
      <w:proofErr w:type="spellStart"/>
      <w:r>
        <w:t>Eurojust</w:t>
      </w:r>
      <w:proofErr w:type="spellEnd"/>
      <w:r>
        <w:t xml:space="preserve"> dzięki wykonaniu 99,94 % budżetu i 98,35 % planu zatrudnienia; zauważa, że wyniki te osiągnięto w kontekście istotnych ograniczeń budżetowych wynikających ze zwiększonego obciążenia pracą operacyjną i wysokiej inflacji;</w:t>
      </w:r>
    </w:p>
    <w:bookmarkEnd w:id="2"/>
    <w:p w14:paraId="2B911B21" w14:textId="77777777" w:rsidR="00932240" w:rsidRPr="0072494D" w:rsidRDefault="007269CE" w:rsidP="00932240">
      <w:pPr>
        <w:pStyle w:val="NormalHanging12a"/>
        <w:ind w:left="709" w:hanging="709"/>
        <w:rPr>
          <w:szCs w:val="24"/>
        </w:rPr>
      </w:pPr>
      <w:r>
        <w:t>4.</w:t>
      </w:r>
      <w:r>
        <w:tab/>
        <w:t xml:space="preserve">z zadowoleniem przyjmuje wsparcie </w:t>
      </w:r>
      <w:proofErr w:type="spellStart"/>
      <w:r>
        <w:t>Eurojustu</w:t>
      </w:r>
      <w:proofErr w:type="spellEnd"/>
      <w:r>
        <w:t xml:space="preserve"> dla działań związanych z wojną napastniczą przeciwko Ukrainie, prowadzenie dochodzeń w sprawie domniemanych najpoważniejszych zbrodni wagi międzynarodowej, wdrożenie bazy danych najpoważniejszych zbrodni wagi międzynarodowej (CICED) oraz wsparcie rozwoju Międzynarodowego Centrum Ścigania Zbrodni Agresji prowadzonego przez </w:t>
      </w:r>
      <w:proofErr w:type="spellStart"/>
      <w:r>
        <w:t>Eurojust</w:t>
      </w:r>
      <w:proofErr w:type="spellEnd"/>
      <w:r>
        <w:t>; podkreśla potrzebę przeznaczenia odpowiednich zasobów finansowych i kadrowych na te działania oraz na ich rozwój;</w:t>
      </w:r>
    </w:p>
    <w:p w14:paraId="78CA8BFD" w14:textId="77777777" w:rsidR="00932240" w:rsidRPr="0072494D" w:rsidRDefault="007269CE" w:rsidP="00932240">
      <w:pPr>
        <w:pStyle w:val="Normal12a"/>
        <w:ind w:left="720" w:hanging="720"/>
      </w:pPr>
      <w:r>
        <w:t>5.</w:t>
      </w:r>
      <w:r>
        <w:tab/>
        <w:t xml:space="preserve">z zadowoleniem przyjmuje uruchomienie we wrześniu 2024 r. europejskiej sieci organów wymiaru sprawiedliwości ds. przestępczości zorganizowanej (EJOCN), której gospodarzem jest </w:t>
      </w:r>
      <w:proofErr w:type="spellStart"/>
      <w:r>
        <w:t>Eurojust</w:t>
      </w:r>
      <w:proofErr w:type="spellEnd"/>
      <w:r>
        <w:t>, jako jedyne w swoim rodzaju centrum wymiany wiedzy fachowej między organami sądowymi zaangażowanymi w dochodzenie i ściganie przestępczości zorganizowanej; zwraca uwagę na potrzebę określenia spójnej strategii rozwoju EJOCN, aby zwiększyć jej znaczenie dla osób zajmujących się zawodowo tą dziedziną;</w:t>
      </w:r>
    </w:p>
    <w:p w14:paraId="0D69624C" w14:textId="77777777" w:rsidR="00932240" w:rsidRPr="0072494D" w:rsidRDefault="007269CE" w:rsidP="00932240">
      <w:pPr>
        <w:pStyle w:val="Normal12a"/>
        <w:ind w:left="720" w:hanging="720"/>
      </w:pPr>
      <w:r>
        <w:t>6.</w:t>
      </w:r>
      <w:r>
        <w:tab/>
        <w:t xml:space="preserve">z zadowoleniem przyjmuje zawarcie przez </w:t>
      </w:r>
      <w:proofErr w:type="spellStart"/>
      <w:r>
        <w:t>Eurojust</w:t>
      </w:r>
      <w:proofErr w:type="spellEnd"/>
      <w:r>
        <w:t xml:space="preserve"> ustaleń roboczych z państwami trzecimi oraz przyjęcie strategii współpracy z partnerami międzynarodowymi (2024–2027); wzywa do wzmocnienia działań w zakresie współpracy międzynarodowej poprzez dalszy rozwój porozumień roboczych oraz zawieranie umów o partnerstwie i współpracy;</w:t>
      </w:r>
    </w:p>
    <w:p w14:paraId="1EECBAFA" w14:textId="77777777" w:rsidR="00932240" w:rsidRPr="0072494D" w:rsidRDefault="007269CE" w:rsidP="00932240">
      <w:pPr>
        <w:pStyle w:val="NormalHanging12a"/>
      </w:pPr>
      <w:r>
        <w:t>7.</w:t>
      </w:r>
      <w:r>
        <w:tab/>
        <w:t xml:space="preserve">z zadowoleniem przyjmuje ścisłą współpracę </w:t>
      </w:r>
      <w:proofErr w:type="spellStart"/>
      <w:r>
        <w:t>Eurojustu</w:t>
      </w:r>
      <w:proofErr w:type="spellEnd"/>
      <w:r>
        <w:t xml:space="preserve"> z Agencją Unii Europejskiej ds. Współpracy Organów Ścigania (Europol) oraz powołanie </w:t>
      </w:r>
      <w:proofErr w:type="spellStart"/>
      <w:r>
        <w:t>międzyagencyjnej</w:t>
      </w:r>
      <w:proofErr w:type="spellEnd"/>
      <w:r>
        <w:t xml:space="preserve"> grupy roboczej w celu dalszego zbadania możliwości współpracy; podkreśla, że cykl przeglądu legislacyjnego </w:t>
      </w:r>
      <w:proofErr w:type="spellStart"/>
      <w:r>
        <w:t>Eurojustu</w:t>
      </w:r>
      <w:proofErr w:type="spellEnd"/>
      <w:r>
        <w:t>, Europolu i Prokuratury Europejskiej (EPPO) stanowi wyjątkową okazję do dalszego zwiększenia synergii między tymi organami, w szczególności w zakresie współpracy operacyjnej, wymiany danych i informacji, zapewniając jednocześnie komplement</w:t>
      </w:r>
      <w:r>
        <w:t>arność i unikając powielania działań lub nakładania się kompetencji prawnych;</w:t>
      </w:r>
    </w:p>
    <w:p w14:paraId="7ACDD997" w14:textId="77777777" w:rsidR="00932240" w:rsidRPr="0072494D" w:rsidRDefault="007269CE" w:rsidP="00932240">
      <w:pPr>
        <w:pStyle w:val="NormalHanging12a"/>
        <w:rPr>
          <w:bCs/>
          <w:iCs/>
          <w:szCs w:val="24"/>
        </w:rPr>
      </w:pPr>
      <w:r>
        <w:t>8.</w:t>
      </w:r>
      <w:r>
        <w:tab/>
        <w:t xml:space="preserve">wzywa Europol do wyznaczenia specjalnego punktu kontaktowego dla </w:t>
      </w:r>
      <w:proofErr w:type="spellStart"/>
      <w:r>
        <w:t>Eurojustu</w:t>
      </w:r>
      <w:proofErr w:type="spellEnd"/>
      <w:r>
        <w:t xml:space="preserve">, odpowiedzialnego za ułatwianie wymiany informacji, zapewnianie współpracy we wspólnych sprawach i poprawę koordynacji między wspólnymi zespołami dochodzeniowo-śledczymi </w:t>
      </w:r>
      <w:proofErr w:type="spellStart"/>
      <w:r>
        <w:t>Eurojustu</w:t>
      </w:r>
      <w:proofErr w:type="spellEnd"/>
      <w:r>
        <w:t xml:space="preserve"> a operacyjnymi grupami zadaniowymi Europolu;</w:t>
      </w:r>
    </w:p>
    <w:p w14:paraId="46216EB7" w14:textId="77777777" w:rsidR="00932240" w:rsidRPr="0072494D" w:rsidRDefault="007269CE" w:rsidP="00932240">
      <w:pPr>
        <w:pStyle w:val="NormalHanging12a"/>
        <w:rPr>
          <w:bCs/>
          <w:iCs/>
          <w:szCs w:val="24"/>
        </w:rPr>
      </w:pPr>
      <w:r>
        <w:t>9.</w:t>
      </w:r>
      <w:r>
        <w:tab/>
        <w:t xml:space="preserve">ponadto apeluje o ukierunkowaną interoperacyjność między </w:t>
      </w:r>
      <w:proofErr w:type="spellStart"/>
      <w:r>
        <w:t>Eurojustem</w:t>
      </w:r>
      <w:proofErr w:type="spellEnd"/>
      <w:r>
        <w:t xml:space="preserve"> a Europolem, zapewniającą proporcjonalność, pewność prawa i poufność, aby poprawić wczesne wykrywanie powiązań między postępowaniami sądowymi a dochodzeniami prowadzonymi przez organy ścigania;</w:t>
      </w:r>
    </w:p>
    <w:p w14:paraId="0BA13BE0" w14:textId="77777777" w:rsidR="00932240" w:rsidRPr="0072494D" w:rsidRDefault="007269CE" w:rsidP="00932240">
      <w:pPr>
        <w:pStyle w:val="NormalHanging12a"/>
        <w:rPr>
          <w:szCs w:val="24"/>
        </w:rPr>
      </w:pPr>
      <w:r>
        <w:t>10.</w:t>
      </w:r>
      <w:r>
        <w:tab/>
        <w:t xml:space="preserve">z poważnym zaniepokojeniem zauważa istotne opóźnienia we wdrażaniu nowego zautomatyzowanego systemu zarządzania sprawami; podkreśla ryzyko wpływ tych opóźnień na dopuszczalność dowodów w sprawach rozpatrywanych przez </w:t>
      </w:r>
      <w:proofErr w:type="spellStart"/>
      <w:r>
        <w:t>Eurojust</w:t>
      </w:r>
      <w:proofErr w:type="spellEnd"/>
      <w:r>
        <w:t xml:space="preserve">, w tym w sprawach przechowywanych w CICED; wzywa Komisję Europejską i </w:t>
      </w:r>
      <w:proofErr w:type="spellStart"/>
      <w:r>
        <w:t>Eurojust</w:t>
      </w:r>
      <w:proofErr w:type="spellEnd"/>
      <w:r>
        <w:t xml:space="preserve">, by wspólnie ustanowili przejrzysty harmonogram i plan zarządzania ryzykiem w odniesieniu do systemu zarządzania sprawami, tak aby zadbać o ciągłość operacyjną i integralność danych we wszystkich toczących </w:t>
      </w:r>
      <w:r>
        <w:t>się dochodzeniach; wzywa Komisję Europejską do przeprowadzania systematycznych ocen skutków i szacunków wysiłków w zakresie rozwoju złożonych systemów informatycznych, zwłaszcza gdy we wnioskach ustawodawczych określono terminy utworzenia i uruchomienia tych systemów;</w:t>
      </w:r>
    </w:p>
    <w:p w14:paraId="4382A83D" w14:textId="77777777" w:rsidR="00932240" w:rsidRPr="0072494D" w:rsidRDefault="007269CE" w:rsidP="00932240">
      <w:pPr>
        <w:pStyle w:val="Normal12a"/>
        <w:rPr>
          <w:i/>
          <w:iCs/>
        </w:rPr>
      </w:pPr>
      <w:r>
        <w:rPr>
          <w:b/>
          <w:i/>
        </w:rPr>
        <w:t>Część II – Absolutorium z wykonania budżetu Agencji Praw Podstawowych Unii Europejskiej za rok budżetowy 2024</w:t>
      </w:r>
    </w:p>
    <w:p w14:paraId="067CF7EB" w14:textId="77777777" w:rsidR="00932240" w:rsidRPr="0072494D" w:rsidRDefault="007269CE" w:rsidP="00932240">
      <w:pPr>
        <w:pStyle w:val="Normal12a"/>
        <w:ind w:left="720" w:hanging="720"/>
      </w:pPr>
      <w:r>
        <w:t>11.</w:t>
      </w:r>
      <w:r>
        <w:tab/>
        <w:t>z zadowoleniem przyjmuje fakt, że Agencja Praw Podstawowych Unii Europejskiej (FRA) była w stanie osiągnąć przyjęte cele i zrealizować działania przewidziane w swoim rocznym programie prac pomimo ciągłego niedoboru zasobów ludzkich i finansowych, zwłaszcza od czasu znacznego rozszerzenia zakresu uprawnień FRA; odnotowuje i ponownie wyraża zaniepokojenie faktem, że FRA nadal boryka się z ograniczonymi zasobami finansowymi i kadrowymi; wzywa do przydzielenia FRA dodatkowych zasobów zarówno pod względem budże</w:t>
      </w:r>
      <w:r>
        <w:t>tu, jak i personelu; zauważa, że agencja wydała 102 publikacje wobec założonych 50, a liczba posiedzeń wyjazdowych i wydarzeń, w których FRA przedstawiła swoje prace, zabierała głos albo uczestniczyła formalnie, wyniosła 223 wobec docelowych 120 takich działań, liczba wystąpień pisemnych/ustnych wyniosła 520 w porównaniu z wyznaczonym celem 120, a liczba opracowanych materiałów informacyjnych wyniosła 3617 w porównaniu z wyznaczonym celem wynoszącym 1000; zauważa z zadowoleniem, że FRA osiągnęła bardzo wyso</w:t>
      </w:r>
      <w:r>
        <w:t>ki wynik – powyżej 99 %; uważa, że jest to ważny wskaźnik należytego zarządzania finansami i przestrzegania zasad budżetowych; z zadowoleniem przyjmuje współpracę z innymi agencjami UE, międzynarodowymi i krajowymi organami ds. praw człowieka oraz ze społeczeństwem obywatelskim w celu zapewnienia przestrzegania praw podstawowych; podkreśla, że brak zasobów może wpłynąć na jakość pracy agencji, która odgrywa zasadniczą rolę w dopilnowaniu, aby polityka i prawodawstwo UE uwzględniały prawa podstawowe;</w:t>
      </w:r>
    </w:p>
    <w:p w14:paraId="033F97FD" w14:textId="77777777" w:rsidR="00932240" w:rsidRPr="0072494D" w:rsidRDefault="007269CE" w:rsidP="00932240">
      <w:pPr>
        <w:pStyle w:val="NormalHanging12a"/>
        <w:ind w:left="709" w:hanging="709"/>
        <w:rPr>
          <w:szCs w:val="24"/>
        </w:rPr>
      </w:pPr>
      <w:r>
        <w:t>12.</w:t>
      </w:r>
      <w:r>
        <w:tab/>
        <w:t>podkreśla rolę FRA jako kluczowego podmiotu w dziedzinie praw podstawowych i praworządności, zgodnie z Kartą praw podstawowych Unii Europejskiej – prawem pierwotnym UE – i pochwala jej poparcie dla zapewnienia poszanowania, ochrony i przestrzegania praw podstawowych w obowiązujących przepisach i politykach UE, w tym jej wkład w inicjatywy na rzecz równości i przeciwdziałania dyskryminacji, takie jak zwalczanie seksizmu, rasizmu, antysemityzmu i islamofobii, wspieranie gromadzenia danych dotyczących równoup</w:t>
      </w:r>
      <w:r>
        <w:t>rawnienia, pomoc we wdrażaniu krajowych ram strategicznych dotyczących Romów oraz wnoszenie wkładu w sprawozdania Komisji dotyczące unijnego planu działania przeciwko rasizmowi na lata 2020–2025 i powiązanych krajowych planów działania, strategii na rzecz równości osób LGBTIQ na lata 2020–2025 oraz pierwszego sprawozdania z postępów w realizacji Strategii UE w sprawie zwalczania antysemityzmu i wspierania życia żydowskiego; uznaje ważną rolę FRA w przygotowywaniu rocznego sprawozdania Komisji na temat prawo</w:t>
      </w:r>
      <w:r>
        <w:t>rządności; podkreśla ważną rolę FRA w promowaniu ochrony społeczeństwa obywatelskiego oraz w chronieniu obrońców praw człowieka zagrożonych represjami, w zapewnianiu wsparcia w zakresie badań i budowania zdolności związanych z Kartą praw podstawowych Unii Europejskiej oraz z międzynarodowymi standardami praw człowieka i rocznym sprawozdaniem na temat praw podstawowych; uważa jednak, że rozszerzenie mandatu FRA musi pozostać proporcjonalne do jej podstawowej misji;</w:t>
      </w:r>
    </w:p>
    <w:p w14:paraId="39B67F6E" w14:textId="77777777" w:rsidR="00932240" w:rsidRPr="0072494D" w:rsidRDefault="007269CE" w:rsidP="00932240">
      <w:pPr>
        <w:pStyle w:val="Normal12a"/>
        <w:ind w:left="720" w:hanging="720"/>
      </w:pPr>
      <w:r>
        <w:t>13.</w:t>
      </w:r>
      <w:r>
        <w:tab/>
        <w:t>z zadowoleniem przyjmuje pierwszy projekt FRA mający na celu zapewnienie prognozy strategicznej w dziedzinie praw podstawowych, mający na celu przewidywanie przyszłych wyzwań w zakresie praw podstawowych i umożliwienie agencji lepszego wspierania kształtowania polityki UE i państw członkowskich w rozwiązywaniu pojawiających się problemów;</w:t>
      </w:r>
    </w:p>
    <w:p w14:paraId="2943737C" w14:textId="77777777" w:rsidR="00932240" w:rsidRPr="0072494D" w:rsidRDefault="007269CE" w:rsidP="00932240">
      <w:pPr>
        <w:pStyle w:val="NormalHanging12a"/>
        <w:ind w:left="709" w:hanging="709"/>
      </w:pPr>
      <w:r>
        <w:t>14.</w:t>
      </w:r>
      <w:r>
        <w:tab/>
        <w:t xml:space="preserve">podkreśla wiodącą rolę i zaangażowanie FRA w dziedzinie azylu i migracji, granic i </w:t>
      </w:r>
      <w:r>
        <w:t>interoperacyjności oraz skupienie się na prawach podstawowych, zobowiązaniach międzynarodowych państw członkowskich i unijnym prawie dotyczącym praw człowieka w tym obszarze, w tym prace agencji dotyczące polityki migracyjnej mające zapewnić, aby była ona kształtowana i wdrażana z pełnym poszanowaniem praw podstawowych; podkreśla także rolę sesji szkoleniowych FRA dla organów krajowych, w tym z uwzględnieniem gwarancji praw podstawowych w zakresie migracji i azylu;</w:t>
      </w:r>
    </w:p>
    <w:p w14:paraId="1BB22255" w14:textId="77777777" w:rsidR="00932240" w:rsidRPr="0072494D" w:rsidRDefault="007269CE" w:rsidP="00932240">
      <w:pPr>
        <w:pStyle w:val="Normal12a"/>
        <w:ind w:left="720" w:hanging="720"/>
      </w:pPr>
      <w:r>
        <w:t>15.</w:t>
      </w:r>
      <w:r>
        <w:tab/>
        <w:t xml:space="preserve">z zadowoleniem przyjmuje wkład FRA w akt w sprawie sztucznej inteligencji, jej wiedzę fachową przy wdrażaniu aktu o usługach cyfrowych oraz opublikowane przez agencję sprawozdanie na temat wyzwań związanych z wdrażaniem ogólnego rozporządzenia o ochronie danych (RODO), które stanowi podstawę oceny rozporządzenia przeprowadzoną przez Komisję Europejską; z zadowoleniem odnotowuje prace FRA dotyczące szkodliwych treści w </w:t>
      </w:r>
      <w:proofErr w:type="spellStart"/>
      <w:r>
        <w:t>internecie</w:t>
      </w:r>
      <w:proofErr w:type="spellEnd"/>
      <w:r>
        <w:t xml:space="preserve"> i praktyk moderowania, usprawniające gromadzenie danych na temat nawoływania d</w:t>
      </w:r>
      <w:r>
        <w:t xml:space="preserve">o nienawiści w </w:t>
      </w:r>
      <w:proofErr w:type="spellStart"/>
      <w:r>
        <w:t>internecie</w:t>
      </w:r>
      <w:proofErr w:type="spellEnd"/>
      <w:r>
        <w:t xml:space="preserve"> oraz cyberprzestępczości i praw podstawowych;</w:t>
      </w:r>
    </w:p>
    <w:p w14:paraId="1BDBD8E5" w14:textId="77777777" w:rsidR="00932240" w:rsidRPr="0072494D" w:rsidRDefault="007269CE" w:rsidP="00932240">
      <w:pPr>
        <w:pStyle w:val="Normal12a"/>
        <w:rPr>
          <w:b/>
          <w:bCs/>
          <w:i/>
          <w:iCs/>
        </w:rPr>
      </w:pPr>
      <w:r>
        <w:rPr>
          <w:b/>
          <w:i/>
        </w:rPr>
        <w:t>Część III – Absolutorium z wykonania budżetu Agencji Unii Europejskiej ds. Azylu za rok budżetowy 2024</w:t>
      </w:r>
    </w:p>
    <w:p w14:paraId="5C1C7DA4" w14:textId="77777777" w:rsidR="00932240" w:rsidRPr="0072494D" w:rsidRDefault="007269CE" w:rsidP="00932240">
      <w:pPr>
        <w:pStyle w:val="NormalHanging12a"/>
        <w:ind w:left="709" w:hanging="709"/>
      </w:pPr>
      <w:r>
        <w:t>16.</w:t>
      </w:r>
      <w:r>
        <w:tab/>
        <w:t>zauważa, że 7 maja 2025 r. Parlament Europejski postanowił odroczyć decyzję o udzieleniu dyrektorowi wykonawczemu Agencji Unii Europejskiej ds. Azylu absolutorium z wykonania budżetu agencji za rok budżetowy 2023 ze względu na prowadzone przez OLAF dochodzenie, które rzekomo dotyczy problemów mających wpływ na zarządzanie finansami agencji; zauważa, że 22 października 2025 r. Parlament Europejski udzielił EUAA absolutorium, przedstawiając agencji szereg zaleceń; przypomina, że należy w pełni wdrożyć wszyst</w:t>
      </w:r>
      <w:r>
        <w:t>kie zalecenia wydane przez Parlament w związku z procedurą udzielania absolutorium za 2024 r.;</w:t>
      </w:r>
    </w:p>
    <w:p w14:paraId="4C0CDC1C" w14:textId="77777777" w:rsidR="00932240" w:rsidRPr="0072494D" w:rsidRDefault="007269CE" w:rsidP="00932240">
      <w:pPr>
        <w:pStyle w:val="NormalHanging12a"/>
        <w:ind w:left="709" w:hanging="709"/>
        <w:rPr>
          <w:szCs w:val="24"/>
        </w:rPr>
      </w:pPr>
      <w:r>
        <w:t>17.</w:t>
      </w:r>
      <w:r>
        <w:tab/>
        <w:t>zauważa, że w 2024 r. złożono ponad 1 mln wniosków o udzielenie ochrony międzynarodowej (-11 % w stosunku do 2023 r.), a państwa UE+ wydały ponad 746 000 decyzji o udzieleniu tymczasowej ochrony; podkreśla stałe wsparcie operacyjne i techniczne udzielane państwom członkowskim przez Agencję Unii Europejskiej ds. Azylu (EUAA) w tym kontekście, w szczególności dzięki planom operacyjnym w 13 państwach członkowskich</w:t>
      </w:r>
      <w:r>
        <w:rPr>
          <w:b/>
          <w:i/>
          <w:vertAlign w:val="superscript"/>
        </w:rPr>
        <w:t>[1]</w:t>
      </w:r>
      <w:r>
        <w:t>; zwiększa to ich krajowe zdolności w zakresie przetwarzania wniosków o udzielenie azylu i zap</w:t>
      </w:r>
      <w:r>
        <w:t>ewniania przyjmowania; zauważa ponadto z zadowoleniem, że operacje EUAA rozwijają się zgodnie z potrzebami w terenie; z zadowoleniem przyjmuje fakt, że w dziedzinie przesiedleń państwa członkowskie coraz częściej wykorzystują instrument wsparcia przesiedleń EUAA zlokalizowany w Turcji – posłużył on do wsparcia 34 misji przesiedleń i pomocy 4100 osobom;</w:t>
      </w:r>
    </w:p>
    <w:p w14:paraId="24650EB7" w14:textId="77777777" w:rsidR="00932240" w:rsidRPr="0072494D" w:rsidRDefault="007269CE" w:rsidP="00932240">
      <w:pPr>
        <w:pStyle w:val="NormalHanging12a"/>
        <w:ind w:left="709" w:hanging="709"/>
        <w:rPr>
          <w:szCs w:val="24"/>
        </w:rPr>
      </w:pPr>
      <w:r>
        <w:t>18.</w:t>
      </w:r>
      <w:r>
        <w:tab/>
        <w:t>docenia fakt, że EUAA zorganizowała 1200 sesji szkoleniowych, w których wzięło udział 18000 uczestników, co oznacza wzrost o 28 % w porównaniu z 2023 r.; zauważa z zadowoleniem, że po długich i wymagających zaangażowania pracach przygotowawczych EUAA została oficjalnie uznana za organizatora kolejnych i bardziej zaawansowanych szkoleń we współpracy z władzami Malty; jest przekonany, że stanowi to kamień milowy w przekształcaniu programu szkoleń w unikalne narzędzie wspierające wspólne podejście do zarządza</w:t>
      </w:r>
      <w:r>
        <w:t>nia azylem i migracją w UE; z zadowoleniem przyjmuje przyjęcie wieloletniego programu monitorowania określającego kolejność pierwszego cyklu monitorowania operacyjnego i technicznego stosowania wspólnego europejskiego systemu azylowego w latach 2026–2030; z zadowoleniem przyjmuje również ustanowienie wspólnej metodologii tych działań monitorujących;</w:t>
      </w:r>
    </w:p>
    <w:p w14:paraId="53F25593" w14:textId="77777777" w:rsidR="00932240" w:rsidRPr="0072494D" w:rsidRDefault="007269CE" w:rsidP="00932240">
      <w:pPr>
        <w:pStyle w:val="Normal12a"/>
        <w:ind w:left="720" w:hanging="720"/>
      </w:pPr>
      <w:r>
        <w:t>19.</w:t>
      </w:r>
      <w:r>
        <w:tab/>
        <w:t>uznaje istotny wkład EUAA w obszarze informacji i wytycznych dotyczących krajów pochodzenia, a także orientacji sytuacyjnej i gromadzenia powiązanych danych;</w:t>
      </w:r>
    </w:p>
    <w:p w14:paraId="12C9D31A" w14:textId="77777777" w:rsidR="00932240" w:rsidRPr="0072494D" w:rsidRDefault="007269CE" w:rsidP="00932240">
      <w:pPr>
        <w:pStyle w:val="NormalHanging12a"/>
        <w:ind w:left="709" w:hanging="709"/>
        <w:rPr>
          <w:bCs/>
          <w:iCs/>
          <w:szCs w:val="24"/>
        </w:rPr>
      </w:pPr>
      <w:r>
        <w:t>20.</w:t>
      </w:r>
      <w:r>
        <w:tab/>
        <w:t>z zadowoleniem przyjmuje wysiłki EUAA na rzecz terminowej aktualizacji wszystkich materiałów pomocniczych w następstwie nowych przepisów i przyjęcia paktu o migracji i azylu; bardzo docenia także wkład i wsparcie agencji dotyczące przygotowania do stosowania paktu, między innymi za pomocą 11 produktów związanych z paktem, które mają kluczowe znaczenie dla wyznaczenia kierunku działań państw członkowskich i pracy praktyków; zwraca się jednak o udostępnienie tych dokumentów Parlamentowi w warunkach nieopatrz</w:t>
      </w:r>
      <w:r>
        <w:t>onych klauzulą poufności, zarówno w celu zapewnienia przejrzystości, jak i skuteczności;</w:t>
      </w:r>
    </w:p>
    <w:p w14:paraId="63B45918" w14:textId="77777777" w:rsidR="00932240" w:rsidRPr="0072494D" w:rsidRDefault="007269CE" w:rsidP="00932240">
      <w:pPr>
        <w:pStyle w:val="Normal12a"/>
        <w:ind w:left="720" w:hanging="720"/>
      </w:pPr>
      <w:r>
        <w:t>21.</w:t>
      </w:r>
      <w:r>
        <w:tab/>
        <w:t>odnotowuje, że budżet EUAA w 2024 r. wynosił 172 mln EUR, a liczba stanowisk pracy wyniosła 592 (w porównaniu z 529 w 2023 r.); apeluje o zapewnienie EUAA odpowiedniego finansowania i wystarczającej liczby personelu, uwzględniając większą liczbę zadań powierzonych agencji w związku z wdrażaniem paktu o migracji i azylu; ubolewa, że w 2024 r. obsadzono jedynie 508 stanowisk; wyraża uznanie dla pracowników EUAA za zaangażowanie i wyniki mimo znacznej liczby nieobsadzonych stanowisk i dużego obciążenia pracą;</w:t>
      </w:r>
      <w:r>
        <w:t xml:space="preserve"> podkreśla, że ważne jest wspieranie pozytywnego środowiska pracy za pomocą otwartych kanałów komunikacji i wynagrodzeń opartych na osiągnięciach; apeluje do EUAA o przyspieszenie rekrutacji w celu obsadzenia wszystkich wakatów;</w:t>
      </w:r>
    </w:p>
    <w:p w14:paraId="18CAE6F5" w14:textId="77777777" w:rsidR="00932240" w:rsidRPr="0072494D" w:rsidRDefault="007269CE" w:rsidP="00932240">
      <w:pPr>
        <w:pStyle w:val="NormalHanging12a"/>
        <w:ind w:left="709" w:hanging="709"/>
        <w:rPr>
          <w:szCs w:val="24"/>
        </w:rPr>
      </w:pPr>
      <w:r>
        <w:t>22.</w:t>
      </w:r>
      <w:r>
        <w:tab/>
        <w:t>odnotowuje poprawę stopnia wykonania budżetu przez EUAA – 99 % środków na zobowiązania i 95 % środków na płatności – oraz zachęca agencję do dalszego rozwijania i podnoszenia jakości mechanizmów kontroli wewnętrznej; wzywa EUAA do okresowego składania Parlamentowi sprawozdań z wdrażania pisemnych zaleceń wydanych przez zarząd w 2025 r. oraz z działań naprawczych zapowiedzianych przez dyrektor wykonawczą w „Oświadczeniu dotyczącym wizji przywództwa wdrażającego zmiany w Agencji Unii Europejskiej ds. Azylu”;</w:t>
      </w:r>
      <w:r>
        <w:t xml:space="preserve"> ponownie podkreśla znaczenie proaktywnego zaangażowania zarządu w wyznaczaniu kierunku działań EUAA oraz przypomina, że ważne jest zagwarantowanie skutecznych i przejrzystych procedur i struktury kontaktów z zarządem, aby umożliwić terminowe i skuteczne sprawowanie nadzoru; wzywa Komisję do wspierania członków zarządu w ich zadaniach nadzorczych i pomagania im;</w:t>
      </w:r>
    </w:p>
    <w:p w14:paraId="3B0AF46F" w14:textId="77777777" w:rsidR="00932240" w:rsidRPr="0072494D" w:rsidRDefault="007269CE" w:rsidP="00932240">
      <w:pPr>
        <w:pStyle w:val="NormalHanging12a"/>
        <w:ind w:left="709" w:hanging="709"/>
        <w:rPr>
          <w:szCs w:val="24"/>
        </w:rPr>
      </w:pPr>
      <w:r>
        <w:t>23.</w:t>
      </w:r>
      <w:r>
        <w:tab/>
        <w:t>wzywa EUAA do ustanowienia niezależnego wewnętrznego stanowiska dla osoby odpowiedzialnej za etykę; zachęca EUAA do zdecydowanego zajęcia się niedociągnięciami w zarządzaniu zasobami ludzkimi ujawnionymi w sprawozdaniu OLAF-u, które omówiono w komisji CONT 15 lipca 2025 r., z myślą o utrzymaniu uczciwości i zaufania w organizacji;</w:t>
      </w:r>
    </w:p>
    <w:p w14:paraId="2E501F57" w14:textId="77777777" w:rsidR="00932240" w:rsidRPr="0072494D" w:rsidRDefault="007269CE" w:rsidP="00932240">
      <w:pPr>
        <w:pStyle w:val="NormalHanging12a"/>
        <w:ind w:left="709" w:hanging="709"/>
        <w:rPr>
          <w:szCs w:val="24"/>
        </w:rPr>
      </w:pPr>
      <w:r>
        <w:t>24.</w:t>
      </w:r>
      <w:r>
        <w:tab/>
        <w:t>przypomina o znaczeniu zaostrzeniu przeglądu parlamentarnego w celu zwiększenia rozliczalności EUAA i ponawia apel do agencji o udostępnienie protokołów obrad zarządu; biorąc pod uwagę zaangażowanie Parlamentu Europejskiego w sprawy regulowane rozporządzeniem w sprawie EUAA,  apeluje do zarządu, aby systematycznie zapraszał eksperta z ramienia Parlamentu Europejskiego do udziału w swoich posiedzeniach;</w:t>
      </w:r>
    </w:p>
    <w:p w14:paraId="52CF1E5A" w14:textId="77777777" w:rsidR="00932240" w:rsidRPr="0072494D" w:rsidRDefault="007269CE" w:rsidP="00932240">
      <w:pPr>
        <w:pStyle w:val="Normal12a"/>
        <w:ind w:left="720" w:hanging="720"/>
      </w:pPr>
      <w:r>
        <w:t>25.</w:t>
      </w:r>
      <w:r>
        <w:tab/>
        <w:t>cieszy się z przyjęcia pierwszej strategii EUAA w zakresie praw podstawowych oraz planów działań następczych; z zadowoleniem przyjmuje ustanowienie mechanizmu rozpatrywania skarg oraz utworzenie specjalnej strony internetowej, która ułatwia dostęp do tego mechanizmu; docenia 24 uwagi przedstawione przez urzędnika ds. praw podstawowych w następstwie analizy planów operacyjnych, ocen realizacji planów operacyjnych i wizyt w terenie w operacjach EUAA; z zadowoleniem przyjmuje pierwsze sprawozdanie roczne urzę</w:t>
      </w:r>
      <w:r>
        <w:t>du urzędnika ds. praw podstawowych (FRO) zawierające przegląd działań w 2024 r.;</w:t>
      </w:r>
    </w:p>
    <w:p w14:paraId="6ECC430D" w14:textId="77777777" w:rsidR="00932240" w:rsidRPr="0072494D" w:rsidRDefault="007269CE" w:rsidP="00235AB7">
      <w:pPr>
        <w:pStyle w:val="Normal12a"/>
        <w:rPr>
          <w:b/>
        </w:rPr>
      </w:pPr>
      <w:r>
        <w:rPr>
          <w:b/>
          <w:i/>
        </w:rPr>
        <w:t xml:space="preserve">Część IV – Absolutorium z wykonania budżetu Agencji Unii Europejskiej ds. Zarządzania Operacyjnego Wielkoskalowymi Systemami Informatycznymi w Przestrzeni Wolności, </w:t>
      </w:r>
      <w:r>
        <w:rPr>
          <w:b/>
          <w:i/>
        </w:rPr>
        <w:t>Bezpieczeństwa i Sprawiedliwości za rok budżetowy 2024</w:t>
      </w:r>
    </w:p>
    <w:p w14:paraId="2D353A31" w14:textId="77777777" w:rsidR="00932240" w:rsidRPr="0072494D" w:rsidRDefault="007269CE" w:rsidP="00932240">
      <w:pPr>
        <w:pStyle w:val="NormalHanging12a"/>
        <w:ind w:left="709" w:hanging="709"/>
        <w:rPr>
          <w:szCs w:val="24"/>
        </w:rPr>
      </w:pPr>
      <w:r>
        <w:t>26.</w:t>
      </w:r>
      <w:r>
        <w:tab/>
        <w:t>z zadowoleniem przyjmuje osiągnięcia operacyjne Agencji Unii Europejskiej ds. Zarządzania Operacyjnego Wielkoskalowymi Systemami Informatycznymi w Przestrzeni Wolności, Bezpieczeństwa i Sprawiedliwości (</w:t>
      </w:r>
      <w:proofErr w:type="spellStart"/>
      <w:r>
        <w:t>eu</w:t>
      </w:r>
      <w:proofErr w:type="spellEnd"/>
      <w:r>
        <w:t xml:space="preserve">-LISA) w 2024 r., w tym konsolidację operacji SIS, VIS i </w:t>
      </w:r>
      <w:proofErr w:type="spellStart"/>
      <w:r>
        <w:t>Eurodac</w:t>
      </w:r>
      <w:proofErr w:type="spellEnd"/>
      <w:r>
        <w:t xml:space="preserve">, przyłączenie </w:t>
      </w:r>
      <w:proofErr w:type="spellStart"/>
      <w:r>
        <w:t>Fronteksu</w:t>
      </w:r>
      <w:proofErr w:type="spellEnd"/>
      <w:r>
        <w:t xml:space="preserve"> do SIS, umożliwienie Bułgarii i Rumunii pełnego dostępu do VIS oraz formalne przejęcie zarządzania operacyjnego systemem e-CODEX; zauważa również przygotowania agencji do nowego systemu </w:t>
      </w:r>
      <w:proofErr w:type="spellStart"/>
      <w:r>
        <w:t>Eurodac</w:t>
      </w:r>
      <w:proofErr w:type="spellEnd"/>
      <w:r>
        <w:t>, który ma być sfinalizo</w:t>
      </w:r>
      <w:r>
        <w:t>wany do czerwca 2026 r. w odniesieniu do kluczowych funkcji, oraz rozpoczęcie prac nad platformą współpracy wspólnych zespołów dochodzeniowo-śledczych; przypomina, że należy w pełni przestrzegać obowiązującego dorobku prawnego w zakresie ochrony danych;</w:t>
      </w:r>
    </w:p>
    <w:p w14:paraId="6E063600" w14:textId="77777777" w:rsidR="00932240" w:rsidRPr="0072494D" w:rsidRDefault="007269CE" w:rsidP="00932240">
      <w:pPr>
        <w:pStyle w:val="Normal12a"/>
        <w:ind w:left="720" w:hanging="720"/>
      </w:pPr>
      <w:r>
        <w:t>27.</w:t>
      </w:r>
      <w:r>
        <w:tab/>
        <w:t xml:space="preserve">zauważa z zadowoleniem, że w 2024 r. </w:t>
      </w:r>
      <w:proofErr w:type="spellStart"/>
      <w:r>
        <w:t>eu</w:t>
      </w:r>
      <w:proofErr w:type="spellEnd"/>
      <w:r>
        <w:t>-LISA zrealizowała 100 % środków na zobowiązania w wysokości 307,39 mln EUR i w pełni wykorzystała środki na płatności w wysokości 260,11 mln EUR, w tym przesunięcia środków; z zadowoleniem przyjmuje znaczne zmniejszenie przesunięć środków z 2024 r. na 2025 r. o około 50 % w porównaniu z rokiem poprzednim, co rozwiało wcześniejsze obawy Parlamentu, ale ubolewa, że wskaźnik anulowania środków na płatności pozostał wysoki i wyniósł 14,5 %;</w:t>
      </w:r>
    </w:p>
    <w:p w14:paraId="7F5293C9" w14:textId="77777777" w:rsidR="00932240" w:rsidRPr="0072494D" w:rsidRDefault="007269CE" w:rsidP="00932240">
      <w:pPr>
        <w:pStyle w:val="Normal12a"/>
        <w:ind w:left="720" w:hanging="720"/>
      </w:pPr>
      <w:r>
        <w:t>28.</w:t>
      </w:r>
      <w:r>
        <w:tab/>
        <w:t>podkreśla pilną potrzebę zapewnienia architektury interoperacyjności, z uwzględnieniem wniosków płynących ze wspólnego ćwiczenia próbnego, oraz podkreśla, że szybka i wiarygodna wymiana informacji ma zasadnicze znaczenie dla unijnej przestrzeni wolności, bezpieczeństwa i sprawiedliwości;</w:t>
      </w:r>
    </w:p>
    <w:p w14:paraId="1DFC748B" w14:textId="77777777" w:rsidR="00932240" w:rsidRPr="0072494D" w:rsidRDefault="007269CE" w:rsidP="00932240">
      <w:pPr>
        <w:pStyle w:val="NormalHanging12a"/>
        <w:ind w:left="709" w:hanging="709"/>
        <w:rPr>
          <w:szCs w:val="24"/>
        </w:rPr>
      </w:pPr>
      <w:r>
        <w:t>29.</w:t>
      </w:r>
      <w:r>
        <w:tab/>
        <w:t xml:space="preserve">ubolewa, że system wjazdu/wyjazdu (EES) nie mógł zostać uruchomiony w listopadzie 2024 r., jednak wyraża zadowolenie ze środków przyjętych przez </w:t>
      </w:r>
      <w:proofErr w:type="spellStart"/>
      <w:r>
        <w:t>eu</w:t>
      </w:r>
      <w:proofErr w:type="spellEnd"/>
      <w:r>
        <w:t>-LISA, aby przyspieszyć postępy i zagwarantować stopniowe wchodzenie systemu w życie, począwszy od 12 października 2025 r.;</w:t>
      </w:r>
    </w:p>
    <w:p w14:paraId="790FA8F9" w14:textId="77777777" w:rsidR="00932240" w:rsidRPr="0072494D" w:rsidRDefault="007269CE" w:rsidP="00932240">
      <w:pPr>
        <w:pStyle w:val="Normal12a"/>
        <w:ind w:left="720" w:hanging="720"/>
      </w:pPr>
      <w:r>
        <w:t>30.</w:t>
      </w:r>
      <w:r>
        <w:tab/>
        <w:t xml:space="preserve">cieszy się, że </w:t>
      </w:r>
      <w:proofErr w:type="spellStart"/>
      <w:r>
        <w:t>eu</w:t>
      </w:r>
      <w:proofErr w:type="spellEnd"/>
      <w:r>
        <w:t xml:space="preserve">-LISA położyła większy nacisk na </w:t>
      </w:r>
      <w:proofErr w:type="spellStart"/>
      <w:r>
        <w:t>cyberbezpieczeństwo</w:t>
      </w:r>
      <w:proofErr w:type="spellEnd"/>
      <w:r>
        <w:t xml:space="preserve">, w tym na całodobowe monitorowanie, reagowanie na incydenty i ćwiczenia we współpracy z siecią agencji </w:t>
      </w:r>
      <w:proofErr w:type="spellStart"/>
      <w:r>
        <w:t>WSiSW</w:t>
      </w:r>
      <w:proofErr w:type="spellEnd"/>
      <w:r>
        <w:t xml:space="preserve">; podkreśla znaczenie terminowego wdrożenia nowych przepisów UE dotyczących </w:t>
      </w:r>
      <w:proofErr w:type="spellStart"/>
      <w:r>
        <w:t>cyberbezpieczeństwa</w:t>
      </w:r>
      <w:proofErr w:type="spellEnd"/>
      <w:r>
        <w:t xml:space="preserve"> i bezpieczeństwa informacji;</w:t>
      </w:r>
    </w:p>
    <w:p w14:paraId="68D2464D" w14:textId="77777777" w:rsidR="00932240" w:rsidRPr="0072494D" w:rsidRDefault="007269CE" w:rsidP="00932240">
      <w:pPr>
        <w:pStyle w:val="Normal12a"/>
        <w:ind w:left="720" w:hanging="720"/>
      </w:pPr>
      <w:r>
        <w:t>31.</w:t>
      </w:r>
      <w:r>
        <w:tab/>
        <w:t xml:space="preserve">odnotowuje wysiłki, które podjęła </w:t>
      </w:r>
      <w:proofErr w:type="spellStart"/>
      <w:r>
        <w:t>eu</w:t>
      </w:r>
      <w:proofErr w:type="spellEnd"/>
      <w:r>
        <w:t>-LISA w 2024 r., aby skutecznie wykorzystać swoje zasoby finansowe i ludzkie; uznaje znaczenie dalszej poprawy wskaźników wykorzystania oraz potrzebę zmniejszenia zależności od wykonawców zewnętrznych poprzez zwiększenie zdolności wewnętrznych; z zadowoleniem przyjmuje plan działania w zakresie zarządzania strategicznego, który ma na celu poprawę wydajności systemu, budowanie wewnętrznych zdolności rozwojowych, poprawę zarządzania talentami i zacieśnienie stosunków z zai</w:t>
      </w:r>
      <w:r>
        <w:t xml:space="preserve">nteresowanymi stronami; wzywa Komisję i państwa członkowskie do zapewnienia </w:t>
      </w:r>
      <w:proofErr w:type="spellStart"/>
      <w:r>
        <w:t>eu</w:t>
      </w:r>
      <w:proofErr w:type="spellEnd"/>
      <w:r>
        <w:t>-LISA odpowiednich zasobów dostosowanych do rosnącego zakresu obowiązków tej agencji;</w:t>
      </w:r>
    </w:p>
    <w:p w14:paraId="65DFDCE6" w14:textId="77777777" w:rsidR="00932240" w:rsidRPr="0072494D" w:rsidRDefault="007269CE" w:rsidP="00932240">
      <w:pPr>
        <w:pStyle w:val="NormalHanging12a"/>
        <w:ind w:left="709" w:hanging="709"/>
        <w:rPr>
          <w:szCs w:val="24"/>
        </w:rPr>
      </w:pPr>
      <w:r>
        <w:t>32.</w:t>
      </w:r>
      <w:r>
        <w:tab/>
        <w:t xml:space="preserve">podkreśla znaczenie programu zwiększenia zdolności </w:t>
      </w:r>
      <w:proofErr w:type="spellStart"/>
      <w:r>
        <w:t>eu</w:t>
      </w:r>
      <w:proofErr w:type="spellEnd"/>
      <w:r>
        <w:t>-LISA dla zapewnienia wystarczających zasobów centrum danych zarówno dla nowych, jak i istniejących systemów informatycznych, i z zadowoleniem przyjmuje bieżące środki, które mają na celu poprawę wiarygodnego planowania i monitorowania budżetu; podkreśla, że ważne jest sfinalizowanie strategii pozyskiwania i zwiększenia wewnętrznych zdolności, aby zmniejszyć zależność od wykonawców zewnętrznych; w międzyczasie apeluje o zwiększenie nadzoru nad wykonawcam</w:t>
      </w:r>
      <w:r>
        <w:t>i, biorąc również pod uwagę wrażliwość danych przetwarzanych przez agencję;</w:t>
      </w:r>
    </w:p>
    <w:p w14:paraId="582A5718" w14:textId="77777777" w:rsidR="00932240" w:rsidRPr="0072494D" w:rsidRDefault="007269CE" w:rsidP="00932240">
      <w:pPr>
        <w:pStyle w:val="Normal12a"/>
        <w:rPr>
          <w:i/>
          <w:iCs/>
        </w:rPr>
      </w:pPr>
      <w:r>
        <w:rPr>
          <w:b/>
          <w:i/>
        </w:rPr>
        <w:t xml:space="preserve">Część V – Absolutorium z wykonania budżetu Europejskiej Agencji Straży Granicznej i Przybrzeżnej za rok budżetowy 2024 </w:t>
      </w:r>
    </w:p>
    <w:p w14:paraId="6B5C1101" w14:textId="77777777" w:rsidR="00932240" w:rsidRPr="0072494D" w:rsidRDefault="007269CE" w:rsidP="00932240">
      <w:pPr>
        <w:pStyle w:val="NormalHanging12a"/>
        <w:ind w:left="709" w:hanging="709"/>
        <w:rPr>
          <w:szCs w:val="24"/>
        </w:rPr>
      </w:pPr>
      <w:r>
        <w:t>33.</w:t>
      </w:r>
      <w:r>
        <w:tab/>
        <w:t>przypomina, że budżet agencji wzrósł z 118 mln EUR w 2011 r. do 922 mln EUR w 2024 r. w wyniku zmienionego mandatu i zgodnie z decyzjami budżetowymi przyjętymi w tym okresie; zauważa, że zwiększonym kompetencjom i budżetowi musi towarzyszyć rozliczalność i przejrzystość, a jednocześnie należy zapewnić pełną zdolność operacyjną agencji do skutecznego wypełniania jej mandatu, w tym poszanowania praw podstawowych;</w:t>
      </w:r>
    </w:p>
    <w:p w14:paraId="460532AC" w14:textId="77777777" w:rsidR="00932240" w:rsidRPr="0072494D" w:rsidRDefault="007269CE" w:rsidP="00932240">
      <w:pPr>
        <w:pStyle w:val="Normal12a"/>
        <w:ind w:left="720" w:hanging="720"/>
      </w:pPr>
      <w:r>
        <w:t>34.</w:t>
      </w:r>
      <w:r>
        <w:tab/>
        <w:t>uznaje, że w 2024 r. Europejska Agencja Straży Granicznej i Przybrzeżnej (</w:t>
      </w:r>
      <w:proofErr w:type="spellStart"/>
      <w:r>
        <w:t>Frontex</w:t>
      </w:r>
      <w:proofErr w:type="spellEnd"/>
      <w:r>
        <w:t>) podjęła istotne kroki w celu dostosowania kierunku strategicznego i zdolności operacyjnych do paktu o migracji i azylu; wprowadziła w tym celu wewnętrzny plan działania, aby wesprzeć państwa członkowskie we wdrażaniu paktu, uczestniczyła w unijnym mechanizmie gotowości i zarządzania kryzysami związanymi z migracją (plan gotowości do reagowania w obszarze migracji i na wypadek kryzysu migracyjnego) oraz przyjęła strategię wsp</w:t>
      </w:r>
      <w:r>
        <w:t xml:space="preserve">ółpracy międzynarodowej </w:t>
      </w:r>
      <w:proofErr w:type="spellStart"/>
      <w:r>
        <w:t>Fronteksu</w:t>
      </w:r>
      <w:proofErr w:type="spellEnd"/>
      <w:r>
        <w:t xml:space="preserve"> na lata 2024–2026;</w:t>
      </w:r>
    </w:p>
    <w:p w14:paraId="5075CC1F" w14:textId="77777777" w:rsidR="00932240" w:rsidRPr="0072494D" w:rsidRDefault="007269CE" w:rsidP="00235AB7">
      <w:pPr>
        <w:pStyle w:val="Normal12a"/>
        <w:ind w:left="720" w:hanging="720"/>
      </w:pPr>
      <w:r>
        <w:t>35.</w:t>
      </w:r>
      <w:r>
        <w:tab/>
        <w:t xml:space="preserve">wyraża zadowolenie, że w 2024 r. </w:t>
      </w:r>
      <w:proofErr w:type="spellStart"/>
      <w:r>
        <w:t>Frontex</w:t>
      </w:r>
      <w:proofErr w:type="spellEnd"/>
      <w:r>
        <w:t xml:space="preserve"> wdrożył nową strukturę dowodzenia, która umożliwiła zdecentralizowany proces decyzyjny i szybsze reagowanie na pojawiające się potrzeby operacyjne na szczeblu lokalnym; uznaje, że nowy model organizacyjny i biznesowy może zapewnić bardziej elastyczne, dostosowane i racjonalne pod względem kosztów zarządzanie operacjami w porównaniu z poprzednim systemem; wzywa agencję, aby wprowadziła wskaźniki referencyjne dla nowych ustaleń, określając cele ilościowe i jakościowe oraz sporządzając sprawozdania z p</w:t>
      </w:r>
      <w:r>
        <w:t>ostępów; ponadto z zadowoleniem przyjmuje strategiczną analizę ryzyka 2024;</w:t>
      </w:r>
    </w:p>
    <w:p w14:paraId="5224A0B8" w14:textId="77777777" w:rsidR="00932240" w:rsidRPr="0072494D" w:rsidRDefault="007269CE" w:rsidP="00932240">
      <w:pPr>
        <w:pStyle w:val="Normal12a"/>
        <w:ind w:left="720" w:hanging="720"/>
      </w:pPr>
      <w:r>
        <w:t>36.</w:t>
      </w:r>
      <w:r>
        <w:tab/>
        <w:t xml:space="preserve">wyraża ponadto zadowolenie, że </w:t>
      </w:r>
      <w:proofErr w:type="spellStart"/>
      <w:r>
        <w:t>Frontex</w:t>
      </w:r>
      <w:proofErr w:type="spellEnd"/>
      <w:r>
        <w:t xml:space="preserve"> pogłębił również partnerstwo z misją doradczą Unii Europejskiej na rzecz reformy cywilnego sektora bezpieczeństwa na Ukrainie (EUAM </w:t>
      </w:r>
      <w:proofErr w:type="spellStart"/>
      <w:r>
        <w:t>Ukraine</w:t>
      </w:r>
      <w:proofErr w:type="spellEnd"/>
      <w:r>
        <w:t>), co umocniło zintegrowane zarządzanie granicami i zwiększyło bezpieczeństwo na granicy UE–Ukraina w kontekście trwającego konfliktu;</w:t>
      </w:r>
    </w:p>
    <w:p w14:paraId="62369C6A" w14:textId="77777777" w:rsidR="00932240" w:rsidRPr="0072494D" w:rsidRDefault="007269CE" w:rsidP="00932240">
      <w:pPr>
        <w:pStyle w:val="Normal12a"/>
        <w:ind w:left="720" w:hanging="720"/>
        <w:rPr>
          <w:bCs/>
          <w:iCs/>
          <w:szCs w:val="24"/>
        </w:rPr>
      </w:pPr>
      <w:r>
        <w:t>37.</w:t>
      </w:r>
      <w:r>
        <w:tab/>
        <w:t xml:space="preserve">wskazuje na kluczową rolę </w:t>
      </w:r>
      <w:proofErr w:type="spellStart"/>
      <w:r>
        <w:t>Fronteksu</w:t>
      </w:r>
      <w:proofErr w:type="spellEnd"/>
      <w:r>
        <w:t xml:space="preserve"> w ochronie granic zewnętrznych Unii; uznaje zasadniczą rolę tej agencji w operacjach poszukiwawczo-ratowniczych – podczas wspólnych operacji zasoby morskie i powietrzne rozmieszczono w odpowiedzi na 1599 incydentów i udzielono pomocy 65 919 migrantom; ponawia apel o ustanowienie kompleksowej unijnej misji poszukiwawczo-ratowniczej realizowanej przez właściwe organy państw członkowskich i </w:t>
      </w:r>
      <w:proofErr w:type="spellStart"/>
      <w:r>
        <w:t>Frontex</w:t>
      </w:r>
      <w:proofErr w:type="spellEnd"/>
      <w:r>
        <w:t>, która mogłaby znacznie ograniczyć liczbę ofiar śmiertelnych na morzu;</w:t>
      </w:r>
    </w:p>
    <w:p w14:paraId="641B8C16" w14:textId="77777777" w:rsidR="00932240" w:rsidRPr="0072494D" w:rsidRDefault="007269CE" w:rsidP="00932240">
      <w:pPr>
        <w:pStyle w:val="NormalHanging12a"/>
        <w:tabs>
          <w:tab w:val="left" w:pos="567"/>
        </w:tabs>
        <w:ind w:left="709" w:hanging="709"/>
        <w:rPr>
          <w:szCs w:val="24"/>
        </w:rPr>
      </w:pPr>
      <w:r>
        <w:t>38.</w:t>
      </w:r>
      <w:r>
        <w:tab/>
        <w:t xml:space="preserve">z zadowoleniem przyjmuje proaktywne działania następcze </w:t>
      </w:r>
      <w:proofErr w:type="spellStart"/>
      <w:r>
        <w:t>Fronteksu</w:t>
      </w:r>
      <w:proofErr w:type="spellEnd"/>
      <w:r>
        <w:t xml:space="preserve"> w związku ze skargami dotyczącymi praw podstawowych; podkreśla znaczenie ścisłej współpracy z organami krajowymi w celu zapewnienia odpowiednich działań następczych w związku z domniemanymi naruszeniami praw podstawowych zgodnie z mechanizmami krajowymi;</w:t>
      </w:r>
      <w:r>
        <w:rPr>
          <w:b/>
          <w:i/>
        </w:rPr>
        <w:t xml:space="preserve"> </w:t>
      </w:r>
      <w:r>
        <w:t>zaleca jednak usprawnienie mechanizmu składania skarg w celu zwiększenia jego skuteczności, ponieważ szereg skarg związanych z prawami podstawowymi jest nadal odrzucanych jako niedopuszczaln</w:t>
      </w:r>
      <w:r>
        <w:t xml:space="preserve">e; zauważa, że grupa robocza ds. art. 46 – ustanowiona 27 września 2022 r., aby ułatwić proces decyzyjny dyrektora wykonawczego – zakończyła prace 22 września 2024 r.; podkreśla, że funkcjonariusze </w:t>
      </w:r>
      <w:proofErr w:type="spellStart"/>
      <w:r>
        <w:t>Fronteksu</w:t>
      </w:r>
      <w:proofErr w:type="spellEnd"/>
      <w:r>
        <w:t xml:space="preserve"> muszą unikać angażowania się w jakiekolwiek działania, które mogłyby bezpośrednio lub pośrednio naruszać prawa podstawowe; z zadowoleniem przyjmuje zwiększone zaangażowanie </w:t>
      </w:r>
      <w:proofErr w:type="spellStart"/>
      <w:r>
        <w:t>Fronteksu</w:t>
      </w:r>
      <w:proofErr w:type="spellEnd"/>
      <w:r>
        <w:t xml:space="preserve"> na rzecz przejrzystości i rozliczalności; podkreśla potrzebę przekazywania bardziej szczegółowych informacji po zakończen</w:t>
      </w:r>
      <w:r>
        <w:t>iu operacji;</w:t>
      </w:r>
    </w:p>
    <w:p w14:paraId="0FDA1252" w14:textId="77777777" w:rsidR="00932240" w:rsidRPr="0072494D" w:rsidRDefault="007269CE" w:rsidP="00932240">
      <w:pPr>
        <w:pStyle w:val="NormalHanging12a"/>
        <w:ind w:left="709" w:hanging="709"/>
        <w:rPr>
          <w:bCs/>
          <w:iCs/>
          <w:szCs w:val="24"/>
        </w:rPr>
      </w:pPr>
      <w:r>
        <w:t>39.</w:t>
      </w:r>
      <w:r>
        <w:tab/>
        <w:t xml:space="preserve">z zadowoleniem przyjmuje utworzenie zespołu ds. przestrzegania praw podstawowych, potwierdzając, że przestrzeganie praw podstawowych we wszystkich działaniach </w:t>
      </w:r>
      <w:proofErr w:type="spellStart"/>
      <w:r>
        <w:t>Fronteksu</w:t>
      </w:r>
      <w:proofErr w:type="spellEnd"/>
      <w:r>
        <w:t xml:space="preserve"> jest wspólnym obowiązkiem agencji; uznaje także postępy we wdrażaniu planu działania dotyczącego praw podstawowych;</w:t>
      </w:r>
    </w:p>
    <w:p w14:paraId="3BFD7D9A" w14:textId="77777777" w:rsidR="00932240" w:rsidRPr="0072494D" w:rsidRDefault="007269CE" w:rsidP="00932240">
      <w:pPr>
        <w:pStyle w:val="Normal12a"/>
        <w:ind w:left="720" w:hanging="720"/>
      </w:pPr>
      <w:r>
        <w:t>40.</w:t>
      </w:r>
      <w:r>
        <w:tab/>
        <w:t xml:space="preserve">uznaje postępy poczynione we wdrażaniu planu działania w zakresie praw podstawowych i zachęca </w:t>
      </w:r>
      <w:proofErr w:type="spellStart"/>
      <w:r>
        <w:t>Frontex</w:t>
      </w:r>
      <w:proofErr w:type="spellEnd"/>
      <w:r>
        <w:t xml:space="preserve"> do kontynuowania proaktywnych wysiłków na rzecz zaangażowania organów krajowych we wdrażanie i regularną ocenę sytuacji, biorąc pod uwagę znaczenie tego planu dla wszystkich elementów Europejskiej Straży Granicznej i Przybrzeżnej;</w:t>
      </w:r>
    </w:p>
    <w:p w14:paraId="06C83E10" w14:textId="77777777" w:rsidR="00932240" w:rsidRPr="0072494D" w:rsidRDefault="007269CE" w:rsidP="00932240">
      <w:pPr>
        <w:pStyle w:val="NormalHanging12a"/>
        <w:ind w:left="709" w:hanging="709"/>
        <w:rPr>
          <w:szCs w:val="24"/>
        </w:rPr>
      </w:pPr>
      <w:r>
        <w:t>41.</w:t>
      </w:r>
      <w:r>
        <w:tab/>
        <w:t xml:space="preserve">odnotowuje, że wskaźnik obsadzenia stanowisk wynoszący 85,3 % (2773 obsadzonych stanowisk) był niższy niż zakładane 93 %, i zachęca </w:t>
      </w:r>
      <w:proofErr w:type="spellStart"/>
      <w:r>
        <w:t>Frontex</w:t>
      </w:r>
      <w:proofErr w:type="spellEnd"/>
      <w:r>
        <w:t xml:space="preserve"> do dalszej rekrutacji pracowników, aby jak najszybciej zmniejszyć wskaźnik wakatów; zdecydowanie zachęca agencję do kontynuowania wysiłków na rzecz równowagi geograficznej i równowagi płci;</w:t>
      </w:r>
    </w:p>
    <w:p w14:paraId="4B01995E" w14:textId="77777777" w:rsidR="00932240" w:rsidRPr="0072494D" w:rsidRDefault="007269CE" w:rsidP="00932240">
      <w:pPr>
        <w:pStyle w:val="NormalHanging12a"/>
        <w:ind w:left="709" w:hanging="709"/>
        <w:rPr>
          <w:szCs w:val="24"/>
        </w:rPr>
      </w:pPr>
      <w:r>
        <w:t>42.</w:t>
      </w:r>
      <w:r>
        <w:tab/>
        <w:t xml:space="preserve">z zadowoleniem przyjmuje zakończenie procedury przetargowej na wdrożenie systemu FADO (fałszywe i autentyczne dokumenty online), wybór wykonawcy, podpisanie umowy i rozpoczęcie etapu wdrażania; ubolewa jednak nad opóźnieniem wdrożenia systemu FADO; biorąc pod uwagę, że rozporządzenie w sprawie tego systemu weszło w życie już w kwietniu 2020 r., wzywa </w:t>
      </w:r>
      <w:proofErr w:type="spellStart"/>
      <w:r>
        <w:t>Frontex</w:t>
      </w:r>
      <w:proofErr w:type="spellEnd"/>
      <w:r>
        <w:t xml:space="preserve"> do pełnego wdrożenia systemu FADO;</w:t>
      </w:r>
    </w:p>
    <w:p w14:paraId="176595C6" w14:textId="77777777" w:rsidR="00932240" w:rsidRPr="0072494D" w:rsidRDefault="007269CE" w:rsidP="00932240">
      <w:pPr>
        <w:pStyle w:val="NormalHanging12a"/>
        <w:rPr>
          <w:bCs/>
          <w:iCs/>
          <w:szCs w:val="24"/>
        </w:rPr>
      </w:pPr>
      <w:r>
        <w:t>43.</w:t>
      </w:r>
      <w:r>
        <w:tab/>
        <w:t xml:space="preserve">odnotowuje zwiększoną rolę </w:t>
      </w:r>
      <w:proofErr w:type="spellStart"/>
      <w:r>
        <w:t>Fronteksu</w:t>
      </w:r>
      <w:proofErr w:type="spellEnd"/>
      <w:r>
        <w:t xml:space="preserve"> w państwach trzecich, w szczególności dzięki zawarciu i aktualizacji kilku umów o statusie i porozumień roboczych, a także zwiększone zaangażowanie polityczne agencji; podkreśla potrzebę starannego rozważenia obowiązków w zakresie proporcjonalności i praw podstawowych w działaniach z udziałem państw spoza UE w świetle różnych środowisk operacyjnych;</w:t>
      </w:r>
    </w:p>
    <w:p w14:paraId="2F2F929D" w14:textId="77777777" w:rsidR="00932240" w:rsidRPr="0072494D" w:rsidRDefault="007269CE" w:rsidP="00932240">
      <w:pPr>
        <w:pStyle w:val="NormalHanging12a"/>
        <w:rPr>
          <w:bCs/>
          <w:iCs/>
          <w:szCs w:val="24"/>
        </w:rPr>
      </w:pPr>
      <w:r>
        <w:t>44.</w:t>
      </w:r>
      <w:r>
        <w:tab/>
        <w:t xml:space="preserve">odnotowuje, że wdrażane są obecnie trzy zalecenia finansowe OLAF-u i zalecenia Europejskiego Rzecznika Praw Obywatelskich; termin ich wdrożenia wyznaczono na maj 2025 r.; wzywa </w:t>
      </w:r>
      <w:proofErr w:type="spellStart"/>
      <w:r>
        <w:t>Frontex</w:t>
      </w:r>
      <w:proofErr w:type="spellEnd"/>
      <w:r>
        <w:t xml:space="preserve"> do zadbania bez dalszej zwłoki o to, by w pełni wdrożono wszystkie zalecenia europejskich organów kontroli, w szczególności zalecenia OLAF-u i grupy roboczej Parlamentu Europejskiego ds. kontroli </w:t>
      </w:r>
      <w:proofErr w:type="spellStart"/>
      <w:r>
        <w:t>Fronteksu</w:t>
      </w:r>
      <w:proofErr w:type="spellEnd"/>
      <w:r>
        <w:t xml:space="preserve">, Europejskiego Rzecznika Praw Obywatelskich, Trybunału oraz grupy roboczej </w:t>
      </w:r>
      <w:proofErr w:type="spellStart"/>
      <w:r>
        <w:t>Fronteksu</w:t>
      </w:r>
      <w:proofErr w:type="spellEnd"/>
      <w:r>
        <w:t xml:space="preserve"> ds. praw podstawowych i prawnych as</w:t>
      </w:r>
      <w:r>
        <w:t xml:space="preserve">pektów operacyjnych operacji (grupa robocza ds. </w:t>
      </w:r>
      <w:proofErr w:type="spellStart"/>
      <w:r>
        <w:t>FRaLO</w:t>
      </w:r>
      <w:proofErr w:type="spellEnd"/>
      <w:r>
        <w:t xml:space="preserve">); zauważa z zadowoleniem, że od grudnia 2023 r. nie toczą się żadne sprawy związane z zaleceniami grupy roboczej Parlamentu Europejskiego ds. kontroli </w:t>
      </w:r>
      <w:proofErr w:type="spellStart"/>
      <w:r>
        <w:t>Fronteksu</w:t>
      </w:r>
      <w:proofErr w:type="spellEnd"/>
      <w:r>
        <w:t xml:space="preserve">, przy czym wdrożono 39 zaleceń, a 3 zamknięto jako niewykonalne; ponadto od października 2024 r. nie toczą się żadne działania w odniesieniu do sprawozdania OLAF-u, ponieważ wszystkie zostały już wdrożone; zwraca się do Komisji o dopilnowanie, aby w następstwie ustaleń OLAF-u i EPPO dotyczących </w:t>
      </w:r>
      <w:proofErr w:type="spellStart"/>
      <w:r>
        <w:t>F</w:t>
      </w:r>
      <w:r>
        <w:t>ronteksu</w:t>
      </w:r>
      <w:proofErr w:type="spellEnd"/>
      <w:r>
        <w:t xml:space="preserve"> określono jasne ramy czasowe wdrożenia oraz, w razie potrzeby, wprowadzono środki dyscyplinarne; wzywa Komisję Europejską, by w swoim wniosku dotyczącym nowego rozporządzenia uwzględniła zalecenia dotyczące prawodawstwa i zarządzania zawarte we wszystkich wyżej wymienionych sprawozdaniach; </w:t>
      </w:r>
    </w:p>
    <w:p w14:paraId="4F186807" w14:textId="77777777" w:rsidR="00932240" w:rsidRPr="0072494D" w:rsidRDefault="007269CE" w:rsidP="00932240">
      <w:pPr>
        <w:pStyle w:val="NormalHanging12a"/>
        <w:rPr>
          <w:bCs/>
          <w:iCs/>
        </w:rPr>
      </w:pPr>
      <w:r>
        <w:t>45.</w:t>
      </w:r>
      <w:r>
        <w:tab/>
        <w:t xml:space="preserve">zauważa, że w 2024 r. urzędnik ds. praw podstawowych spędził w terenie około 1850 dni, co stanowi wzrost o ponad 10 % w porównaniu z poprzednim rokiem, monitorując działania </w:t>
      </w:r>
      <w:proofErr w:type="spellStart"/>
      <w:r>
        <w:t>Fronteksu</w:t>
      </w:r>
      <w:proofErr w:type="spellEnd"/>
      <w:r>
        <w:t xml:space="preserve"> w 24 krajach; odnotowuje poprawę zaobserwowaną w dostępie urzędnika ds. praw podstawowych do obszarów operacyjnych, działań i dokumentów; podkreśla jednak, że urzędnik ds. praw podstawowych nadal zgłaszał ograniczenia w dostępie do obszarów operacyjnych lub działań operacyjnych; wzywa państwa członkowskie i państwa trzecie do</w:t>
      </w:r>
      <w:r>
        <w:t xml:space="preserve"> zapewnienia urzędnikowi ds. praw podstawowych pełnego dostępu do obszarów i działań operacyjnych; wzywa </w:t>
      </w:r>
      <w:proofErr w:type="spellStart"/>
      <w:r>
        <w:t>Frontex</w:t>
      </w:r>
      <w:proofErr w:type="spellEnd"/>
      <w:r>
        <w:t xml:space="preserve"> do natychmiastowego zapewnienia takiego pełnego dostępu jako warunku zaangażowania we wspólne operacje;</w:t>
      </w:r>
    </w:p>
    <w:p w14:paraId="765BA9F5" w14:textId="77777777" w:rsidR="00932240" w:rsidRPr="0072494D" w:rsidRDefault="007269CE" w:rsidP="00932240">
      <w:pPr>
        <w:pStyle w:val="Normal12a"/>
        <w:rPr>
          <w:b/>
          <w:bCs/>
          <w:i/>
          <w:iCs/>
        </w:rPr>
      </w:pPr>
      <w:r>
        <w:rPr>
          <w:b/>
          <w:i/>
        </w:rPr>
        <w:t>Część VI – Absolutorium z wykonania budżetu Agencji Unii Europejskiej ds. Szkolenia w Dziedzinie Ścigania za rok budżetowy 2024</w:t>
      </w:r>
    </w:p>
    <w:p w14:paraId="35941EE8" w14:textId="77777777" w:rsidR="00932240" w:rsidRPr="0072494D" w:rsidRDefault="007269CE" w:rsidP="00932240">
      <w:pPr>
        <w:pStyle w:val="Normal12a"/>
        <w:ind w:left="720" w:hanging="720"/>
      </w:pPr>
      <w:r>
        <w:t>46.</w:t>
      </w:r>
      <w:r>
        <w:tab/>
        <w:t>zauważa, że budżet operacyjny Agencji Unii Europejskiej ds. Szkolenia w Dziedzinie Ścigania (CEPOL) na 2024 r. wyniósł 12 589 437 EUR, czyli o 12,3 % więcej niż przewidziano w ostatecznym budżecie na 2023 r.; z zadowoleniem przyjmuje fakt, że w 2024 r. wskaźnik wykorzystania środków na zobowiązania przez CEPOL wyniósł 100 %, co oznacza, że trzeci rok z rzędu osiągnięto pełne wdrożenie;</w:t>
      </w:r>
    </w:p>
    <w:p w14:paraId="0E726A59" w14:textId="77777777" w:rsidR="00932240" w:rsidRPr="0072494D" w:rsidRDefault="007269CE" w:rsidP="00932240">
      <w:pPr>
        <w:pStyle w:val="Normal12a"/>
        <w:ind w:left="720" w:hanging="720"/>
      </w:pPr>
      <w:r>
        <w:t>47.</w:t>
      </w:r>
      <w:r>
        <w:tab/>
        <w:t xml:space="preserve">przyjmuje do wiadomości, że CEPOL zapewnia kompleksową ofertę szkoleniową we wszystkich obszarach europejskiej </w:t>
      </w:r>
      <w:proofErr w:type="spellStart"/>
      <w:r>
        <w:t>multidyscyplinarnej</w:t>
      </w:r>
      <w:proofErr w:type="spellEnd"/>
      <w:r>
        <w:t xml:space="preserve"> platformy przeciwko zagrożeniom przestępstwami (EMPACT); zauważa, że tematy EMPACT i cyberprzestępczość były najpopularniejszymi tematami szkoleń – wzięło w nich udział niemal 64 % całkowitej liczby uczestników w 2024 r.; pochwala CEPOL za fakt, że w 2024 r. jakość produktów agencji mierzona wskaźnikiem zadowolenia klientów pozostała wysoka – ogółem 97 % uczestników stwierdziło</w:t>
      </w:r>
      <w:r>
        <w:t>, że są bardzo zadowoleni lub zadowoleni z oferty szkoleniowej agencji;</w:t>
      </w:r>
    </w:p>
    <w:p w14:paraId="5666976C" w14:textId="77777777" w:rsidR="00932240" w:rsidRPr="0072494D" w:rsidRDefault="007269CE" w:rsidP="00932240">
      <w:pPr>
        <w:pStyle w:val="Normal12a"/>
        <w:ind w:left="720" w:hanging="720"/>
      </w:pPr>
      <w:r>
        <w:t>48.</w:t>
      </w:r>
      <w:r>
        <w:tab/>
        <w:t xml:space="preserve">odnotowuje, że 30 maja 2024 r. agencja padła ofiarą masowego cyberataku, a jej infrastrukturę ICT w głównej siedzibie i platformę e-uczenia się </w:t>
      </w:r>
      <w:proofErr w:type="spellStart"/>
      <w:r>
        <w:t>LEEd</w:t>
      </w:r>
      <w:proofErr w:type="spellEnd"/>
      <w:r>
        <w:t xml:space="preserve"> uznano za całkowicie zagrożone; z zadowoleniem przyjmuje skoordynowane podejście agencji – w ścisłej współpracy z CERT-UE i Komisją – do budowy nowej bezpiecznej infrastruktury informatycznej; zauważa, że CEPOL otrzymał dodatkowe środki finansowe w wysokości 1 153 938 EUR na pokrycie dodatkowych kosztów w dziedzinie IT (1 064 000 EUR) oraz na zwiększenie wynag</w:t>
      </w:r>
      <w:r>
        <w:t>rodzeń (89 938 EUR);</w:t>
      </w:r>
    </w:p>
    <w:p w14:paraId="38CBE1D4" w14:textId="77777777" w:rsidR="00932240" w:rsidRPr="0072494D" w:rsidRDefault="007269CE" w:rsidP="00932240">
      <w:pPr>
        <w:pStyle w:val="Normal12a"/>
        <w:ind w:left="720" w:hanging="720"/>
      </w:pPr>
      <w:r>
        <w:t>49.</w:t>
      </w:r>
      <w:r>
        <w:tab/>
        <w:t>przyjmuje do wiadomości, że cyberatak spowodował znaczny spadek liczby przeszkolonych funkcjonariuszy organów ścigania z państw członkowskich UE; odnotowuje, że w 2024 r. pomimo cyberataku agencja przeprowadziła 350 działań, w których wzięło udział około 21 600 uczestników – dla porównania w 2023 r. było to 490 działań (-29 %) i 46 431 uczestników (-54 %);</w:t>
      </w:r>
    </w:p>
    <w:p w14:paraId="00A34275" w14:textId="77777777" w:rsidR="00932240" w:rsidRPr="0072494D" w:rsidRDefault="007269CE" w:rsidP="00932240">
      <w:pPr>
        <w:pStyle w:val="NormalHanging12a"/>
        <w:ind w:left="709" w:hanging="709"/>
        <w:rPr>
          <w:szCs w:val="24"/>
        </w:rPr>
      </w:pPr>
      <w:r>
        <w:t>50.</w:t>
      </w:r>
      <w:r>
        <w:tab/>
        <w:t>zauważa, że chociaż CERT-UE zakończył dochodzenie w sprawie cyberataku, dochodzenie wszczęte przez węgierskie organy ścigania – przy wsparciu Europolu – jest nadal w toku; podkreśla, że Parlament Europejski oczekuje na informacje o wynikach dochodzenia;</w:t>
      </w:r>
    </w:p>
    <w:p w14:paraId="12393E13" w14:textId="77777777" w:rsidR="00932240" w:rsidRPr="0072494D" w:rsidRDefault="007269CE" w:rsidP="00932240">
      <w:pPr>
        <w:pStyle w:val="Normal12a"/>
        <w:ind w:left="720" w:hanging="720"/>
      </w:pPr>
      <w:r>
        <w:t>51.</w:t>
      </w:r>
      <w:r>
        <w:tab/>
        <w:t xml:space="preserve">z zadowoleniem przyjmuje fakt, że CEPOL w dalszym ciągu oferował wiele różnych szkoleń w dziedzinie </w:t>
      </w:r>
      <w:proofErr w:type="spellStart"/>
      <w:r>
        <w:t>cyberbezpieczeństwa</w:t>
      </w:r>
      <w:proofErr w:type="spellEnd"/>
      <w:r>
        <w:t xml:space="preserve"> za pośrednictwem swojej Akademii ds. Walki z Cyberprzestępczością; z zadowoleniem przyjmuje fakt, że specjalne działania szkoleniowe zwiększyły wiedzę na temat cyberprzestępczości oraz zdolności cybernetyczne w Europie w dziedzinie walki z wykorzystywaniem seksualnym dzieci, oszustwami internetowymi i cyberatakami;</w:t>
      </w:r>
    </w:p>
    <w:p w14:paraId="390F21E4" w14:textId="77777777" w:rsidR="00932240" w:rsidRPr="0072494D" w:rsidRDefault="007269CE" w:rsidP="00932240">
      <w:pPr>
        <w:pStyle w:val="Normal12a"/>
        <w:ind w:left="720" w:hanging="720"/>
      </w:pPr>
      <w:r>
        <w:t>52.</w:t>
      </w:r>
      <w:r>
        <w:tab/>
        <w:t>zauważa z ubolewaniem, że w 2024 r. liczba szkoleń w dziedzinie praw podstawowych spadła (zrealizowano 10 działań z udziałem 427 uczestników) w porównaniu z 2023 r. (19 działań z udziałem 2063 uczestników); podkreśla, że głównym zadaniem CEPOL-u jest wspieranie, opracowywanie, realizacja i koordynowanie szkoleń dla funkcjonariuszy organów ścigania, przy czym agencja zwraca szczególną uwagę na ochronę praw człowieka i podstawowych wolności w kontekście egzekwowania prawa;</w:t>
      </w:r>
    </w:p>
    <w:p w14:paraId="1493F5A5" w14:textId="77777777" w:rsidR="00932240" w:rsidRPr="0072494D" w:rsidRDefault="007269CE" w:rsidP="00932240">
      <w:pPr>
        <w:pStyle w:val="Normal12a"/>
        <w:rPr>
          <w:b/>
          <w:bCs/>
          <w:i/>
          <w:iCs/>
        </w:rPr>
      </w:pPr>
      <w:r>
        <w:rPr>
          <w:b/>
          <w:i/>
        </w:rPr>
        <w:t>Część VII – Absolutorium z wykonania budżetu Agencji Unii Europejskiej ds. Narkotyków za rok budżetowy 2024</w:t>
      </w:r>
    </w:p>
    <w:p w14:paraId="0B437397" w14:textId="77777777" w:rsidR="00932240" w:rsidRPr="0072494D" w:rsidRDefault="007269CE" w:rsidP="00932240">
      <w:pPr>
        <w:pStyle w:val="Normal12a"/>
        <w:ind w:left="720" w:hanging="720"/>
      </w:pPr>
      <w:r>
        <w:t>53.</w:t>
      </w:r>
      <w:r>
        <w:tab/>
        <w:t>zauważa, że 2 lipca 2024 r. nowa Agencja Unii Europejskiej ds. Narkotyków (EUDA) oficjalnie zastąpiła Europejskie Centrum Monitorowania Narkotyków i Narkomanii; przypomina, że rozporządzenie w sprawie EUDA ma na celu przeciwdziałanie problemowi narkotykowemu w ramach całościowego podejścia opartego na dowodach;</w:t>
      </w:r>
    </w:p>
    <w:p w14:paraId="35B6279F" w14:textId="77777777" w:rsidR="00932240" w:rsidRPr="0072494D" w:rsidRDefault="007269CE" w:rsidP="00932240">
      <w:pPr>
        <w:pStyle w:val="Normal12a"/>
        <w:ind w:left="720" w:hanging="720"/>
      </w:pPr>
      <w:r>
        <w:t>54.</w:t>
      </w:r>
      <w:r>
        <w:tab/>
        <w:t>zauważa, że aby wypełnić swoje nowe zadania, w 2024 r. budżet roczny EUDA zwiększono o ponad 80 % oraz przeprowadzono rekrutację pracowników na 28 nowych stanowisk; wzywa EUDA do zapewnienia pełnego wykonania nowego mandatu;</w:t>
      </w:r>
    </w:p>
    <w:p w14:paraId="281AC858" w14:textId="77777777" w:rsidR="00932240" w:rsidRPr="0072494D" w:rsidRDefault="007269CE" w:rsidP="00932240">
      <w:pPr>
        <w:pStyle w:val="Normal12a"/>
        <w:ind w:left="720" w:hanging="720"/>
      </w:pPr>
      <w:r>
        <w:t>55.</w:t>
      </w:r>
      <w:r>
        <w:tab/>
        <w:t xml:space="preserve">zauważa, że budżet operacyjny EUDA na 2024 r. wyniósł 32 723 728 EUR; z zadowoleniem odnotowuje, że w 2024 r. wskaźnik </w:t>
      </w:r>
      <w:r>
        <w:t>wykonania środków na zobowiązania przez EUDA wyniósł 100 %; zauważa jednak z zaniepokojeniem, że wskaźnik anulowania środków na płatności na 2024 r. wyniósł 10,49 %, co odpowiada anulowaniu 3 401 035 EUR; przyjmuje do wiadomości, że wskaźnik anulowania wynika z ograniczeń, które wpłynęły na zdolność EUDA do wydatkowania budżetu na 2024 r. do czasu rozpoczęcia nowego mandatu agencji z dniem 2 lipca 2024 r.;</w:t>
      </w:r>
    </w:p>
    <w:p w14:paraId="268499AF" w14:textId="77777777" w:rsidR="00932240" w:rsidRPr="0072494D" w:rsidRDefault="007269CE" w:rsidP="00932240">
      <w:pPr>
        <w:pStyle w:val="Normal12a"/>
        <w:ind w:left="720" w:hanging="720"/>
      </w:pPr>
      <w:r>
        <w:t>56.</w:t>
      </w:r>
      <w:r>
        <w:tab/>
        <w:t>z zadowoleniem przyjmuje wkład EUDA w EMPACT oraz w operacyjne plany działania w ramach cyklu polityki unijnej dotyczącej zorganizowanej i poważnej przestępczości międzynarodowej; docenia opracowanie europejskiego systemu ostrzegania o narkotykach (EDAS), który służy do publikowania ostrzeżeń w razie pojawienia się na rynku poważnych zagrożeń związanych z narkotykami; z zadowoleniem przyjmuje uruchomienie europejskiej sieci laboratoriów kryminalistycznych i toksykologicznych oraz europejskiego systemu ocen</w:t>
      </w:r>
      <w:r>
        <w:t>y zagrożeń (ETAS);</w:t>
      </w:r>
    </w:p>
    <w:p w14:paraId="48088D84" w14:textId="77777777" w:rsidR="00932240" w:rsidRPr="0072494D" w:rsidRDefault="007269CE" w:rsidP="00932240">
      <w:pPr>
        <w:pStyle w:val="Normal12a"/>
        <w:ind w:left="720" w:hanging="720"/>
      </w:pPr>
      <w:r>
        <w:t>57.</w:t>
      </w:r>
      <w:r>
        <w:tab/>
        <w:t xml:space="preserve">wyraża zadowolenie z powodu nieustannych wysiłków EUDA na rzecz </w:t>
      </w:r>
      <w:r>
        <w:t>wdrożenia unijnego systemu wczesnego ostrzegania (SWO) we współpracy z partnerami w państwach członkowskich; zauważa, że zgłoszono 47 nowych substancji psychoaktywnych oraz że obecnie monitorowanych jest około 1000 nowych substancji psychoaktywnych; pochwala sprawozdania techniczne opublikowane przez agencję;</w:t>
      </w:r>
    </w:p>
    <w:p w14:paraId="0B29CA9C" w14:textId="77777777" w:rsidR="00932240" w:rsidRPr="0072494D" w:rsidRDefault="007269CE" w:rsidP="00932240">
      <w:pPr>
        <w:pStyle w:val="Normal12a"/>
        <w:ind w:left="720" w:hanging="720"/>
      </w:pPr>
      <w:r>
        <w:t>58.</w:t>
      </w:r>
      <w:r>
        <w:tab/>
        <w:t>odnotowuje, że w 2024 r. EUDA wydała 33 publikacje naukowe i instytucjonalne, a także była autorką lub współautorką 16 artykułów naukowych i rozdziałów książek; docenia naukową i opartą na dowodach wiedzę fachową oferowaną przez agencję;</w:t>
      </w:r>
    </w:p>
    <w:p w14:paraId="5D4E8B5A" w14:textId="77777777" w:rsidR="00932240" w:rsidRPr="0072494D" w:rsidRDefault="007269CE" w:rsidP="00932240">
      <w:pPr>
        <w:pStyle w:val="Normal12a"/>
        <w:ind w:left="720" w:hanging="720"/>
      </w:pPr>
      <w:r>
        <w:t>59.</w:t>
      </w:r>
      <w:r>
        <w:tab/>
        <w:t>z zadowoleniem przyjmuje uruchomienie europejskiego sprawozdania na temat narkotyków z 2024 r. i skupienie się w nim na silnych substancjach syntetycznych, nowych mieszaninach narkotyków i zmieniających się wzorcach używania;</w:t>
      </w:r>
    </w:p>
    <w:p w14:paraId="2944DCE1" w14:textId="77777777" w:rsidR="00932240" w:rsidRPr="0072494D" w:rsidRDefault="007269CE" w:rsidP="00932240">
      <w:pPr>
        <w:pStyle w:val="Normal12a"/>
        <w:ind w:left="720" w:hanging="720"/>
      </w:pPr>
      <w:r>
        <w:t>60.</w:t>
      </w:r>
      <w:r>
        <w:tab/>
        <w:t xml:space="preserve">zauważa z zadowoleniem, że EUDA udzielała krajowym decydentom politycznym cennego regularnego wsparcia i informacji na temat polityki w dziedzinie narkotyków oraz koordynowała przygotowawcze przeglądy naukowe dotyczące szkód związanych z używaniem narkotyków, leczenia i sposobów ograniczania szkód; podkreśla znaczenie kontynuowania tej niezbędnej pracy, aby sprostać zmieniającym się tendencjom i wyzwaniom, oraz zachęca do dalszego wspierania tych działań przez promowanie ściślejszej współpracy z państwami </w:t>
      </w:r>
      <w:r>
        <w:t>członkowskimi i dbanie o to, aby ustalenia docierały do szerszego grona odbiorców, w tym pracowników ochrony zdrowia i ogółu społeczeństwa;</w:t>
      </w:r>
    </w:p>
    <w:p w14:paraId="51DA6DC4" w14:textId="77777777" w:rsidR="00932240" w:rsidRPr="0072494D" w:rsidRDefault="007269CE" w:rsidP="00932240">
      <w:pPr>
        <w:pStyle w:val="Normal12a"/>
        <w:ind w:left="720" w:hanging="720"/>
      </w:pPr>
      <w:r>
        <w:t>61.</w:t>
      </w:r>
      <w:r>
        <w:tab/>
        <w:t>podkreśla, że EUDA przeszkoliła ponad 11 700 specjalistów w dziedzinie narkotyków, w tym pracowników służby zdrowia, funkcjonariuszy organów ścigania i decydentów w Unii i poza nią, oraz że w ośmiu seminariach internetowych organizowanych przez EUDA wzięło udział około 1400 specjalistów; z zadowoleniem przyjmuje współpracę z innymi agencjami UE;</w:t>
      </w:r>
    </w:p>
    <w:p w14:paraId="43B1E3BA" w14:textId="77777777" w:rsidR="00932240" w:rsidRPr="0072494D" w:rsidRDefault="007269CE" w:rsidP="00932240">
      <w:pPr>
        <w:pStyle w:val="Normal12a"/>
        <w:rPr>
          <w:b/>
          <w:bCs/>
          <w:i/>
          <w:iCs/>
        </w:rPr>
      </w:pPr>
      <w:r>
        <w:rPr>
          <w:b/>
          <w:i/>
        </w:rPr>
        <w:t>Część VIII – Absolutorium z wykonania budżetu Agencji Unii Europejskiej ds. Współpracy Organów Ścigania za rok budżetowy 2024</w:t>
      </w:r>
    </w:p>
    <w:p w14:paraId="1A7A2326" w14:textId="77777777" w:rsidR="00932240" w:rsidRPr="0072494D" w:rsidRDefault="007269CE" w:rsidP="00932240">
      <w:pPr>
        <w:pStyle w:val="Normal12a"/>
        <w:ind w:left="720" w:hanging="720"/>
      </w:pPr>
      <w:r>
        <w:t>62.</w:t>
      </w:r>
      <w:r>
        <w:tab/>
        <w:t>podkreśla, że w 2024 r. Europol wsparł 3324 operacje, 65 operacyjnych grup zadaniowych i 432 dni działania; podkreśla rolę agencji jako unijnego centrum informacji kryminalnej, ponieważ aplikacja sieci bezpiecznej wymiany informacji (SIENA) została wykorzystana do wymiany ponad 2 mln wiadomości, a w 2024 r. agencja przyjęła za pośrednictwem sieci 114 459 wkładów operacyjnych;</w:t>
      </w:r>
    </w:p>
    <w:p w14:paraId="5AA334B5" w14:textId="77777777" w:rsidR="00932240" w:rsidRPr="0072494D" w:rsidRDefault="007269CE" w:rsidP="00932240">
      <w:pPr>
        <w:pStyle w:val="Normal12a"/>
        <w:ind w:left="720" w:hanging="720"/>
      </w:pPr>
      <w:r>
        <w:t>63.</w:t>
      </w:r>
      <w:r>
        <w:tab/>
        <w:t>zauważa ponadto, że Europol przedstawił 366 sprawozdań z analizy operacyjnej i 29 sprawozdań z analizy strategicznej: z zadowoleniem przyjmuje wysoki stopień zadowolenia zainteresowanych stron, który wyraziły one lub odnotowały w odniesieniu do produktów analitycznych;</w:t>
      </w:r>
    </w:p>
    <w:p w14:paraId="4229DDAB" w14:textId="77777777" w:rsidR="00932240" w:rsidRPr="0072494D" w:rsidRDefault="007269CE" w:rsidP="00932240">
      <w:pPr>
        <w:pStyle w:val="NormalHanging12a"/>
        <w:ind w:left="709" w:hanging="709"/>
        <w:rPr>
          <w:szCs w:val="24"/>
        </w:rPr>
      </w:pPr>
      <w:r>
        <w:t>64.</w:t>
      </w:r>
      <w:r>
        <w:tab/>
        <w:t>wzywa Europol do wdrożenia pozostałych zaleceń Europejskiego Inspektora Ochrony Danych (EIOD), zwłaszcza zaleceń wydanych w kontekście jego opinii nadzorczych; zauważa, że podczas inspekcji EIOD przeprowadzonej w październiku 2023 r. wykryto szereg niedociągnięć; ponadto wzywa Europol do szybkiego wdrożenia pozostałych 23 zaleceń wydanych w celu zapewnienia lub poprawy przestrzegania przez Europol ram prawnych ochrony danych; odnotowując, że uznaje się w międzyczasie, iż Europol wdrożył około 75 % zaleceń,</w:t>
      </w:r>
      <w:r>
        <w:t xml:space="preserve"> głównie dotyczących przetwarzania danych VIS i PNR;</w:t>
      </w:r>
    </w:p>
    <w:p w14:paraId="5B29C1C3" w14:textId="77777777" w:rsidR="00932240" w:rsidRPr="0072494D" w:rsidRDefault="007269CE" w:rsidP="00932240">
      <w:pPr>
        <w:pStyle w:val="NormalHanging12a"/>
        <w:ind w:left="709" w:hanging="709"/>
        <w:rPr>
          <w:bCs/>
          <w:iCs/>
          <w:szCs w:val="24"/>
        </w:rPr>
      </w:pPr>
      <w:r>
        <w:t>65.</w:t>
      </w:r>
      <w:r>
        <w:tab/>
        <w:t xml:space="preserve">w następstwie nagany udzielonej </w:t>
      </w:r>
      <w:proofErr w:type="spellStart"/>
      <w:r>
        <w:t>Fronteksowi</w:t>
      </w:r>
      <w:proofErr w:type="spellEnd"/>
      <w:r>
        <w:t xml:space="preserve"> w 2024 r., która odnosi się do wymiany między Europolem a </w:t>
      </w:r>
      <w:proofErr w:type="spellStart"/>
      <w:r>
        <w:t>Fronteksem</w:t>
      </w:r>
      <w:proofErr w:type="spellEnd"/>
      <w:r>
        <w:t xml:space="preserve"> danych dotyczących migrantów i działaczy bez przeprowadzenia jakiejkolwiek oceny konieczności takiej wymiany informacji, wzywa zarówno Europol, jak i </w:t>
      </w:r>
      <w:proofErr w:type="spellStart"/>
      <w:r>
        <w:t>Frontex</w:t>
      </w:r>
      <w:proofErr w:type="spellEnd"/>
      <w:r>
        <w:t>, do ścisłej współpracy z EIOD w celu zapewnienia, aby wszelka wymiana danych osobowych osób podejrzanych o przestępstwa transgraniczne była zgodna z obowiązującymi przepisami o ochronie danych i odpowiednimi uprawnieniami agencji, tak aby j</w:t>
      </w:r>
      <w:r>
        <w:t xml:space="preserve">ednocześnie mogły one właściwie prowadzić dochodzenia; odnotowuje w tym kontekście aktualne informacje przekazane przez Europol, z których wynika, że w latach 2020–2024 Europol przetwarzał dane średnio 260 osób podejrzanych rocznie na podstawie informacji otrzymanych od </w:t>
      </w:r>
      <w:proofErr w:type="spellStart"/>
      <w:r>
        <w:t>Fronteksu</w:t>
      </w:r>
      <w:proofErr w:type="spellEnd"/>
      <w:r>
        <w:t>;</w:t>
      </w:r>
    </w:p>
    <w:p w14:paraId="6BFB2B1B" w14:textId="77777777" w:rsidR="00932240" w:rsidRPr="0072494D" w:rsidRDefault="007269CE" w:rsidP="00932240">
      <w:pPr>
        <w:pStyle w:val="NormalHanging12a"/>
        <w:ind w:left="709" w:hanging="709"/>
        <w:rPr>
          <w:bCs/>
          <w:iCs/>
          <w:szCs w:val="24"/>
        </w:rPr>
      </w:pPr>
      <w:r>
        <w:t>66.</w:t>
      </w:r>
      <w:r>
        <w:tab/>
        <w:t>wyraża zaniepokojenie incydentem związanym z bezpieczeństwem, do którego doszło w Europolu, czyli zaginięciem administracyjnych akt personalnych kilku pracowników Europolu i kadry kierowniczej; wzywa agencję do wprowadzenia odpowiednich środków, aby zapobiec ponownemu wystąpieniu takich incydentów; zauważa, że na podstawie informacji przekazanych 9 kwietnia 2024 r. przez Europol Komisji Wolności Obywatelskich, Sprawiedliwości i Spraw Wewnętrznych ustalono, że za incydent nie była odpowiedzialna strona trze</w:t>
      </w:r>
      <w:r>
        <w:t>cia spoza Europolu, natomiast podjęto dodatkowe środki w celu podtrzymania odpowiedzialności za incydent i wzmocniono procedury, wskutek czego obecnie 98 % wszystkich akt osobowych jest przechowywanych w wersji cyfrowej;</w:t>
      </w:r>
    </w:p>
    <w:p w14:paraId="1DB19FC6" w14:textId="77777777" w:rsidR="00932240" w:rsidRPr="0072494D" w:rsidRDefault="007269CE" w:rsidP="00932240">
      <w:pPr>
        <w:pStyle w:val="NormalHanging12a"/>
        <w:ind w:left="709" w:hanging="709"/>
        <w:rPr>
          <w:szCs w:val="24"/>
        </w:rPr>
      </w:pPr>
      <w:r>
        <w:t>67.</w:t>
      </w:r>
      <w:r>
        <w:tab/>
        <w:t>pochwala Europol za sprawozdanie pt. „</w:t>
      </w:r>
      <w:proofErr w:type="spellStart"/>
      <w:r>
        <w:t>Decoding</w:t>
      </w:r>
      <w:proofErr w:type="spellEnd"/>
      <w:r>
        <w:t xml:space="preserve"> </w:t>
      </w:r>
      <w:proofErr w:type="spellStart"/>
      <w:r>
        <w:t>EU’s</w:t>
      </w:r>
      <w:proofErr w:type="spellEnd"/>
      <w:r>
        <w:t xml:space="preserve"> most </w:t>
      </w:r>
      <w:proofErr w:type="spellStart"/>
      <w:r>
        <w:t>threatening</w:t>
      </w:r>
      <w:proofErr w:type="spellEnd"/>
      <w:r>
        <w:t xml:space="preserve"> </w:t>
      </w:r>
      <w:proofErr w:type="spellStart"/>
      <w:r>
        <w:t>criminal</w:t>
      </w:r>
      <w:proofErr w:type="spellEnd"/>
      <w:r>
        <w:t xml:space="preserve"> networks” [Rozszyfrowanie najgroźniejszych siatek przestępczych w UE], które stanowi nową sztandarową publikację opisującą organizację najgroźniejszych siatek przestępczych, ich działalność przestępczą oraz sposób i miejsce ich działania; z zadowoleniem przyjmuje niedawne utworzenie operacyjnej grupy zadaniowej Europolu GRIMM, której celem jest przeciwdziałanie werbowaniu młodych ludzi do przestępczości zorganizowanej i zwalczani</w:t>
      </w:r>
      <w:r>
        <w:t>e pojawiającego się zjawiska „przemocy jako usługi”; zachęca Europol i państwa członkowskie, by powoływały kolejne specjalne operacyjne grupy zadaniowe, tak aby stawić czoła ewoluującym tendencjom w świecie przestępczym poprzez wzmocnioną współpracę transgraniczną, wymianę danych wywiadowczych i działania prewencyjne;</w:t>
      </w:r>
    </w:p>
    <w:p w14:paraId="424B373C" w14:textId="77777777" w:rsidR="00932240" w:rsidRPr="0072494D" w:rsidRDefault="007269CE" w:rsidP="00932240">
      <w:pPr>
        <w:pStyle w:val="NormalHanging12a"/>
        <w:ind w:left="709" w:hanging="709"/>
        <w:rPr>
          <w:bCs/>
          <w:iCs/>
          <w:szCs w:val="24"/>
        </w:rPr>
      </w:pPr>
      <w:r>
        <w:t>68.</w:t>
      </w:r>
      <w:r>
        <w:tab/>
        <w:t xml:space="preserve">z zadowoleniem przyjmuje wyniki przedstawione we wspólnym sprawozdaniu rocznym Europolu i </w:t>
      </w:r>
      <w:proofErr w:type="spellStart"/>
      <w:r>
        <w:t>Eurojustu</w:t>
      </w:r>
      <w:proofErr w:type="spellEnd"/>
      <w:r>
        <w:t xml:space="preserve"> za 2024 r.; szczegółowo opisano w nich udaną współpracę agencji w dziedzinie przestępczości zorganizowanej, przemytu migrantów, przestępstw finansowych i gospodarczych, cyberprzestępczości oraz terroryzmu, a także najpoważniejszych zbrodni wagi międzynarodowej; uważa, że wszystkie właściwe agencje UE – w tym Europol, </w:t>
      </w:r>
      <w:proofErr w:type="spellStart"/>
      <w:r>
        <w:t>Eurojust</w:t>
      </w:r>
      <w:proofErr w:type="spellEnd"/>
      <w:r>
        <w:t>, CEPOL, OLAF, EPPO i inne – powinny regularnie sporządzać wspólne sprawozdanie rocz</w:t>
      </w:r>
      <w:r>
        <w:t xml:space="preserve">ne, w którym przedstawią swoje skoordynowane działania, wspólne operacje i rezultaty współpracy między agencjami, tak aby zwiększyć przejrzystość i spójność oraz zwiększyć efekty wzajemnego uczenia się w całej unijnej strukturze wymiaru sprawiedliwości i spraw wewnętrznych; zauważa z zadowoleniem, że Europol i </w:t>
      </w:r>
      <w:proofErr w:type="spellStart"/>
      <w:r>
        <w:t>Eurojust</w:t>
      </w:r>
      <w:proofErr w:type="spellEnd"/>
      <w:r>
        <w:t xml:space="preserve"> kontynuowały współpracę i zwiększyły synergie, w tym poprzez zorganizowanie wspólnego posiedzenia Kolegium </w:t>
      </w:r>
      <w:proofErr w:type="spellStart"/>
      <w:r>
        <w:t>Eurojustu</w:t>
      </w:r>
      <w:proofErr w:type="spellEnd"/>
      <w:r>
        <w:t xml:space="preserve"> i zarządu Europolu pt. „</w:t>
      </w:r>
      <w:proofErr w:type="spellStart"/>
      <w:r>
        <w:t>Reflections</w:t>
      </w:r>
      <w:proofErr w:type="spellEnd"/>
      <w:r>
        <w:t xml:space="preserve"> on </w:t>
      </w:r>
      <w:proofErr w:type="spellStart"/>
      <w:r>
        <w:t>cooperation</w:t>
      </w:r>
      <w:proofErr w:type="spellEnd"/>
      <w:r>
        <w:t>” [Rozważania na temat w</w:t>
      </w:r>
      <w:r>
        <w:t xml:space="preserve">spółpracy], zwołanego 9 października 2024 r. w siedzibie głównej </w:t>
      </w:r>
      <w:proofErr w:type="spellStart"/>
      <w:r>
        <w:t>Eurojustu</w:t>
      </w:r>
      <w:proofErr w:type="spellEnd"/>
      <w:r>
        <w:t>;</w:t>
      </w:r>
    </w:p>
    <w:p w14:paraId="5A92DD80" w14:textId="77777777" w:rsidR="00932240" w:rsidRPr="0072494D" w:rsidRDefault="007269CE" w:rsidP="00932240">
      <w:pPr>
        <w:pStyle w:val="NormalHanging12a"/>
        <w:ind w:left="709" w:hanging="709"/>
      </w:pPr>
      <w:r>
        <w:t>69.</w:t>
      </w:r>
      <w:r>
        <w:tab/>
        <w:t xml:space="preserve">przyjmuje do wiadomości sprawozdanie agencji pt. „AI and </w:t>
      </w:r>
      <w:proofErr w:type="spellStart"/>
      <w:r>
        <w:t>policing</w:t>
      </w:r>
      <w:proofErr w:type="spellEnd"/>
      <w:r>
        <w:t xml:space="preserve"> – The </w:t>
      </w:r>
      <w:proofErr w:type="spellStart"/>
      <w:r>
        <w:t>benefits</w:t>
      </w:r>
      <w:proofErr w:type="spellEnd"/>
      <w:r>
        <w:t xml:space="preserve"> and </w:t>
      </w:r>
      <w:proofErr w:type="spellStart"/>
      <w:r>
        <w:t>challenges</w:t>
      </w:r>
      <w:proofErr w:type="spellEnd"/>
      <w:r>
        <w:t xml:space="preserve"> of </w:t>
      </w:r>
      <w:proofErr w:type="spellStart"/>
      <w:r>
        <w:t>artificial</w:t>
      </w:r>
      <w:proofErr w:type="spellEnd"/>
      <w:r>
        <w:t xml:space="preserve"> </w:t>
      </w:r>
      <w:proofErr w:type="spellStart"/>
      <w:r>
        <w:t>intelligence</w:t>
      </w:r>
      <w:proofErr w:type="spellEnd"/>
      <w:r>
        <w:t xml:space="preserve"> for law </w:t>
      </w:r>
      <w:proofErr w:type="spellStart"/>
      <w:r>
        <w:t>enforcement</w:t>
      </w:r>
      <w:proofErr w:type="spellEnd"/>
      <w:r>
        <w:t>” [AI i policja – korzyści i wyzwania związane ze sztuczną inteligencją dla organów ścigania], opublikowane we wrześniu 2024 r.; z zadowoleniem przyjmuje również spostrzeżenia agencji na temat obecnych i przyszłych zdolności w zakresie AI, które wytyczają drogę ku wydajniejszemu, elastyczniejszemu i skuteczniejszemu modelowi egzekwowania prawa; jednocześnie podkreśla</w:t>
      </w:r>
      <w:r>
        <w:t xml:space="preserve"> obawy dotyczące stronniczości danych, sprawiedliwości i potencjalnych zagrożeń dla prywatności, rozliczalności, ochrony praw człowieka i dyskryminacji; wzywa Europol do pełnego przestrzegania przepisów aktu w sprawie sztucznej inteligencji dotyczących egzekwowania prawa; wzywa Europol do zapewnienia pełnego wdrożenia wytycznych EIOD w tym zakresie, w tym poprzez dopilnowanie, by wprowadzono solidne strategie nadzoru, które są stosowane i egzekwowane w odniesieniu do procesów opartych na AI, gwarantując, że</w:t>
      </w:r>
      <w:r>
        <w:t xml:space="preserve"> wszystkie wyniki generowane przez sztuczną inteligencję podlegają kontroli człowieka przed ich wykorzystaniem lub przekazaniem państwom członkowskim lub partnerom współpracującym;</w:t>
      </w:r>
    </w:p>
    <w:p w14:paraId="4F485622" w14:textId="77777777" w:rsidR="00932240" w:rsidRPr="00A05A63" w:rsidRDefault="007269CE" w:rsidP="00A05A63">
      <w:pPr>
        <w:pStyle w:val="NormalHanging12a"/>
        <w:ind w:left="709" w:hanging="709"/>
        <w:sectPr w:rsidR="00932240" w:rsidRPr="00A05A63" w:rsidSect="007467C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  <w:docGrid w:linePitch="326"/>
        </w:sectPr>
      </w:pPr>
      <w:r>
        <w:t>70.</w:t>
      </w:r>
      <w:r>
        <w:tab/>
        <w:t xml:space="preserve">odnotowuje wnioski z dochodzenia Europejskiego Rzecznika Praw Obywatelskich dotyczącego przeniesienia dwóch byłych pracowników na stanowiska związane ze zwalczaniem niegodziwego traktowania dzieci w celach seksualnych w </w:t>
      </w:r>
      <w:proofErr w:type="spellStart"/>
      <w:r>
        <w:t>internecie</w:t>
      </w:r>
      <w:proofErr w:type="spellEnd"/>
      <w:r>
        <w:t>; przypomina, że Rzecznik Praw Obywatelskich stwierdził, iż sposób, w jaki Europol przeniósł jednego z pracowników, stanowił niewłaściwe administrowanie;</w:t>
      </w:r>
    </w:p>
    <w:p w14:paraId="251D4001" w14:textId="77777777" w:rsidR="00A05A63" w:rsidRDefault="007269CE" w:rsidP="00A05A63">
      <w:pPr>
        <w:pStyle w:val="PageHeadingNotTOC"/>
      </w:pPr>
      <w:bookmarkStart w:id="3" w:name="ProcPageAD"/>
      <w:bookmarkEnd w:id="1"/>
      <w:r>
        <w:t>INFORMACJE O PRZYJĘCIU</w:t>
      </w:r>
      <w:r>
        <w:br/>
        <w:t>PRZEZ KOMISJĘ OPINIODAWCZĄ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425710" w14:paraId="0A63EDA0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E2D1E2F" w14:textId="77777777" w:rsidR="00A05A63" w:rsidRDefault="007269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Data przyjęcia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3EBD747" w14:textId="77777777" w:rsidR="00A05A63" w:rsidRDefault="007269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3.12.2025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9AE8F58" w14:textId="77777777" w:rsidR="00A05A63" w:rsidRDefault="00A05A63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58BDE08F" w14:textId="77777777" w:rsidR="00A05A63" w:rsidRDefault="00A05A63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75CB3A1" w14:textId="77777777" w:rsidR="00A05A63" w:rsidRDefault="00A05A63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</w:rPr>
            </w:pPr>
          </w:p>
        </w:tc>
      </w:tr>
      <w:tr w:rsidR="00425710" w14:paraId="72D2656C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369FC733" w14:textId="77777777" w:rsidR="00A05A63" w:rsidRDefault="007269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Wynik głosowania końcowego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2AA9D296" w14:textId="77777777" w:rsidR="00A05A63" w:rsidRDefault="007269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14:paraId="50007CEA" w14:textId="77777777" w:rsidR="00A05A63" w:rsidRDefault="007269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14:paraId="3DC4EE3B" w14:textId="77777777" w:rsidR="00A05A63" w:rsidRDefault="007269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6F42360" w14:textId="77777777" w:rsidR="00A05A63" w:rsidRDefault="007269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48</w:t>
            </w:r>
          </w:p>
          <w:p w14:paraId="1EFE00D4" w14:textId="77777777" w:rsidR="00A05A63" w:rsidRDefault="007269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14</w:t>
            </w:r>
          </w:p>
          <w:p w14:paraId="11728E86" w14:textId="77777777" w:rsidR="00A05A63" w:rsidRDefault="007269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9</w:t>
            </w:r>
          </w:p>
        </w:tc>
      </w:tr>
      <w:tr w:rsidR="00425710" w14:paraId="28BD95EC" w14:textId="77777777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C89C9A9" w14:textId="77777777" w:rsidR="00A05A63" w:rsidRDefault="007269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Posłowie obecni podczas głosowania końcowego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1D0A21C0" w14:textId="77777777" w:rsidR="00A05A63" w:rsidRDefault="007269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Magdalena Adamowicz, </w:t>
            </w:r>
            <w:proofErr w:type="spellStart"/>
            <w:r>
              <w:rPr>
                <w:color w:val="000000"/>
                <w:sz w:val="20"/>
              </w:rPr>
              <w:t>Abir</w:t>
            </w:r>
            <w:proofErr w:type="spellEnd"/>
            <w:r>
              <w:rPr>
                <w:color w:val="000000"/>
                <w:sz w:val="20"/>
              </w:rPr>
              <w:t xml:space="preserve"> Al-</w:t>
            </w:r>
            <w:proofErr w:type="spellStart"/>
            <w:r>
              <w:rPr>
                <w:color w:val="000000"/>
                <w:sz w:val="20"/>
              </w:rPr>
              <w:t>Sahlani</w:t>
            </w:r>
            <w:proofErr w:type="spellEnd"/>
            <w:r>
              <w:rPr>
                <w:color w:val="000000"/>
                <w:sz w:val="20"/>
              </w:rPr>
              <w:t xml:space="preserve">, Giuseppe </w:t>
            </w:r>
            <w:proofErr w:type="spellStart"/>
            <w:r>
              <w:rPr>
                <w:color w:val="000000"/>
                <w:sz w:val="20"/>
              </w:rPr>
              <w:t>Antoci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Jaume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Asens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Llodrà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Pernando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Barrena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Arza</w:t>
            </w:r>
            <w:proofErr w:type="spellEnd"/>
            <w:r>
              <w:rPr>
                <w:color w:val="000000"/>
                <w:sz w:val="20"/>
              </w:rPr>
              <w:t xml:space="preserve">, Nikola </w:t>
            </w:r>
            <w:proofErr w:type="spellStart"/>
            <w:r>
              <w:rPr>
                <w:color w:val="000000"/>
                <w:sz w:val="20"/>
              </w:rPr>
              <w:t>Bartůšek</w:t>
            </w:r>
            <w:proofErr w:type="spellEnd"/>
            <w:r>
              <w:rPr>
                <w:color w:val="000000"/>
                <w:sz w:val="20"/>
              </w:rPr>
              <w:t xml:space="preserve">, François-Xavier </w:t>
            </w:r>
            <w:proofErr w:type="spellStart"/>
            <w:r>
              <w:rPr>
                <w:color w:val="000000"/>
                <w:sz w:val="20"/>
              </w:rPr>
              <w:t>Bellamy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Ioan-Rareş</w:t>
            </w:r>
            <w:proofErr w:type="spellEnd"/>
            <w:r>
              <w:rPr>
                <w:color w:val="000000"/>
                <w:sz w:val="20"/>
              </w:rPr>
              <w:t xml:space="preserve"> Bogdan, </w:t>
            </w:r>
            <w:proofErr w:type="spellStart"/>
            <w:r>
              <w:rPr>
                <w:color w:val="000000"/>
                <w:sz w:val="20"/>
              </w:rPr>
              <w:t>Saskia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Bricmont</w:t>
            </w:r>
            <w:proofErr w:type="spellEnd"/>
            <w:r>
              <w:rPr>
                <w:color w:val="000000"/>
                <w:sz w:val="20"/>
              </w:rPr>
              <w:t xml:space="preserve">, Jaroslav </w:t>
            </w:r>
            <w:proofErr w:type="spellStart"/>
            <w:r>
              <w:rPr>
                <w:color w:val="000000"/>
                <w:sz w:val="20"/>
              </w:rPr>
              <w:t>Bžoch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Damien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Carême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Susanna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Ceccardi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Caterina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Chinnici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Veronika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Cifrová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Ostrihoňová</w:t>
            </w:r>
            <w:proofErr w:type="spellEnd"/>
            <w:r>
              <w:rPr>
                <w:color w:val="000000"/>
                <w:sz w:val="20"/>
              </w:rPr>
              <w:t xml:space="preserve">, Alessandro </w:t>
            </w:r>
            <w:proofErr w:type="spellStart"/>
            <w:r>
              <w:rPr>
                <w:color w:val="000000"/>
                <w:sz w:val="20"/>
              </w:rPr>
              <w:t>Ciriani</w:t>
            </w:r>
            <w:proofErr w:type="spellEnd"/>
            <w:r>
              <w:rPr>
                <w:color w:val="000000"/>
                <w:sz w:val="20"/>
              </w:rPr>
              <w:t xml:space="preserve">, Lena </w:t>
            </w:r>
            <w:proofErr w:type="spellStart"/>
            <w:r>
              <w:rPr>
                <w:color w:val="000000"/>
                <w:sz w:val="20"/>
              </w:rPr>
              <w:t>Düpont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Marieke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Ehlers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Estrella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Galán</w:t>
            </w:r>
            <w:proofErr w:type="spellEnd"/>
            <w:r>
              <w:rPr>
                <w:color w:val="000000"/>
                <w:sz w:val="20"/>
              </w:rPr>
              <w:t xml:space="preserve">, Raquel </w:t>
            </w:r>
            <w:proofErr w:type="spellStart"/>
            <w:r>
              <w:rPr>
                <w:color w:val="000000"/>
                <w:sz w:val="20"/>
              </w:rPr>
              <w:t>García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Hermida</w:t>
            </w:r>
            <w:proofErr w:type="spellEnd"/>
            <w:r>
              <w:rPr>
                <w:color w:val="000000"/>
                <w:sz w:val="20"/>
              </w:rPr>
              <w:t xml:space="preserve">-Van Der </w:t>
            </w:r>
            <w:proofErr w:type="spellStart"/>
            <w:r>
              <w:rPr>
                <w:color w:val="000000"/>
                <w:sz w:val="20"/>
              </w:rPr>
              <w:t>Walle</w:t>
            </w:r>
            <w:proofErr w:type="spellEnd"/>
            <w:r>
              <w:rPr>
                <w:color w:val="000000"/>
                <w:sz w:val="20"/>
              </w:rPr>
              <w:t xml:space="preserve">, Paolo </w:t>
            </w:r>
            <w:proofErr w:type="spellStart"/>
            <w:r>
              <w:rPr>
                <w:color w:val="000000"/>
                <w:sz w:val="20"/>
              </w:rPr>
              <w:t>Inselvini</w:t>
            </w:r>
            <w:proofErr w:type="spellEnd"/>
            <w:r>
              <w:rPr>
                <w:color w:val="000000"/>
                <w:sz w:val="20"/>
              </w:rPr>
              <w:t xml:space="preserve">, Irena </w:t>
            </w:r>
            <w:proofErr w:type="spellStart"/>
            <w:r>
              <w:rPr>
                <w:color w:val="000000"/>
                <w:sz w:val="20"/>
              </w:rPr>
              <w:t>Joveva</w:t>
            </w:r>
            <w:proofErr w:type="spellEnd"/>
            <w:r>
              <w:rPr>
                <w:color w:val="000000"/>
                <w:sz w:val="20"/>
              </w:rPr>
              <w:t xml:space="preserve">, Erik </w:t>
            </w:r>
            <w:proofErr w:type="spellStart"/>
            <w:r>
              <w:rPr>
                <w:color w:val="000000"/>
                <w:sz w:val="20"/>
              </w:rPr>
              <w:t>Kaliňák</w:t>
            </w:r>
            <w:proofErr w:type="spellEnd"/>
            <w:r>
              <w:rPr>
                <w:color w:val="000000"/>
                <w:sz w:val="20"/>
              </w:rPr>
              <w:t xml:space="preserve">, Marina </w:t>
            </w:r>
            <w:proofErr w:type="spellStart"/>
            <w:r>
              <w:rPr>
                <w:color w:val="000000"/>
                <w:sz w:val="20"/>
              </w:rPr>
              <w:t>Kaljurand</w:t>
            </w:r>
            <w:proofErr w:type="spellEnd"/>
            <w:r>
              <w:rPr>
                <w:color w:val="000000"/>
                <w:sz w:val="20"/>
              </w:rPr>
              <w:t xml:space="preserve">, Mariusz Kamiński, </w:t>
            </w:r>
            <w:proofErr w:type="spellStart"/>
            <w:r>
              <w:rPr>
                <w:color w:val="000000"/>
                <w:sz w:val="20"/>
              </w:rPr>
              <w:t>Fabienne</w:t>
            </w:r>
            <w:proofErr w:type="spellEnd"/>
            <w:r>
              <w:rPr>
                <w:color w:val="000000"/>
                <w:sz w:val="20"/>
              </w:rPr>
              <w:t xml:space="preserve"> Keller, Mary Khan, Alice </w:t>
            </w:r>
            <w:proofErr w:type="spellStart"/>
            <w:r>
              <w:rPr>
                <w:color w:val="000000"/>
                <w:sz w:val="20"/>
              </w:rPr>
              <w:t>Kuhnke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Murielle</w:t>
            </w:r>
            <w:proofErr w:type="spellEnd"/>
            <w:r>
              <w:rPr>
                <w:color w:val="000000"/>
                <w:sz w:val="20"/>
              </w:rPr>
              <w:t xml:space="preserve"> Laurent, </w:t>
            </w:r>
            <w:proofErr w:type="spellStart"/>
            <w:r>
              <w:rPr>
                <w:color w:val="000000"/>
                <w:sz w:val="20"/>
              </w:rPr>
              <w:t>Fabrice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Leggeri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Jeroen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Lenaers</w:t>
            </w:r>
            <w:proofErr w:type="spellEnd"/>
            <w:r>
              <w:rPr>
                <w:color w:val="000000"/>
                <w:sz w:val="20"/>
              </w:rPr>
              <w:t xml:space="preserve">, Lukas </w:t>
            </w:r>
            <w:proofErr w:type="spellStart"/>
            <w:r>
              <w:rPr>
                <w:color w:val="000000"/>
                <w:sz w:val="20"/>
              </w:rPr>
              <w:t>Mandl</w:t>
            </w:r>
            <w:proofErr w:type="spellEnd"/>
            <w:r>
              <w:rPr>
                <w:color w:val="000000"/>
                <w:sz w:val="20"/>
              </w:rPr>
              <w:t xml:space="preserve">, Michael </w:t>
            </w:r>
            <w:proofErr w:type="spellStart"/>
            <w:r>
              <w:rPr>
                <w:color w:val="000000"/>
                <w:sz w:val="20"/>
              </w:rPr>
              <w:t>Mc</w:t>
            </w:r>
            <w:r>
              <w:rPr>
                <w:color w:val="000000"/>
                <w:sz w:val="20"/>
              </w:rPr>
              <w:t>Namara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Ana</w:t>
            </w:r>
            <w:proofErr w:type="spellEnd"/>
            <w:r>
              <w:rPr>
                <w:color w:val="000000"/>
                <w:sz w:val="20"/>
              </w:rPr>
              <w:t xml:space="preserve"> Catarina </w:t>
            </w:r>
            <w:proofErr w:type="spellStart"/>
            <w:r>
              <w:rPr>
                <w:color w:val="000000"/>
                <w:sz w:val="20"/>
              </w:rPr>
              <w:t>Mendes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Verena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Mertens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Nadine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Morano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Matjaž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Nemec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Ana</w:t>
            </w:r>
            <w:proofErr w:type="spellEnd"/>
            <w:r>
              <w:rPr>
                <w:color w:val="000000"/>
                <w:sz w:val="20"/>
              </w:rPr>
              <w:t xml:space="preserve"> Miguel Pedro, </w:t>
            </w:r>
            <w:proofErr w:type="spellStart"/>
            <w:r>
              <w:rPr>
                <w:color w:val="000000"/>
                <w:sz w:val="20"/>
              </w:rPr>
              <w:t>Ilaria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Salis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Birgit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Sippel</w:t>
            </w:r>
            <w:proofErr w:type="spellEnd"/>
            <w:r>
              <w:rPr>
                <w:color w:val="000000"/>
                <w:sz w:val="20"/>
              </w:rPr>
              <w:t xml:space="preserve">, Krzysztof </w:t>
            </w:r>
            <w:proofErr w:type="spellStart"/>
            <w:r>
              <w:rPr>
                <w:color w:val="000000"/>
                <w:sz w:val="20"/>
              </w:rPr>
              <w:t>Śmiszek</w:t>
            </w:r>
            <w:proofErr w:type="spellEnd"/>
            <w:r>
              <w:rPr>
                <w:color w:val="000000"/>
                <w:sz w:val="20"/>
              </w:rPr>
              <w:t xml:space="preserve">, Petra </w:t>
            </w:r>
            <w:proofErr w:type="spellStart"/>
            <w:r>
              <w:rPr>
                <w:color w:val="000000"/>
                <w:sz w:val="20"/>
              </w:rPr>
              <w:t>Steger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Cecilia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Strada</w:t>
            </w:r>
            <w:proofErr w:type="spellEnd"/>
            <w:r>
              <w:rPr>
                <w:color w:val="000000"/>
                <w:sz w:val="20"/>
              </w:rPr>
              <w:t xml:space="preserve">, Alice </w:t>
            </w:r>
            <w:proofErr w:type="spellStart"/>
            <w:r>
              <w:rPr>
                <w:color w:val="000000"/>
                <w:sz w:val="20"/>
              </w:rPr>
              <w:t>Teodorescu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Måwe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Tomas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Tobé</w:t>
            </w:r>
            <w:proofErr w:type="spellEnd"/>
            <w:r>
              <w:rPr>
                <w:color w:val="000000"/>
                <w:sz w:val="20"/>
              </w:rPr>
              <w:t xml:space="preserve">, Milan </w:t>
            </w:r>
            <w:proofErr w:type="spellStart"/>
            <w:r>
              <w:rPr>
                <w:color w:val="000000"/>
                <w:sz w:val="20"/>
              </w:rPr>
              <w:t>Uhrík</w:t>
            </w:r>
            <w:proofErr w:type="spellEnd"/>
            <w:r>
              <w:rPr>
                <w:color w:val="000000"/>
                <w:sz w:val="20"/>
              </w:rPr>
              <w:t xml:space="preserve">, Tom </w:t>
            </w:r>
            <w:proofErr w:type="spellStart"/>
            <w:r>
              <w:rPr>
                <w:color w:val="000000"/>
                <w:sz w:val="20"/>
              </w:rPr>
              <w:t>Vandendriessche</w:t>
            </w:r>
            <w:proofErr w:type="spellEnd"/>
            <w:r>
              <w:rPr>
                <w:color w:val="000000"/>
                <w:sz w:val="20"/>
              </w:rPr>
              <w:t xml:space="preserve">, Kristian </w:t>
            </w:r>
            <w:proofErr w:type="spellStart"/>
            <w:r>
              <w:rPr>
                <w:color w:val="000000"/>
                <w:sz w:val="20"/>
              </w:rPr>
              <w:t>Vigenin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Elissavet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Vozemberg-Vrionidi</w:t>
            </w:r>
            <w:proofErr w:type="spellEnd"/>
            <w:r>
              <w:rPr>
                <w:color w:val="000000"/>
                <w:sz w:val="20"/>
              </w:rPr>
              <w:t xml:space="preserve">, Isabel </w:t>
            </w:r>
            <w:proofErr w:type="spellStart"/>
            <w:r>
              <w:rPr>
                <w:color w:val="000000"/>
                <w:sz w:val="20"/>
              </w:rPr>
              <w:t>Wiseler</w:t>
            </w:r>
            <w:proofErr w:type="spellEnd"/>
            <w:r>
              <w:rPr>
                <w:color w:val="000000"/>
                <w:sz w:val="20"/>
              </w:rPr>
              <w:t>-Lima, Ewa Zajączkowska-</w:t>
            </w:r>
            <w:proofErr w:type="spellStart"/>
            <w:r>
              <w:rPr>
                <w:color w:val="000000"/>
                <w:sz w:val="20"/>
              </w:rPr>
              <w:t>Hernik</w:t>
            </w:r>
            <w:proofErr w:type="spellEnd"/>
            <w:r>
              <w:rPr>
                <w:color w:val="000000"/>
                <w:sz w:val="20"/>
              </w:rPr>
              <w:t xml:space="preserve">, Alessandro Zan, Javier </w:t>
            </w:r>
            <w:proofErr w:type="spellStart"/>
            <w:r>
              <w:rPr>
                <w:color w:val="000000"/>
                <w:sz w:val="20"/>
              </w:rPr>
              <w:t>Zarzalejos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Tomáš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Zdechovský</w:t>
            </w:r>
            <w:proofErr w:type="spellEnd"/>
          </w:p>
        </w:tc>
      </w:tr>
      <w:tr w:rsidR="00425710" w14:paraId="43246081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0C2D4A0A" w14:textId="77777777" w:rsidR="00A05A63" w:rsidRDefault="007269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Zastępcy obecni podczas głosowania końcowego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407E2A2A" w14:textId="77777777" w:rsidR="00A05A63" w:rsidRDefault="007269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Katarina </w:t>
            </w:r>
            <w:proofErr w:type="spellStart"/>
            <w:r>
              <w:rPr>
                <w:color w:val="000000"/>
                <w:sz w:val="20"/>
              </w:rPr>
              <w:t>Barley</w:t>
            </w:r>
            <w:proofErr w:type="spellEnd"/>
            <w:r>
              <w:rPr>
                <w:color w:val="000000"/>
                <w:sz w:val="20"/>
              </w:rPr>
              <w:t xml:space="preserve">, Anna Maria </w:t>
            </w:r>
            <w:proofErr w:type="spellStart"/>
            <w:r>
              <w:rPr>
                <w:color w:val="000000"/>
                <w:sz w:val="20"/>
              </w:rPr>
              <w:t>Cisint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Markéta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Gregorová</w:t>
            </w:r>
            <w:proofErr w:type="spellEnd"/>
            <w:r>
              <w:rPr>
                <w:color w:val="000000"/>
                <w:sz w:val="20"/>
              </w:rPr>
              <w:t xml:space="preserve">, Monika </w:t>
            </w:r>
            <w:proofErr w:type="spellStart"/>
            <w:r>
              <w:rPr>
                <w:color w:val="000000"/>
                <w:sz w:val="20"/>
              </w:rPr>
              <w:t>Hohlmeier</w:t>
            </w:r>
            <w:proofErr w:type="spellEnd"/>
            <w:r>
              <w:rPr>
                <w:color w:val="000000"/>
                <w:sz w:val="20"/>
              </w:rPr>
              <w:t xml:space="preserve">, Nikola </w:t>
            </w:r>
            <w:proofErr w:type="spellStart"/>
            <w:r>
              <w:rPr>
                <w:color w:val="000000"/>
                <w:sz w:val="20"/>
              </w:rPr>
              <w:t>Minchev</w:t>
            </w:r>
            <w:proofErr w:type="spellEnd"/>
            <w:r>
              <w:rPr>
                <w:color w:val="000000"/>
                <w:sz w:val="20"/>
              </w:rPr>
              <w:t xml:space="preserve">, Javier Moreno </w:t>
            </w:r>
            <w:proofErr w:type="spellStart"/>
            <w:r>
              <w:rPr>
                <w:color w:val="000000"/>
                <w:sz w:val="20"/>
              </w:rPr>
              <w:t>Sánchez</w:t>
            </w:r>
            <w:proofErr w:type="spellEnd"/>
            <w:r>
              <w:rPr>
                <w:color w:val="000000"/>
                <w:sz w:val="20"/>
              </w:rPr>
              <w:t>, Jan-</w:t>
            </w:r>
            <w:proofErr w:type="spellStart"/>
            <w:r>
              <w:rPr>
                <w:color w:val="000000"/>
                <w:sz w:val="20"/>
              </w:rPr>
              <w:t>Christoph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Oetjen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Leoluca</w:t>
            </w:r>
            <w:proofErr w:type="spellEnd"/>
            <w:r>
              <w:rPr>
                <w:color w:val="000000"/>
                <w:sz w:val="20"/>
              </w:rPr>
              <w:t xml:space="preserve"> Orlando, Oliver Schenk, Sebastian </w:t>
            </w:r>
            <w:proofErr w:type="spellStart"/>
            <w:r>
              <w:rPr>
                <w:color w:val="000000"/>
                <w:sz w:val="20"/>
              </w:rPr>
              <w:t>Tynkkynen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Alexandre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Varaut</w:t>
            </w:r>
            <w:proofErr w:type="spellEnd"/>
            <w:r>
              <w:rPr>
                <w:color w:val="000000"/>
                <w:sz w:val="20"/>
              </w:rPr>
              <w:t>, Maciej Wąsik</w:t>
            </w:r>
          </w:p>
        </w:tc>
      </w:tr>
      <w:tr w:rsidR="00425710" w14:paraId="19CE353F" w14:textId="77777777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5970722" w14:textId="77777777" w:rsidR="00A05A63" w:rsidRDefault="007269C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Posłowie, o których mowa w art. 216 ust. 7 Regulaminu, obecni podczas głosowania końcowego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14:paraId="6DF98E1F" w14:textId="77777777" w:rsidR="00A05A63" w:rsidRDefault="007269C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Stefano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Cavedagna</w:t>
            </w:r>
            <w:proofErr w:type="spellEnd"/>
            <w:r>
              <w:rPr>
                <w:color w:val="000000"/>
                <w:sz w:val="20"/>
              </w:rPr>
              <w:t xml:space="preserve">, José </w:t>
            </w:r>
            <w:proofErr w:type="spellStart"/>
            <w:r>
              <w:rPr>
                <w:color w:val="000000"/>
                <w:sz w:val="20"/>
              </w:rPr>
              <w:t>Cepeda</w:t>
            </w:r>
            <w:proofErr w:type="spellEnd"/>
            <w:r>
              <w:rPr>
                <w:color w:val="000000"/>
                <w:sz w:val="20"/>
              </w:rPr>
              <w:t xml:space="preserve">, Pietro </w:t>
            </w:r>
            <w:proofErr w:type="spellStart"/>
            <w:r>
              <w:rPr>
                <w:color w:val="000000"/>
                <w:sz w:val="20"/>
              </w:rPr>
              <w:t>Fiocchi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Andrey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Kovatchev</w:t>
            </w:r>
            <w:proofErr w:type="spellEnd"/>
            <w:r>
              <w:rPr>
                <w:color w:val="000000"/>
                <w:sz w:val="20"/>
              </w:rPr>
              <w:t xml:space="preserve">, Marcos Ros </w:t>
            </w:r>
            <w:proofErr w:type="spellStart"/>
            <w:r>
              <w:rPr>
                <w:color w:val="000000"/>
                <w:sz w:val="20"/>
              </w:rPr>
              <w:t>Sempere</w:t>
            </w:r>
            <w:proofErr w:type="spellEnd"/>
            <w:r>
              <w:rPr>
                <w:color w:val="000000"/>
                <w:sz w:val="20"/>
              </w:rPr>
              <w:t xml:space="preserve">, Michał Szczerba, Catarina </w:t>
            </w:r>
            <w:proofErr w:type="spellStart"/>
            <w:r>
              <w:rPr>
                <w:color w:val="000000"/>
                <w:sz w:val="20"/>
              </w:rPr>
              <w:t>Vieira</w:t>
            </w:r>
            <w:proofErr w:type="spellEnd"/>
          </w:p>
        </w:tc>
      </w:tr>
    </w:tbl>
    <w:p w14:paraId="16DD80A4" w14:textId="77777777" w:rsidR="00A05A63" w:rsidRDefault="00A05A63"/>
    <w:bookmarkEnd w:id="3"/>
    <w:p w14:paraId="4A9CC362" w14:textId="77777777" w:rsidR="00932240" w:rsidRPr="007269CE" w:rsidRDefault="00932240" w:rsidP="00932240"/>
    <w:p w14:paraId="7B005C17" w14:textId="77777777" w:rsidR="00932240" w:rsidRPr="007269CE" w:rsidRDefault="00932240" w:rsidP="00932240">
      <w:pPr>
        <w:sectPr w:rsidR="00932240" w:rsidRPr="007269CE" w:rsidSect="00932240">
          <w:headerReference w:type="even" r:id="rId14"/>
          <w:headerReference w:type="default" r:id="rId15"/>
          <w:headerReference w:type="first" r:id="rId16"/>
          <w:footerReference w:type="first" r:id="rId17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57D9E839" w14:textId="77777777" w:rsidR="00932240" w:rsidRPr="0072494D" w:rsidRDefault="007269CE" w:rsidP="00932240">
      <w:pPr>
        <w:keepNext/>
        <w:jc w:val="center"/>
        <w:rPr>
          <w:rFonts w:ascii="Arial" w:hAnsi="Arial" w:cs="Arial"/>
          <w:b/>
          <w:noProof/>
        </w:rPr>
      </w:pPr>
      <w:r>
        <w:rPr>
          <w:rFonts w:ascii="Arial" w:hAnsi="Arial"/>
          <w:b/>
        </w:rPr>
        <w:t>GŁOSOWANIE KOŃCOWE W FORMIE GŁOSOWANIA IMIENNEGO</w:t>
      </w:r>
    </w:p>
    <w:p w14:paraId="5DAEB4F0" w14:textId="77777777" w:rsidR="00932240" w:rsidRPr="0072494D" w:rsidRDefault="007269CE" w:rsidP="00932240">
      <w:pPr>
        <w:keepNext/>
        <w:jc w:val="center"/>
        <w:rPr>
          <w:rFonts w:ascii="Arial" w:hAnsi="Arial" w:cs="Arial"/>
          <w:b/>
          <w:noProof/>
        </w:rPr>
      </w:pPr>
      <w:r>
        <w:rPr>
          <w:rFonts w:ascii="Arial" w:hAnsi="Arial"/>
          <w:b/>
        </w:rPr>
        <w:t>W KOMISJI OPINIODAWCZEJ</w:t>
      </w:r>
    </w:p>
    <w:p w14:paraId="12603A0D" w14:textId="77777777" w:rsidR="00932240" w:rsidRPr="0072494D" w:rsidRDefault="00932240" w:rsidP="00932240">
      <w:pPr>
        <w:keepNext/>
        <w:jc w:val="center"/>
        <w:rPr>
          <w:rFonts w:ascii="Arial" w:hAnsi="Arial" w:cs="Arial"/>
          <w:b/>
          <w:lang w:val="en-GB"/>
        </w:rPr>
      </w:pP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25710" w14:paraId="4139BA53" w14:textId="77777777" w:rsidTr="00221F41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109FB68E" w14:textId="77777777" w:rsidR="00932240" w:rsidRPr="002D28BF" w:rsidRDefault="007269CE" w:rsidP="00221F41">
            <w:pPr>
              <w:spacing w:before="120" w:after="120"/>
              <w:jc w:val="center"/>
              <w:rPr>
                <w:b/>
                <w:bCs/>
                <w:snapToGrid w:val="0"/>
                <w:sz w:val="16"/>
              </w:rPr>
            </w:pPr>
            <w:r>
              <w:rPr>
                <w:b/>
                <w:snapToGrid w:val="0"/>
                <w:sz w:val="16"/>
              </w:rPr>
              <w:t>48</w:t>
            </w:r>
          </w:p>
        </w:tc>
        <w:tc>
          <w:tcPr>
            <w:tcW w:w="7371" w:type="dxa"/>
            <w:shd w:val="pct10" w:color="000000" w:fill="FFFFFF"/>
          </w:tcPr>
          <w:p w14:paraId="5A2B110B" w14:textId="77777777" w:rsidR="00932240" w:rsidRPr="002D28BF" w:rsidRDefault="007269CE" w:rsidP="00221F41">
            <w:pPr>
              <w:spacing w:before="120" w:after="120"/>
              <w:jc w:val="center"/>
              <w:rPr>
                <w:rFonts w:ascii="Arial" w:hAnsi="Arial"/>
                <w:b/>
                <w:bCs/>
                <w:snapToGrid w:val="0"/>
                <w:sz w:val="28"/>
              </w:rPr>
            </w:pPr>
            <w:r>
              <w:rPr>
                <w:rFonts w:ascii="Arial" w:hAnsi="Arial"/>
                <w:b/>
                <w:snapToGrid w:val="0"/>
                <w:sz w:val="28"/>
              </w:rPr>
              <w:t>+</w:t>
            </w:r>
          </w:p>
        </w:tc>
      </w:tr>
      <w:tr w:rsidR="00425710" w14:paraId="795F3046" w14:textId="77777777" w:rsidTr="00221F41">
        <w:trPr>
          <w:cantSplit/>
        </w:trPr>
        <w:tc>
          <w:tcPr>
            <w:tcW w:w="1701" w:type="dxa"/>
            <w:shd w:val="clear" w:color="auto" w:fill="FFFFFF"/>
          </w:tcPr>
          <w:p w14:paraId="5EADC822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PPE</w:t>
            </w:r>
          </w:p>
        </w:tc>
        <w:tc>
          <w:tcPr>
            <w:tcW w:w="7371" w:type="dxa"/>
            <w:shd w:val="clear" w:color="auto" w:fill="FFFFFF"/>
          </w:tcPr>
          <w:p w14:paraId="4BE3B337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 xml:space="preserve">Magdalena Adamowicz, François-Xavier </w:t>
            </w:r>
            <w:proofErr w:type="spellStart"/>
            <w:r>
              <w:rPr>
                <w:snapToGrid w:val="0"/>
                <w:sz w:val="16"/>
              </w:rPr>
              <w:t>Bellamy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Ioan-Rareş</w:t>
            </w:r>
            <w:proofErr w:type="spellEnd"/>
            <w:r>
              <w:rPr>
                <w:snapToGrid w:val="0"/>
                <w:sz w:val="16"/>
              </w:rPr>
              <w:t xml:space="preserve"> Bogdan, </w:t>
            </w:r>
            <w:proofErr w:type="spellStart"/>
            <w:r>
              <w:rPr>
                <w:snapToGrid w:val="0"/>
                <w:sz w:val="16"/>
              </w:rPr>
              <w:t>Caterina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Chinnici</w:t>
            </w:r>
            <w:proofErr w:type="spellEnd"/>
            <w:r>
              <w:rPr>
                <w:snapToGrid w:val="0"/>
                <w:sz w:val="16"/>
              </w:rPr>
              <w:t xml:space="preserve">, Lena </w:t>
            </w:r>
            <w:proofErr w:type="spellStart"/>
            <w:r>
              <w:rPr>
                <w:snapToGrid w:val="0"/>
                <w:sz w:val="16"/>
              </w:rPr>
              <w:t>Düpont</w:t>
            </w:r>
            <w:proofErr w:type="spellEnd"/>
            <w:r>
              <w:rPr>
                <w:snapToGrid w:val="0"/>
                <w:sz w:val="16"/>
              </w:rPr>
              <w:t xml:space="preserve">, Monika </w:t>
            </w:r>
            <w:proofErr w:type="spellStart"/>
            <w:r>
              <w:rPr>
                <w:snapToGrid w:val="0"/>
                <w:sz w:val="16"/>
              </w:rPr>
              <w:t>Hohlmeier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Andrey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Kovatchev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Jeroen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Lenaers</w:t>
            </w:r>
            <w:proofErr w:type="spellEnd"/>
            <w:r>
              <w:rPr>
                <w:snapToGrid w:val="0"/>
                <w:sz w:val="16"/>
              </w:rPr>
              <w:t xml:space="preserve">, Lukas </w:t>
            </w:r>
            <w:proofErr w:type="spellStart"/>
            <w:r>
              <w:rPr>
                <w:snapToGrid w:val="0"/>
                <w:sz w:val="16"/>
              </w:rPr>
              <w:t>Mandl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Verena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Mertens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Nadine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Morano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Ana</w:t>
            </w:r>
            <w:proofErr w:type="spellEnd"/>
            <w:r>
              <w:rPr>
                <w:snapToGrid w:val="0"/>
                <w:sz w:val="16"/>
              </w:rPr>
              <w:t xml:space="preserve"> Miguel Pedro, Oliver Schenk, Michał Szczerba, Alice </w:t>
            </w:r>
            <w:proofErr w:type="spellStart"/>
            <w:r>
              <w:rPr>
                <w:snapToGrid w:val="0"/>
                <w:sz w:val="16"/>
              </w:rPr>
              <w:t>Teodorescu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Måwe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Tomas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Tobé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Elissavet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Vozemberg-Vrionidi</w:t>
            </w:r>
            <w:proofErr w:type="spellEnd"/>
            <w:r>
              <w:rPr>
                <w:snapToGrid w:val="0"/>
                <w:sz w:val="16"/>
              </w:rPr>
              <w:t xml:space="preserve">, Isabel </w:t>
            </w:r>
            <w:proofErr w:type="spellStart"/>
            <w:r>
              <w:rPr>
                <w:snapToGrid w:val="0"/>
                <w:sz w:val="16"/>
              </w:rPr>
              <w:t>Wiseler</w:t>
            </w:r>
            <w:proofErr w:type="spellEnd"/>
            <w:r>
              <w:rPr>
                <w:snapToGrid w:val="0"/>
                <w:sz w:val="16"/>
              </w:rPr>
              <w:t xml:space="preserve">-Lima, Javier </w:t>
            </w:r>
            <w:proofErr w:type="spellStart"/>
            <w:r>
              <w:rPr>
                <w:snapToGrid w:val="0"/>
                <w:sz w:val="16"/>
              </w:rPr>
              <w:t>Zarzalejos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Tomáš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Zdechovský</w:t>
            </w:r>
            <w:proofErr w:type="spellEnd"/>
          </w:p>
        </w:tc>
      </w:tr>
      <w:tr w:rsidR="00425710" w14:paraId="44AAC4D1" w14:textId="77777777" w:rsidTr="00221F41">
        <w:trPr>
          <w:cantSplit/>
        </w:trPr>
        <w:tc>
          <w:tcPr>
            <w:tcW w:w="1701" w:type="dxa"/>
            <w:shd w:val="clear" w:color="auto" w:fill="FFFFFF"/>
          </w:tcPr>
          <w:p w14:paraId="53CBF1D4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proofErr w:type="spellStart"/>
            <w:r>
              <w:rPr>
                <w:snapToGrid w:val="0"/>
                <w:sz w:val="16"/>
              </w:rPr>
              <w:t>PfE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52092A5B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 xml:space="preserve">Tom </w:t>
            </w:r>
            <w:proofErr w:type="spellStart"/>
            <w:r>
              <w:rPr>
                <w:snapToGrid w:val="0"/>
                <w:sz w:val="16"/>
              </w:rPr>
              <w:t>Vandendriessche</w:t>
            </w:r>
            <w:proofErr w:type="spellEnd"/>
          </w:p>
        </w:tc>
      </w:tr>
      <w:tr w:rsidR="00425710" w14:paraId="36C5661D" w14:textId="77777777" w:rsidTr="00221F41">
        <w:trPr>
          <w:cantSplit/>
        </w:trPr>
        <w:tc>
          <w:tcPr>
            <w:tcW w:w="1701" w:type="dxa"/>
            <w:shd w:val="clear" w:color="auto" w:fill="FFFFFF"/>
          </w:tcPr>
          <w:p w14:paraId="664D6502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proofErr w:type="spellStart"/>
            <w:r>
              <w:rPr>
                <w:snapToGrid w:val="0"/>
                <w:sz w:val="16"/>
              </w:rPr>
              <w:t>Renew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4228EAD3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proofErr w:type="spellStart"/>
            <w:r>
              <w:rPr>
                <w:snapToGrid w:val="0"/>
                <w:sz w:val="16"/>
              </w:rPr>
              <w:t>Abir</w:t>
            </w:r>
            <w:proofErr w:type="spellEnd"/>
            <w:r>
              <w:rPr>
                <w:snapToGrid w:val="0"/>
                <w:sz w:val="16"/>
              </w:rPr>
              <w:t xml:space="preserve"> Al-</w:t>
            </w:r>
            <w:proofErr w:type="spellStart"/>
            <w:r>
              <w:rPr>
                <w:snapToGrid w:val="0"/>
                <w:sz w:val="16"/>
              </w:rPr>
              <w:t>Sahlani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Veronika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Cifrová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Ostrihoňová</w:t>
            </w:r>
            <w:proofErr w:type="spellEnd"/>
            <w:r>
              <w:rPr>
                <w:snapToGrid w:val="0"/>
                <w:sz w:val="16"/>
              </w:rPr>
              <w:t xml:space="preserve">, Raquel </w:t>
            </w:r>
            <w:proofErr w:type="spellStart"/>
            <w:r>
              <w:rPr>
                <w:snapToGrid w:val="0"/>
                <w:sz w:val="16"/>
              </w:rPr>
              <w:t>García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Hermida</w:t>
            </w:r>
            <w:proofErr w:type="spellEnd"/>
            <w:r>
              <w:rPr>
                <w:snapToGrid w:val="0"/>
                <w:sz w:val="16"/>
              </w:rPr>
              <w:t xml:space="preserve">-Van Der </w:t>
            </w:r>
            <w:proofErr w:type="spellStart"/>
            <w:r>
              <w:rPr>
                <w:snapToGrid w:val="0"/>
                <w:sz w:val="16"/>
              </w:rPr>
              <w:t>Walle</w:t>
            </w:r>
            <w:proofErr w:type="spellEnd"/>
            <w:r>
              <w:rPr>
                <w:snapToGrid w:val="0"/>
                <w:sz w:val="16"/>
              </w:rPr>
              <w:t xml:space="preserve">, Irena </w:t>
            </w:r>
            <w:proofErr w:type="spellStart"/>
            <w:r>
              <w:rPr>
                <w:snapToGrid w:val="0"/>
                <w:sz w:val="16"/>
              </w:rPr>
              <w:t>Joveva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Fabienne</w:t>
            </w:r>
            <w:proofErr w:type="spellEnd"/>
            <w:r>
              <w:rPr>
                <w:snapToGrid w:val="0"/>
                <w:sz w:val="16"/>
              </w:rPr>
              <w:t xml:space="preserve"> Keller, Michael </w:t>
            </w:r>
            <w:proofErr w:type="spellStart"/>
            <w:r>
              <w:rPr>
                <w:snapToGrid w:val="0"/>
                <w:sz w:val="16"/>
              </w:rPr>
              <w:t>McNamara</w:t>
            </w:r>
            <w:proofErr w:type="spellEnd"/>
            <w:r>
              <w:rPr>
                <w:snapToGrid w:val="0"/>
                <w:sz w:val="16"/>
              </w:rPr>
              <w:t xml:space="preserve">, Nikola </w:t>
            </w:r>
            <w:proofErr w:type="spellStart"/>
            <w:r>
              <w:rPr>
                <w:snapToGrid w:val="0"/>
                <w:sz w:val="16"/>
              </w:rPr>
              <w:t>Minchev</w:t>
            </w:r>
            <w:proofErr w:type="spellEnd"/>
            <w:r>
              <w:rPr>
                <w:snapToGrid w:val="0"/>
                <w:sz w:val="16"/>
              </w:rPr>
              <w:t>, Jan-</w:t>
            </w:r>
            <w:proofErr w:type="spellStart"/>
            <w:r>
              <w:rPr>
                <w:snapToGrid w:val="0"/>
                <w:sz w:val="16"/>
              </w:rPr>
              <w:t>Christoph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Oetjen</w:t>
            </w:r>
            <w:proofErr w:type="spellEnd"/>
          </w:p>
        </w:tc>
      </w:tr>
      <w:tr w:rsidR="00425710" w14:paraId="0C7FD8E9" w14:textId="77777777" w:rsidTr="00221F41">
        <w:trPr>
          <w:cantSplit/>
        </w:trPr>
        <w:tc>
          <w:tcPr>
            <w:tcW w:w="1701" w:type="dxa"/>
            <w:shd w:val="clear" w:color="auto" w:fill="FFFFFF"/>
          </w:tcPr>
          <w:p w14:paraId="4DEB289F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S&amp;D</w:t>
            </w:r>
          </w:p>
        </w:tc>
        <w:tc>
          <w:tcPr>
            <w:tcW w:w="7371" w:type="dxa"/>
            <w:shd w:val="clear" w:color="auto" w:fill="FFFFFF"/>
          </w:tcPr>
          <w:p w14:paraId="51823D8B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 xml:space="preserve">Katarina </w:t>
            </w:r>
            <w:proofErr w:type="spellStart"/>
            <w:r>
              <w:rPr>
                <w:snapToGrid w:val="0"/>
                <w:sz w:val="16"/>
              </w:rPr>
              <w:t>Barley</w:t>
            </w:r>
            <w:proofErr w:type="spellEnd"/>
            <w:r>
              <w:rPr>
                <w:snapToGrid w:val="0"/>
                <w:sz w:val="16"/>
              </w:rPr>
              <w:t xml:space="preserve">, José </w:t>
            </w:r>
            <w:proofErr w:type="spellStart"/>
            <w:r>
              <w:rPr>
                <w:snapToGrid w:val="0"/>
                <w:sz w:val="16"/>
              </w:rPr>
              <w:t>Cepeda</w:t>
            </w:r>
            <w:proofErr w:type="spellEnd"/>
            <w:r>
              <w:rPr>
                <w:snapToGrid w:val="0"/>
                <w:sz w:val="16"/>
              </w:rPr>
              <w:t xml:space="preserve">, Marina </w:t>
            </w:r>
            <w:proofErr w:type="spellStart"/>
            <w:r>
              <w:rPr>
                <w:snapToGrid w:val="0"/>
                <w:sz w:val="16"/>
              </w:rPr>
              <w:t>Kaljurand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Murielle</w:t>
            </w:r>
            <w:proofErr w:type="spellEnd"/>
            <w:r>
              <w:rPr>
                <w:snapToGrid w:val="0"/>
                <w:sz w:val="16"/>
              </w:rPr>
              <w:t xml:space="preserve"> Laurent, </w:t>
            </w:r>
            <w:proofErr w:type="spellStart"/>
            <w:r>
              <w:rPr>
                <w:snapToGrid w:val="0"/>
                <w:sz w:val="16"/>
              </w:rPr>
              <w:t>Ana</w:t>
            </w:r>
            <w:proofErr w:type="spellEnd"/>
            <w:r>
              <w:rPr>
                <w:snapToGrid w:val="0"/>
                <w:sz w:val="16"/>
              </w:rPr>
              <w:t xml:space="preserve"> Catarina </w:t>
            </w:r>
            <w:proofErr w:type="spellStart"/>
            <w:r>
              <w:rPr>
                <w:snapToGrid w:val="0"/>
                <w:sz w:val="16"/>
              </w:rPr>
              <w:t>Mendes</w:t>
            </w:r>
            <w:proofErr w:type="spellEnd"/>
            <w:r>
              <w:rPr>
                <w:snapToGrid w:val="0"/>
                <w:sz w:val="16"/>
              </w:rPr>
              <w:t xml:space="preserve">, Javier Moreno </w:t>
            </w:r>
            <w:proofErr w:type="spellStart"/>
            <w:r>
              <w:rPr>
                <w:snapToGrid w:val="0"/>
                <w:sz w:val="16"/>
              </w:rPr>
              <w:t>Sánchez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Matjaž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Nemec</w:t>
            </w:r>
            <w:proofErr w:type="spellEnd"/>
            <w:r>
              <w:rPr>
                <w:snapToGrid w:val="0"/>
                <w:sz w:val="16"/>
              </w:rPr>
              <w:t xml:space="preserve">, Marcos Ros </w:t>
            </w:r>
            <w:proofErr w:type="spellStart"/>
            <w:r>
              <w:rPr>
                <w:snapToGrid w:val="0"/>
                <w:sz w:val="16"/>
              </w:rPr>
              <w:t>Sempere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Birgit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Sippel</w:t>
            </w:r>
            <w:proofErr w:type="spellEnd"/>
            <w:r>
              <w:rPr>
                <w:snapToGrid w:val="0"/>
                <w:sz w:val="16"/>
              </w:rPr>
              <w:t xml:space="preserve">, Krzysztof </w:t>
            </w:r>
            <w:proofErr w:type="spellStart"/>
            <w:r>
              <w:rPr>
                <w:snapToGrid w:val="0"/>
                <w:sz w:val="16"/>
              </w:rPr>
              <w:t>Śmiszek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Cecilia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Strada</w:t>
            </w:r>
            <w:proofErr w:type="spellEnd"/>
            <w:r>
              <w:rPr>
                <w:snapToGrid w:val="0"/>
                <w:sz w:val="16"/>
              </w:rPr>
              <w:t xml:space="preserve">, Kristian </w:t>
            </w:r>
            <w:proofErr w:type="spellStart"/>
            <w:r>
              <w:rPr>
                <w:snapToGrid w:val="0"/>
                <w:sz w:val="16"/>
              </w:rPr>
              <w:t>Vigenin</w:t>
            </w:r>
            <w:proofErr w:type="spellEnd"/>
            <w:r>
              <w:rPr>
                <w:snapToGrid w:val="0"/>
                <w:sz w:val="16"/>
              </w:rPr>
              <w:t>, Alessandro Zan</w:t>
            </w:r>
          </w:p>
        </w:tc>
      </w:tr>
      <w:tr w:rsidR="00425710" w14:paraId="3E0C348A" w14:textId="77777777" w:rsidTr="00221F41">
        <w:trPr>
          <w:cantSplit/>
        </w:trPr>
        <w:tc>
          <w:tcPr>
            <w:tcW w:w="1701" w:type="dxa"/>
            <w:shd w:val="clear" w:color="auto" w:fill="FFFFFF"/>
          </w:tcPr>
          <w:p w14:paraId="1FB12D33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proofErr w:type="spellStart"/>
            <w:r>
              <w:rPr>
                <w:snapToGrid w:val="0"/>
                <w:sz w:val="16"/>
              </w:rPr>
              <w:t>Verts</w:t>
            </w:r>
            <w:proofErr w:type="spellEnd"/>
            <w:r>
              <w:rPr>
                <w:snapToGrid w:val="0"/>
                <w:sz w:val="16"/>
              </w:rPr>
              <w:t>/ALE</w:t>
            </w:r>
          </w:p>
        </w:tc>
        <w:tc>
          <w:tcPr>
            <w:tcW w:w="7371" w:type="dxa"/>
            <w:shd w:val="clear" w:color="auto" w:fill="FFFFFF"/>
          </w:tcPr>
          <w:p w14:paraId="6B1FCD19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proofErr w:type="spellStart"/>
            <w:r>
              <w:rPr>
                <w:snapToGrid w:val="0"/>
                <w:sz w:val="16"/>
              </w:rPr>
              <w:t>Jaume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Asens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Llodrà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Saskia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Bricmont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Markéta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Gregorová</w:t>
            </w:r>
            <w:proofErr w:type="spellEnd"/>
            <w:r>
              <w:rPr>
                <w:snapToGrid w:val="0"/>
                <w:sz w:val="16"/>
              </w:rPr>
              <w:t xml:space="preserve">, Alice </w:t>
            </w:r>
            <w:proofErr w:type="spellStart"/>
            <w:r>
              <w:rPr>
                <w:snapToGrid w:val="0"/>
                <w:sz w:val="16"/>
              </w:rPr>
              <w:t>Kuhnke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Leoluca</w:t>
            </w:r>
            <w:proofErr w:type="spellEnd"/>
            <w:r>
              <w:rPr>
                <w:snapToGrid w:val="0"/>
                <w:sz w:val="16"/>
              </w:rPr>
              <w:t xml:space="preserve"> Orlando, Catarina </w:t>
            </w:r>
            <w:proofErr w:type="spellStart"/>
            <w:r>
              <w:rPr>
                <w:snapToGrid w:val="0"/>
                <w:sz w:val="16"/>
              </w:rPr>
              <w:t>Vieira</w:t>
            </w:r>
            <w:proofErr w:type="spellEnd"/>
          </w:p>
        </w:tc>
      </w:tr>
    </w:tbl>
    <w:p w14:paraId="754860BB" w14:textId="77777777" w:rsidR="00932240" w:rsidRPr="002D28BF" w:rsidRDefault="00932240" w:rsidP="00932240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25710" w14:paraId="7075E11F" w14:textId="77777777" w:rsidTr="00221F41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74B3D486" w14:textId="77777777" w:rsidR="00932240" w:rsidRPr="002D28BF" w:rsidRDefault="007269CE" w:rsidP="00221F41">
            <w:pPr>
              <w:spacing w:before="120" w:after="120"/>
              <w:jc w:val="center"/>
              <w:rPr>
                <w:b/>
                <w:bCs/>
                <w:snapToGrid w:val="0"/>
                <w:sz w:val="16"/>
              </w:rPr>
            </w:pPr>
            <w:r>
              <w:rPr>
                <w:b/>
                <w:snapToGrid w:val="0"/>
                <w:sz w:val="16"/>
              </w:rPr>
              <w:t>14</w:t>
            </w:r>
          </w:p>
        </w:tc>
        <w:tc>
          <w:tcPr>
            <w:tcW w:w="7371" w:type="dxa"/>
            <w:shd w:val="pct10" w:color="000000" w:fill="FFFFFF"/>
          </w:tcPr>
          <w:p w14:paraId="31ED1CC8" w14:textId="77777777" w:rsidR="00932240" w:rsidRPr="002D28BF" w:rsidRDefault="007269CE" w:rsidP="00221F41">
            <w:pPr>
              <w:spacing w:before="120" w:after="120"/>
              <w:jc w:val="center"/>
              <w:rPr>
                <w:rFonts w:ascii="Arial" w:hAnsi="Arial"/>
                <w:b/>
                <w:bCs/>
                <w:snapToGrid w:val="0"/>
                <w:sz w:val="28"/>
              </w:rPr>
            </w:pPr>
            <w:r>
              <w:rPr>
                <w:rFonts w:ascii="Arial" w:hAnsi="Arial"/>
                <w:b/>
                <w:snapToGrid w:val="0"/>
                <w:sz w:val="28"/>
              </w:rPr>
              <w:t>-</w:t>
            </w:r>
          </w:p>
        </w:tc>
      </w:tr>
      <w:tr w:rsidR="00425710" w14:paraId="61265C69" w14:textId="77777777" w:rsidTr="00221F41">
        <w:trPr>
          <w:cantSplit/>
        </w:trPr>
        <w:tc>
          <w:tcPr>
            <w:tcW w:w="1701" w:type="dxa"/>
            <w:shd w:val="clear" w:color="auto" w:fill="FFFFFF"/>
          </w:tcPr>
          <w:p w14:paraId="754A5280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ECR</w:t>
            </w:r>
          </w:p>
        </w:tc>
        <w:tc>
          <w:tcPr>
            <w:tcW w:w="7371" w:type="dxa"/>
            <w:shd w:val="clear" w:color="auto" w:fill="FFFFFF"/>
          </w:tcPr>
          <w:p w14:paraId="3F4BFC99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 xml:space="preserve">Mariusz Kamiński, Sebastian </w:t>
            </w:r>
            <w:proofErr w:type="spellStart"/>
            <w:r>
              <w:rPr>
                <w:snapToGrid w:val="0"/>
                <w:sz w:val="16"/>
              </w:rPr>
              <w:t>Tynkkynen</w:t>
            </w:r>
            <w:proofErr w:type="spellEnd"/>
            <w:r>
              <w:rPr>
                <w:snapToGrid w:val="0"/>
                <w:sz w:val="16"/>
              </w:rPr>
              <w:t>, Maciej Wąsik</w:t>
            </w:r>
          </w:p>
        </w:tc>
      </w:tr>
      <w:tr w:rsidR="00425710" w14:paraId="0AE2D50C" w14:textId="77777777" w:rsidTr="00221F41">
        <w:trPr>
          <w:cantSplit/>
        </w:trPr>
        <w:tc>
          <w:tcPr>
            <w:tcW w:w="1701" w:type="dxa"/>
            <w:shd w:val="clear" w:color="auto" w:fill="FFFFFF"/>
          </w:tcPr>
          <w:p w14:paraId="17B41864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ESN</w:t>
            </w:r>
          </w:p>
        </w:tc>
        <w:tc>
          <w:tcPr>
            <w:tcW w:w="7371" w:type="dxa"/>
            <w:shd w:val="clear" w:color="auto" w:fill="FFFFFF"/>
          </w:tcPr>
          <w:p w14:paraId="73186B8C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 xml:space="preserve">Mary Khan, Milan </w:t>
            </w:r>
            <w:proofErr w:type="spellStart"/>
            <w:r>
              <w:rPr>
                <w:snapToGrid w:val="0"/>
                <w:sz w:val="16"/>
              </w:rPr>
              <w:t>Uhrík</w:t>
            </w:r>
            <w:proofErr w:type="spellEnd"/>
            <w:r>
              <w:rPr>
                <w:snapToGrid w:val="0"/>
                <w:sz w:val="16"/>
              </w:rPr>
              <w:t>, Ewa Zajączkowska-</w:t>
            </w:r>
            <w:proofErr w:type="spellStart"/>
            <w:r>
              <w:rPr>
                <w:snapToGrid w:val="0"/>
                <w:sz w:val="16"/>
              </w:rPr>
              <w:t>Hernik</w:t>
            </w:r>
            <w:proofErr w:type="spellEnd"/>
          </w:p>
        </w:tc>
      </w:tr>
      <w:tr w:rsidR="00425710" w14:paraId="652F0053" w14:textId="77777777" w:rsidTr="00221F41">
        <w:trPr>
          <w:cantSplit/>
        </w:trPr>
        <w:tc>
          <w:tcPr>
            <w:tcW w:w="1701" w:type="dxa"/>
            <w:shd w:val="clear" w:color="auto" w:fill="FFFFFF"/>
          </w:tcPr>
          <w:p w14:paraId="3B13D226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NI</w:t>
            </w:r>
          </w:p>
        </w:tc>
        <w:tc>
          <w:tcPr>
            <w:tcW w:w="7371" w:type="dxa"/>
            <w:shd w:val="clear" w:color="auto" w:fill="FFFFFF"/>
          </w:tcPr>
          <w:p w14:paraId="0271DCC4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 xml:space="preserve">Erik </w:t>
            </w:r>
            <w:proofErr w:type="spellStart"/>
            <w:r>
              <w:rPr>
                <w:snapToGrid w:val="0"/>
                <w:sz w:val="16"/>
              </w:rPr>
              <w:t>Kaliňák</w:t>
            </w:r>
            <w:proofErr w:type="spellEnd"/>
          </w:p>
        </w:tc>
      </w:tr>
      <w:tr w:rsidR="00425710" w14:paraId="647B81C1" w14:textId="77777777" w:rsidTr="00221F41">
        <w:trPr>
          <w:cantSplit/>
        </w:trPr>
        <w:tc>
          <w:tcPr>
            <w:tcW w:w="1701" w:type="dxa"/>
            <w:shd w:val="clear" w:color="auto" w:fill="FFFFFF"/>
          </w:tcPr>
          <w:p w14:paraId="572C680A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proofErr w:type="spellStart"/>
            <w:r>
              <w:rPr>
                <w:snapToGrid w:val="0"/>
                <w:sz w:val="16"/>
              </w:rPr>
              <w:t>PfE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5DA02A16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 xml:space="preserve">Nikola </w:t>
            </w:r>
            <w:proofErr w:type="spellStart"/>
            <w:r>
              <w:rPr>
                <w:snapToGrid w:val="0"/>
                <w:sz w:val="16"/>
              </w:rPr>
              <w:t>Bartůšek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Susanna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Ceccardi</w:t>
            </w:r>
            <w:proofErr w:type="spellEnd"/>
            <w:r>
              <w:rPr>
                <w:snapToGrid w:val="0"/>
                <w:sz w:val="16"/>
              </w:rPr>
              <w:t xml:space="preserve">, Anna Maria </w:t>
            </w:r>
            <w:proofErr w:type="spellStart"/>
            <w:r>
              <w:rPr>
                <w:snapToGrid w:val="0"/>
                <w:sz w:val="16"/>
              </w:rPr>
              <w:t>Cisint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Marieke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Ehlers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Fabrice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Leggeri</w:t>
            </w:r>
            <w:proofErr w:type="spellEnd"/>
            <w:r>
              <w:rPr>
                <w:snapToGrid w:val="0"/>
                <w:sz w:val="16"/>
              </w:rPr>
              <w:t xml:space="preserve">, Petra </w:t>
            </w:r>
            <w:proofErr w:type="spellStart"/>
            <w:r>
              <w:rPr>
                <w:snapToGrid w:val="0"/>
                <w:sz w:val="16"/>
              </w:rPr>
              <w:t>Steger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Alexandre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Varaut</w:t>
            </w:r>
            <w:proofErr w:type="spellEnd"/>
          </w:p>
        </w:tc>
      </w:tr>
    </w:tbl>
    <w:p w14:paraId="712DBB4D" w14:textId="77777777" w:rsidR="00932240" w:rsidRPr="002D28BF" w:rsidRDefault="00932240" w:rsidP="00932240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425710" w14:paraId="2260BC24" w14:textId="77777777" w:rsidTr="00221F41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14:paraId="02777249" w14:textId="77777777" w:rsidR="00932240" w:rsidRPr="002D28BF" w:rsidRDefault="007269CE" w:rsidP="00221F41">
            <w:pPr>
              <w:spacing w:before="120" w:after="120"/>
              <w:jc w:val="center"/>
              <w:rPr>
                <w:b/>
                <w:bCs/>
                <w:snapToGrid w:val="0"/>
                <w:sz w:val="16"/>
              </w:rPr>
            </w:pPr>
            <w:r>
              <w:rPr>
                <w:b/>
                <w:snapToGrid w:val="0"/>
                <w:sz w:val="16"/>
              </w:rPr>
              <w:t>9</w:t>
            </w:r>
          </w:p>
        </w:tc>
        <w:tc>
          <w:tcPr>
            <w:tcW w:w="7371" w:type="dxa"/>
            <w:shd w:val="pct10" w:color="000000" w:fill="FFFFFF"/>
          </w:tcPr>
          <w:p w14:paraId="3B6810FE" w14:textId="77777777" w:rsidR="00932240" w:rsidRPr="002D28BF" w:rsidRDefault="007269CE" w:rsidP="00221F41">
            <w:pPr>
              <w:spacing w:before="120" w:after="120"/>
              <w:jc w:val="center"/>
              <w:rPr>
                <w:rFonts w:ascii="Arial" w:hAnsi="Arial"/>
                <w:b/>
                <w:bCs/>
                <w:snapToGrid w:val="0"/>
                <w:sz w:val="28"/>
              </w:rPr>
            </w:pPr>
            <w:r>
              <w:rPr>
                <w:rFonts w:ascii="Arial" w:hAnsi="Arial"/>
                <w:b/>
                <w:snapToGrid w:val="0"/>
                <w:sz w:val="28"/>
              </w:rPr>
              <w:t>0</w:t>
            </w:r>
          </w:p>
        </w:tc>
      </w:tr>
      <w:tr w:rsidR="00425710" w:rsidRPr="007269CE" w14:paraId="6CDBF826" w14:textId="77777777" w:rsidTr="00221F41">
        <w:trPr>
          <w:cantSplit/>
        </w:trPr>
        <w:tc>
          <w:tcPr>
            <w:tcW w:w="1701" w:type="dxa"/>
            <w:shd w:val="clear" w:color="auto" w:fill="FFFFFF"/>
          </w:tcPr>
          <w:p w14:paraId="741E6FB7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>ECR</w:t>
            </w:r>
          </w:p>
        </w:tc>
        <w:tc>
          <w:tcPr>
            <w:tcW w:w="7371" w:type="dxa"/>
            <w:shd w:val="clear" w:color="auto" w:fill="FFFFFF"/>
          </w:tcPr>
          <w:p w14:paraId="4EB0B9FD" w14:textId="77777777" w:rsidR="00932240" w:rsidRPr="007269CE" w:rsidRDefault="007269CE" w:rsidP="00221F41">
            <w:pPr>
              <w:spacing w:before="120" w:after="120"/>
              <w:rPr>
                <w:snapToGrid w:val="0"/>
                <w:sz w:val="16"/>
                <w:lang w:val="it-IT"/>
              </w:rPr>
            </w:pPr>
            <w:r w:rsidRPr="007269CE">
              <w:rPr>
                <w:snapToGrid w:val="0"/>
                <w:sz w:val="16"/>
                <w:lang w:val="it-IT"/>
              </w:rPr>
              <w:t>Stefano Cavedagna, Alessandro Ciriani, Pietro Fiocchi, Paolo Inselvini</w:t>
            </w:r>
          </w:p>
        </w:tc>
      </w:tr>
      <w:tr w:rsidR="00425710" w14:paraId="3CB25578" w14:textId="77777777" w:rsidTr="00221F41">
        <w:trPr>
          <w:cantSplit/>
        </w:trPr>
        <w:tc>
          <w:tcPr>
            <w:tcW w:w="1701" w:type="dxa"/>
            <w:shd w:val="clear" w:color="auto" w:fill="FFFFFF"/>
          </w:tcPr>
          <w:p w14:paraId="4DCBB075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proofErr w:type="spellStart"/>
            <w:r>
              <w:rPr>
                <w:snapToGrid w:val="0"/>
                <w:sz w:val="16"/>
              </w:rPr>
              <w:t>PfE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1A3D4CA7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 xml:space="preserve">Jaroslav </w:t>
            </w:r>
            <w:proofErr w:type="spellStart"/>
            <w:r>
              <w:rPr>
                <w:snapToGrid w:val="0"/>
                <w:sz w:val="16"/>
              </w:rPr>
              <w:t>Bžoch</w:t>
            </w:r>
            <w:proofErr w:type="spellEnd"/>
          </w:p>
        </w:tc>
      </w:tr>
      <w:tr w:rsidR="00425710" w14:paraId="77C6007F" w14:textId="77777777" w:rsidTr="00221F41">
        <w:trPr>
          <w:cantSplit/>
        </w:trPr>
        <w:tc>
          <w:tcPr>
            <w:tcW w:w="1701" w:type="dxa"/>
            <w:shd w:val="clear" w:color="auto" w:fill="FFFFFF"/>
          </w:tcPr>
          <w:p w14:paraId="2085BC48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r>
              <w:rPr>
                <w:snapToGrid w:val="0"/>
                <w:sz w:val="16"/>
              </w:rPr>
              <w:t xml:space="preserve">The </w:t>
            </w:r>
            <w:proofErr w:type="spellStart"/>
            <w:r>
              <w:rPr>
                <w:snapToGrid w:val="0"/>
                <w:sz w:val="16"/>
              </w:rPr>
              <w:t>Left</w:t>
            </w:r>
            <w:proofErr w:type="spellEnd"/>
          </w:p>
        </w:tc>
        <w:tc>
          <w:tcPr>
            <w:tcW w:w="7371" w:type="dxa"/>
            <w:shd w:val="clear" w:color="auto" w:fill="FFFFFF"/>
          </w:tcPr>
          <w:p w14:paraId="4594C7E9" w14:textId="77777777" w:rsidR="00932240" w:rsidRPr="002D28BF" w:rsidRDefault="007269CE" w:rsidP="00221F41">
            <w:pPr>
              <w:spacing w:before="120" w:after="120"/>
              <w:rPr>
                <w:snapToGrid w:val="0"/>
                <w:sz w:val="16"/>
              </w:rPr>
            </w:pPr>
            <w:proofErr w:type="spellStart"/>
            <w:r>
              <w:rPr>
                <w:snapToGrid w:val="0"/>
                <w:sz w:val="16"/>
              </w:rPr>
              <w:t>Pernando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Barrena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Arza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Damien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Carême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Estrella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Galán</w:t>
            </w:r>
            <w:proofErr w:type="spellEnd"/>
            <w:r>
              <w:rPr>
                <w:snapToGrid w:val="0"/>
                <w:sz w:val="16"/>
              </w:rPr>
              <w:t xml:space="preserve">, </w:t>
            </w:r>
            <w:proofErr w:type="spellStart"/>
            <w:r>
              <w:rPr>
                <w:snapToGrid w:val="0"/>
                <w:sz w:val="16"/>
              </w:rPr>
              <w:t>Ilaria</w:t>
            </w:r>
            <w:proofErr w:type="spellEnd"/>
            <w:r>
              <w:rPr>
                <w:snapToGrid w:val="0"/>
                <w:sz w:val="16"/>
              </w:rPr>
              <w:t xml:space="preserve"> </w:t>
            </w:r>
            <w:proofErr w:type="spellStart"/>
            <w:r>
              <w:rPr>
                <w:snapToGrid w:val="0"/>
                <w:sz w:val="16"/>
              </w:rPr>
              <w:t>Salis</w:t>
            </w:r>
            <w:proofErr w:type="spellEnd"/>
          </w:p>
        </w:tc>
      </w:tr>
    </w:tbl>
    <w:p w14:paraId="020DF397" w14:textId="77777777" w:rsidR="00932240" w:rsidRPr="002D28BF" w:rsidRDefault="00932240" w:rsidP="00932240">
      <w:pPr>
        <w:spacing w:after="240"/>
      </w:pPr>
    </w:p>
    <w:p w14:paraId="6C468740" w14:textId="77777777" w:rsidR="00932240" w:rsidRPr="002D28BF" w:rsidRDefault="007269CE" w:rsidP="00932240">
      <w:r>
        <w:t xml:space="preserve">Objaśnienie używanych </w:t>
      </w:r>
      <w:r>
        <w:t>znaków:</w:t>
      </w:r>
    </w:p>
    <w:p w14:paraId="68BF8036" w14:textId="77777777" w:rsidR="00932240" w:rsidRPr="002D28BF" w:rsidRDefault="007269CE" w:rsidP="00932240">
      <w:pPr>
        <w:tabs>
          <w:tab w:val="center" w:pos="284"/>
          <w:tab w:val="left" w:pos="426"/>
        </w:tabs>
        <w:rPr>
          <w:snapToGrid w:val="0"/>
        </w:rPr>
      </w:pPr>
      <w:r>
        <w:rPr>
          <w:snapToGrid w:val="0"/>
        </w:rPr>
        <w:t>+</w:t>
      </w:r>
      <w:r>
        <w:rPr>
          <w:snapToGrid w:val="0"/>
        </w:rPr>
        <w:tab/>
        <w:t>:</w:t>
      </w:r>
      <w:r>
        <w:rPr>
          <w:snapToGrid w:val="0"/>
        </w:rPr>
        <w:tab/>
        <w:t>za</w:t>
      </w:r>
    </w:p>
    <w:p w14:paraId="15A67FFF" w14:textId="77777777" w:rsidR="00932240" w:rsidRPr="002D28BF" w:rsidRDefault="007269CE" w:rsidP="00932240">
      <w:pPr>
        <w:tabs>
          <w:tab w:val="center" w:pos="284"/>
          <w:tab w:val="left" w:pos="426"/>
        </w:tabs>
        <w:rPr>
          <w:snapToGrid w:val="0"/>
        </w:rPr>
      </w:pPr>
      <w:r>
        <w:rPr>
          <w:snapToGrid w:val="0"/>
        </w:rPr>
        <w:t>-</w:t>
      </w:r>
      <w:r>
        <w:rPr>
          <w:snapToGrid w:val="0"/>
        </w:rPr>
        <w:tab/>
        <w:t>:</w:t>
      </w:r>
      <w:r>
        <w:rPr>
          <w:snapToGrid w:val="0"/>
        </w:rPr>
        <w:tab/>
        <w:t>przeciw</w:t>
      </w:r>
    </w:p>
    <w:p w14:paraId="2F890E16" w14:textId="77777777" w:rsidR="00932240" w:rsidRPr="002D28BF" w:rsidRDefault="007269CE" w:rsidP="00932240">
      <w:pPr>
        <w:tabs>
          <w:tab w:val="center" w:pos="284"/>
          <w:tab w:val="left" w:pos="426"/>
        </w:tabs>
        <w:rPr>
          <w:snapToGrid w:val="0"/>
        </w:rPr>
      </w:pPr>
      <w:r>
        <w:rPr>
          <w:snapToGrid w:val="0"/>
        </w:rPr>
        <w:t>0</w:t>
      </w:r>
      <w:r>
        <w:rPr>
          <w:snapToGrid w:val="0"/>
        </w:rPr>
        <w:tab/>
        <w:t>:</w:t>
      </w:r>
      <w:r>
        <w:rPr>
          <w:snapToGrid w:val="0"/>
        </w:rPr>
        <w:tab/>
        <w:t>wstrzymało się</w:t>
      </w:r>
    </w:p>
    <w:p w14:paraId="37EE4187" w14:textId="77777777" w:rsidR="00932240" w:rsidRPr="002D28BF" w:rsidRDefault="00932240" w:rsidP="00932240"/>
    <w:p w14:paraId="4A54A239" w14:textId="77777777" w:rsidR="002E2F2E" w:rsidRPr="002D28BF" w:rsidRDefault="002E2F2E" w:rsidP="00932240">
      <w:pPr>
        <w:pStyle w:val="PageHeadingNotTOC"/>
        <w:jc w:val="left"/>
      </w:pPr>
    </w:p>
    <w:sectPr w:rsidR="002E2F2E" w:rsidRPr="002D28BF" w:rsidSect="00932240">
      <w:headerReference w:type="even" r:id="rId18"/>
      <w:headerReference w:type="default" r:id="rId19"/>
      <w:headerReference w:type="first" r:id="rId20"/>
      <w:footerReference w:type="first" r:id="rId2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85837" w14:textId="77777777" w:rsidR="007269CE" w:rsidRDefault="007269CE">
      <w:r>
        <w:separator/>
      </w:r>
    </w:p>
  </w:endnote>
  <w:endnote w:type="continuationSeparator" w:id="0">
    <w:p w14:paraId="7A4AA222" w14:textId="77777777" w:rsidR="007269CE" w:rsidRDefault="007269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A1667" w14:textId="77777777" w:rsidR="007467C3" w:rsidRPr="002D28BF" w:rsidRDefault="007269CE" w:rsidP="007467C3">
    <w:pPr>
      <w:pStyle w:val="EPFooter"/>
    </w:pPr>
    <w:r w:rsidRPr="002D28BF">
      <w:t>PE</w:t>
    </w:r>
    <w:r w:rsidRPr="002D28BF">
      <w:rPr>
        <w:rStyle w:val="HideTWBExt"/>
      </w:rPr>
      <w:t>&lt;</w:t>
    </w:r>
    <w:proofErr w:type="spellStart"/>
    <w:r w:rsidRPr="002D28BF">
      <w:rPr>
        <w:rStyle w:val="HideTWBExt"/>
      </w:rPr>
      <w:t>NoPE</w:t>
    </w:r>
    <w:proofErr w:type="spellEnd"/>
    <w:r w:rsidRPr="002D28BF">
      <w:rPr>
        <w:rStyle w:val="HideTWBExt"/>
      </w:rPr>
      <w:t>&gt;</w:t>
    </w:r>
    <w:r w:rsidRPr="002D28BF">
      <w:t>778.227</w:t>
    </w:r>
    <w:r w:rsidRPr="002D28BF">
      <w:rPr>
        <w:rStyle w:val="HideTWBExt"/>
      </w:rPr>
      <w:t>&lt;/</w:t>
    </w:r>
    <w:proofErr w:type="spellStart"/>
    <w:r w:rsidRPr="002D28BF">
      <w:rPr>
        <w:rStyle w:val="HideTWBExt"/>
      </w:rPr>
      <w:t>NoPE</w:t>
    </w:r>
    <w:proofErr w:type="spellEnd"/>
    <w:r w:rsidRPr="002D28BF">
      <w:rPr>
        <w:rStyle w:val="HideTWBExt"/>
      </w:rPr>
      <w:t>&gt;&lt;Version&gt;</w:t>
    </w:r>
    <w:r w:rsidRPr="002D28BF">
      <w:t>v05-00</w:t>
    </w:r>
    <w:r w:rsidRPr="002D28BF">
      <w:rPr>
        <w:rStyle w:val="HideTWBExt"/>
      </w:rPr>
      <w:t>&lt;/Version&gt;</w:t>
    </w:r>
    <w:r w:rsidRPr="002D28BF">
      <w:tab/>
    </w:r>
    <w:r w:rsidRPr="002D28BF">
      <w:fldChar w:fldCharType="begin"/>
    </w:r>
    <w:r w:rsidRPr="002D28BF">
      <w:instrText xml:space="preserve"> PAGE  \* MERGEFORMAT </w:instrText>
    </w:r>
    <w:r w:rsidRPr="002D28BF">
      <w:fldChar w:fldCharType="separate"/>
    </w:r>
    <w:r w:rsidRPr="002D28BF">
      <w:rPr>
        <w:noProof/>
      </w:rPr>
      <w:t>14</w:t>
    </w:r>
    <w:r w:rsidRPr="002D28BF">
      <w:fldChar w:fldCharType="end"/>
    </w:r>
    <w:r w:rsidRPr="002D28BF">
      <w:t>/</w:t>
    </w:r>
    <w:r w:rsidRPr="002D28BF">
      <w:fldChar w:fldCharType="begin"/>
    </w:r>
    <w:r>
      <w:instrText xml:space="preserve"> NUMPAGES  \* MERGEFORMAT </w:instrText>
    </w:r>
    <w:r w:rsidRPr="002D28BF">
      <w:fldChar w:fldCharType="separate"/>
    </w:r>
    <w:r w:rsidRPr="002D28BF">
      <w:rPr>
        <w:noProof/>
      </w:rPr>
      <w:t>17</w:t>
    </w:r>
    <w:r w:rsidRPr="002D28BF">
      <w:rPr>
        <w:noProof/>
      </w:rPr>
      <w:fldChar w:fldCharType="end"/>
    </w:r>
    <w:r w:rsidRPr="002D28BF">
      <w:tab/>
    </w:r>
    <w:r w:rsidRPr="002D28BF">
      <w:rPr>
        <w:rStyle w:val="HideTWBExt"/>
      </w:rPr>
      <w:t>&lt;PathFdR&gt;</w:t>
    </w:r>
    <w:r w:rsidRPr="002D28BF">
      <w:t>AD\1341059PL.docx</w:t>
    </w:r>
    <w:r w:rsidRPr="002D28BF">
      <w:rPr>
        <w:rStyle w:val="HideTWBExt"/>
      </w:rPr>
      <w:t>&lt;/</w:t>
    </w:r>
    <w:proofErr w:type="spellStart"/>
    <w:r w:rsidRPr="002D28BF">
      <w:rPr>
        <w:rStyle w:val="HideTWBExt"/>
      </w:rPr>
      <w:t>PathFdR</w:t>
    </w:r>
    <w:proofErr w:type="spellEnd"/>
    <w:r w:rsidRPr="002D28BF">
      <w:rPr>
        <w:rStyle w:val="HideTWBExt"/>
      </w:rPr>
      <w:t>&gt;</w:t>
    </w:r>
  </w:p>
  <w:p w14:paraId="334A3A12" w14:textId="77777777" w:rsidR="00932240" w:rsidRPr="002D28BF" w:rsidRDefault="007269CE" w:rsidP="007467C3">
    <w:pPr>
      <w:pStyle w:val="EPFooter2"/>
    </w:pPr>
    <w:r w:rsidRPr="002D28BF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76CF1" w14:textId="77777777" w:rsidR="007467C3" w:rsidRPr="002D28BF" w:rsidRDefault="007269CE" w:rsidP="007467C3">
    <w:pPr>
      <w:pStyle w:val="EPFooter"/>
    </w:pPr>
    <w:r w:rsidRPr="002D28BF">
      <w:rPr>
        <w:rStyle w:val="HideTWBExt"/>
      </w:rPr>
      <w:t>&lt;PathFdR&gt;</w:t>
    </w:r>
    <w:r w:rsidRPr="002D28BF">
      <w:t>AD\1341059PL.docx</w:t>
    </w:r>
    <w:r w:rsidRPr="002D28BF">
      <w:rPr>
        <w:rStyle w:val="HideTWBExt"/>
      </w:rPr>
      <w:t>&lt;/</w:t>
    </w:r>
    <w:proofErr w:type="spellStart"/>
    <w:r w:rsidRPr="002D28BF">
      <w:rPr>
        <w:rStyle w:val="HideTWBExt"/>
      </w:rPr>
      <w:t>PathFdR</w:t>
    </w:r>
    <w:proofErr w:type="spellEnd"/>
    <w:r w:rsidRPr="002D28BF">
      <w:rPr>
        <w:rStyle w:val="HideTWBExt"/>
      </w:rPr>
      <w:t>&gt;</w:t>
    </w:r>
    <w:r w:rsidRPr="002D28BF">
      <w:tab/>
    </w:r>
    <w:r w:rsidRPr="002D28BF">
      <w:fldChar w:fldCharType="begin"/>
    </w:r>
    <w:r w:rsidRPr="002D28BF">
      <w:instrText xml:space="preserve"> PAGE  \* MERGEFORMAT </w:instrText>
    </w:r>
    <w:r w:rsidRPr="002D28BF">
      <w:fldChar w:fldCharType="separate"/>
    </w:r>
    <w:r w:rsidRPr="002D28BF">
      <w:rPr>
        <w:noProof/>
      </w:rPr>
      <w:t>13</w:t>
    </w:r>
    <w:r w:rsidRPr="002D28BF">
      <w:fldChar w:fldCharType="end"/>
    </w:r>
    <w:r w:rsidRPr="002D28BF">
      <w:t>/</w:t>
    </w:r>
    <w:r w:rsidRPr="002D28BF">
      <w:fldChar w:fldCharType="begin"/>
    </w:r>
    <w:r>
      <w:instrText xml:space="preserve"> NUMPAGES  \* MERGEFORMAT </w:instrText>
    </w:r>
    <w:r w:rsidRPr="002D28BF">
      <w:fldChar w:fldCharType="separate"/>
    </w:r>
    <w:r w:rsidRPr="002D28BF">
      <w:rPr>
        <w:noProof/>
      </w:rPr>
      <w:t>17</w:t>
    </w:r>
    <w:r w:rsidRPr="002D28BF">
      <w:rPr>
        <w:noProof/>
      </w:rPr>
      <w:fldChar w:fldCharType="end"/>
    </w:r>
    <w:r w:rsidRPr="002D28BF">
      <w:tab/>
      <w:t>PE</w:t>
    </w:r>
    <w:r w:rsidRPr="002D28BF">
      <w:rPr>
        <w:rStyle w:val="HideTWBExt"/>
      </w:rPr>
      <w:t>&lt;</w:t>
    </w:r>
    <w:proofErr w:type="spellStart"/>
    <w:r w:rsidRPr="002D28BF">
      <w:rPr>
        <w:rStyle w:val="HideTWBExt"/>
      </w:rPr>
      <w:t>NoPE</w:t>
    </w:r>
    <w:proofErr w:type="spellEnd"/>
    <w:r w:rsidRPr="002D28BF">
      <w:rPr>
        <w:rStyle w:val="HideTWBExt"/>
      </w:rPr>
      <w:t>&gt;</w:t>
    </w:r>
    <w:r w:rsidRPr="002D28BF">
      <w:t>778.227</w:t>
    </w:r>
    <w:r w:rsidRPr="002D28BF">
      <w:rPr>
        <w:rStyle w:val="HideTWBExt"/>
      </w:rPr>
      <w:t>&lt;/</w:t>
    </w:r>
    <w:proofErr w:type="spellStart"/>
    <w:r w:rsidRPr="002D28BF">
      <w:rPr>
        <w:rStyle w:val="HideTWBExt"/>
      </w:rPr>
      <w:t>NoPE</w:t>
    </w:r>
    <w:proofErr w:type="spellEnd"/>
    <w:r w:rsidRPr="002D28BF">
      <w:rPr>
        <w:rStyle w:val="HideTWBExt"/>
      </w:rPr>
      <w:t>&gt;&lt;Version&gt;</w:t>
    </w:r>
    <w:r w:rsidRPr="002D28BF">
      <w:t>v05-00</w:t>
    </w:r>
    <w:r w:rsidRPr="002D28BF">
      <w:rPr>
        <w:rStyle w:val="HideTWBExt"/>
      </w:rPr>
      <w:t>&lt;/Version&gt;</w:t>
    </w:r>
  </w:p>
  <w:p w14:paraId="6D3B0C33" w14:textId="77777777" w:rsidR="00932240" w:rsidRPr="002D28BF" w:rsidRDefault="007269CE" w:rsidP="007467C3">
    <w:pPr>
      <w:pStyle w:val="EPFooter2"/>
    </w:pPr>
    <w:r w:rsidRPr="002D28BF">
      <w:tab/>
    </w:r>
    <w:r w:rsidRPr="002D28BF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EB40" w14:textId="77777777" w:rsidR="007467C3" w:rsidRPr="002D28BF" w:rsidRDefault="007269CE" w:rsidP="007467C3">
    <w:pPr>
      <w:pStyle w:val="EPFooter"/>
    </w:pPr>
    <w:r w:rsidRPr="002D28BF">
      <w:rPr>
        <w:rStyle w:val="HideTWBExt"/>
      </w:rPr>
      <w:t>&lt;PathFdR&gt;</w:t>
    </w:r>
    <w:r w:rsidRPr="002D28BF">
      <w:t>AD\1341059PL.docx</w:t>
    </w:r>
    <w:r w:rsidRPr="002D28BF">
      <w:rPr>
        <w:rStyle w:val="HideTWBExt"/>
      </w:rPr>
      <w:t>&lt;/</w:t>
    </w:r>
    <w:proofErr w:type="spellStart"/>
    <w:r w:rsidRPr="002D28BF">
      <w:rPr>
        <w:rStyle w:val="HideTWBExt"/>
      </w:rPr>
      <w:t>PathFdR</w:t>
    </w:r>
    <w:proofErr w:type="spellEnd"/>
    <w:r w:rsidRPr="002D28BF">
      <w:rPr>
        <w:rStyle w:val="HideTWBExt"/>
      </w:rPr>
      <w:t>&gt;</w:t>
    </w:r>
    <w:r w:rsidRPr="002D28BF">
      <w:tab/>
    </w:r>
    <w:r w:rsidRPr="002D28BF">
      <w:tab/>
      <w:t>PE</w:t>
    </w:r>
    <w:r w:rsidRPr="002D28BF">
      <w:rPr>
        <w:rStyle w:val="HideTWBExt"/>
      </w:rPr>
      <w:t>&lt;</w:t>
    </w:r>
    <w:proofErr w:type="spellStart"/>
    <w:r w:rsidRPr="002D28BF">
      <w:rPr>
        <w:rStyle w:val="HideTWBExt"/>
      </w:rPr>
      <w:t>NoPE</w:t>
    </w:r>
    <w:proofErr w:type="spellEnd"/>
    <w:r w:rsidRPr="002D28BF">
      <w:rPr>
        <w:rStyle w:val="HideTWBExt"/>
      </w:rPr>
      <w:t>&gt;</w:t>
    </w:r>
    <w:r w:rsidRPr="002D28BF">
      <w:t>778.227</w:t>
    </w:r>
    <w:r w:rsidRPr="002D28BF">
      <w:rPr>
        <w:rStyle w:val="HideTWBExt"/>
      </w:rPr>
      <w:t>&lt;/</w:t>
    </w:r>
    <w:proofErr w:type="spellStart"/>
    <w:r w:rsidRPr="002D28BF">
      <w:rPr>
        <w:rStyle w:val="HideTWBExt"/>
      </w:rPr>
      <w:t>NoPE</w:t>
    </w:r>
    <w:proofErr w:type="spellEnd"/>
    <w:r w:rsidRPr="002D28BF">
      <w:rPr>
        <w:rStyle w:val="HideTWBExt"/>
      </w:rPr>
      <w:t>&gt;&lt;Version&gt;</w:t>
    </w:r>
    <w:r w:rsidRPr="002D28BF">
      <w:t>v05-00</w:t>
    </w:r>
    <w:r w:rsidRPr="002D28BF">
      <w:rPr>
        <w:rStyle w:val="HideTWBExt"/>
      </w:rPr>
      <w:t>&lt;/Version&gt;</w:t>
    </w:r>
  </w:p>
  <w:p w14:paraId="634198B7" w14:textId="77777777" w:rsidR="00932240" w:rsidRPr="002D28BF" w:rsidRDefault="007269CE" w:rsidP="007467C3">
    <w:pPr>
      <w:pStyle w:val="EPFooter2"/>
    </w:pPr>
    <w:r w:rsidRPr="002D28BF">
      <w:t>PL</w:t>
    </w:r>
    <w:r w:rsidRPr="002D28BF">
      <w:tab/>
    </w:r>
    <w:r w:rsidRPr="002D28BF">
      <w:rPr>
        <w:b w:val="0"/>
        <w:i/>
        <w:color w:val="C0C0C0"/>
        <w:sz w:val="22"/>
      </w:rPr>
      <w:t>Zjednoczona w różnorodności</w:t>
    </w:r>
    <w:r w:rsidRPr="002D28BF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C8613" w14:textId="77777777" w:rsidR="00932240" w:rsidRPr="002D28BF" w:rsidRDefault="007269CE" w:rsidP="007D590C">
    <w:pPr>
      <w:pStyle w:val="EPFooter"/>
    </w:pPr>
    <w:r w:rsidRPr="002D28BF">
      <w:rPr>
        <w:rStyle w:val="HideTWBExt"/>
      </w:rPr>
      <w:t>&lt;PathFdR&gt;</w:t>
    </w:r>
    <w:r w:rsidR="002D28BF" w:rsidRPr="002D28BF">
      <w:t>AD\1341059PL.docx</w:t>
    </w:r>
    <w:r w:rsidRPr="002D28BF">
      <w:rPr>
        <w:rStyle w:val="HideTWBExt"/>
      </w:rPr>
      <w:t>&lt;/</w:t>
    </w:r>
    <w:proofErr w:type="spellStart"/>
    <w:r w:rsidRPr="002D28BF">
      <w:rPr>
        <w:rStyle w:val="HideTWBExt"/>
      </w:rPr>
      <w:t>PathFdR</w:t>
    </w:r>
    <w:proofErr w:type="spellEnd"/>
    <w:r w:rsidRPr="002D28BF">
      <w:rPr>
        <w:rStyle w:val="HideTWBExt"/>
      </w:rPr>
      <w:t>&gt;</w:t>
    </w:r>
    <w:r w:rsidRPr="002D28BF">
      <w:tab/>
    </w:r>
    <w:r w:rsidRPr="002D28BF">
      <w:tab/>
      <w:t>PE</w:t>
    </w:r>
    <w:r w:rsidRPr="002D28BF">
      <w:rPr>
        <w:rStyle w:val="HideTWBExt"/>
      </w:rPr>
      <w:t>&lt;</w:t>
    </w:r>
    <w:proofErr w:type="spellStart"/>
    <w:r w:rsidRPr="002D28BF">
      <w:rPr>
        <w:rStyle w:val="HideTWBExt"/>
      </w:rPr>
      <w:t>NoPE</w:t>
    </w:r>
    <w:proofErr w:type="spellEnd"/>
    <w:r w:rsidRPr="002D28BF">
      <w:rPr>
        <w:rStyle w:val="HideTWBExt"/>
      </w:rPr>
      <w:t>&gt;</w:t>
    </w:r>
    <w:r w:rsidRPr="002D28BF">
      <w:t>778.277</w:t>
    </w:r>
    <w:r w:rsidRPr="002D28BF">
      <w:rPr>
        <w:rStyle w:val="HideTWBExt"/>
      </w:rPr>
      <w:t>&lt;/</w:t>
    </w:r>
    <w:proofErr w:type="spellStart"/>
    <w:r w:rsidRPr="002D28BF">
      <w:rPr>
        <w:rStyle w:val="HideTWBExt"/>
      </w:rPr>
      <w:t>NoPE</w:t>
    </w:r>
    <w:proofErr w:type="spellEnd"/>
    <w:r w:rsidRPr="002D28BF">
      <w:rPr>
        <w:rStyle w:val="HideTWBExt"/>
      </w:rPr>
      <w:t>&gt;&lt;Version&gt;</w:t>
    </w:r>
    <w:r w:rsidRPr="002D28BF">
      <w:t>v04-00</w:t>
    </w:r>
    <w:r w:rsidRPr="002D28BF">
      <w:rPr>
        <w:rStyle w:val="HideTWBExt"/>
      </w:rPr>
      <w:t>&lt;/Version&gt;</w:t>
    </w:r>
  </w:p>
  <w:p w14:paraId="32F06D8E" w14:textId="77777777" w:rsidR="00932240" w:rsidRPr="002D28BF" w:rsidRDefault="007269CE" w:rsidP="007D590C">
    <w:pPr>
      <w:pStyle w:val="EPFooter2"/>
    </w:pPr>
    <w:r w:rsidRPr="002D28BF">
      <w:t>XT</w:t>
    </w:r>
    <w:r w:rsidRPr="002D28BF">
      <w:tab/>
    </w:r>
    <w:r w:rsidRPr="002D28BF">
      <w:rPr>
        <w:b w:val="0"/>
        <w:i/>
        <w:color w:val="C0C0C0"/>
        <w:sz w:val="22"/>
      </w:rPr>
      <w:t xml:space="preserve">United in </w:t>
    </w:r>
    <w:proofErr w:type="spellStart"/>
    <w:r w:rsidRPr="002D28BF">
      <w:rPr>
        <w:b w:val="0"/>
        <w:i/>
        <w:color w:val="C0C0C0"/>
        <w:sz w:val="22"/>
      </w:rPr>
      <w:t>diversity</w:t>
    </w:r>
    <w:proofErr w:type="spellEnd"/>
    <w:r w:rsidRPr="002D28BF">
      <w:tab/>
      <w:t>XT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C0BC0" w14:textId="77777777" w:rsidR="007D590C" w:rsidRPr="002D28BF" w:rsidRDefault="007269CE" w:rsidP="007D590C">
    <w:pPr>
      <w:pStyle w:val="EPFooter"/>
    </w:pPr>
    <w:r w:rsidRPr="002D28BF">
      <w:rPr>
        <w:rStyle w:val="HideTWBExt"/>
      </w:rPr>
      <w:t>&lt;PathFdR&gt;</w:t>
    </w:r>
    <w:r w:rsidR="002D28BF" w:rsidRPr="002D28BF">
      <w:t>AD\1341059PL.docx</w:t>
    </w:r>
    <w:r w:rsidRPr="002D28BF">
      <w:rPr>
        <w:rStyle w:val="HideTWBExt"/>
      </w:rPr>
      <w:t>&lt;/</w:t>
    </w:r>
    <w:proofErr w:type="spellStart"/>
    <w:r w:rsidRPr="002D28BF">
      <w:rPr>
        <w:rStyle w:val="HideTWBExt"/>
      </w:rPr>
      <w:t>PathFdR</w:t>
    </w:r>
    <w:proofErr w:type="spellEnd"/>
    <w:r w:rsidRPr="002D28BF">
      <w:rPr>
        <w:rStyle w:val="HideTWBExt"/>
      </w:rPr>
      <w:t>&gt;</w:t>
    </w:r>
    <w:r w:rsidRPr="002D28BF">
      <w:tab/>
    </w:r>
    <w:r w:rsidRPr="002D28BF">
      <w:tab/>
      <w:t>PE</w:t>
    </w:r>
    <w:r w:rsidRPr="002D28BF">
      <w:rPr>
        <w:rStyle w:val="HideTWBExt"/>
      </w:rPr>
      <w:t>&lt;</w:t>
    </w:r>
    <w:proofErr w:type="spellStart"/>
    <w:r w:rsidRPr="002D28BF">
      <w:rPr>
        <w:rStyle w:val="HideTWBExt"/>
      </w:rPr>
      <w:t>NoPE</w:t>
    </w:r>
    <w:proofErr w:type="spellEnd"/>
    <w:r w:rsidRPr="002D28BF">
      <w:rPr>
        <w:rStyle w:val="HideTWBExt"/>
      </w:rPr>
      <w:t>&gt;</w:t>
    </w:r>
    <w:r w:rsidRPr="002D28BF">
      <w:t>778.277</w:t>
    </w:r>
    <w:r w:rsidRPr="002D28BF">
      <w:rPr>
        <w:rStyle w:val="HideTWBExt"/>
      </w:rPr>
      <w:t>&lt;/</w:t>
    </w:r>
    <w:proofErr w:type="spellStart"/>
    <w:r w:rsidRPr="002D28BF">
      <w:rPr>
        <w:rStyle w:val="HideTWBExt"/>
      </w:rPr>
      <w:t>NoPE</w:t>
    </w:r>
    <w:proofErr w:type="spellEnd"/>
    <w:r w:rsidRPr="002D28BF">
      <w:rPr>
        <w:rStyle w:val="HideTWBExt"/>
      </w:rPr>
      <w:t>&gt;&lt;Version&gt;</w:t>
    </w:r>
    <w:r w:rsidRPr="002D28BF">
      <w:t>v04-00</w:t>
    </w:r>
    <w:r w:rsidRPr="002D28BF">
      <w:rPr>
        <w:rStyle w:val="HideTWBExt"/>
      </w:rPr>
      <w:t>&lt;/Version&gt;</w:t>
    </w:r>
  </w:p>
  <w:p w14:paraId="4CABA57C" w14:textId="77777777" w:rsidR="00C75378" w:rsidRPr="002D28BF" w:rsidRDefault="007269CE" w:rsidP="007D590C">
    <w:pPr>
      <w:pStyle w:val="EPFooter2"/>
    </w:pPr>
    <w:r w:rsidRPr="002D28BF">
      <w:t>XT</w:t>
    </w:r>
    <w:r w:rsidRPr="002D28BF">
      <w:tab/>
    </w:r>
    <w:r w:rsidRPr="002D28BF">
      <w:rPr>
        <w:b w:val="0"/>
        <w:i/>
        <w:color w:val="C0C0C0"/>
        <w:sz w:val="22"/>
      </w:rPr>
      <w:t xml:space="preserve">United in </w:t>
    </w:r>
    <w:proofErr w:type="spellStart"/>
    <w:r w:rsidRPr="002D28BF">
      <w:rPr>
        <w:b w:val="0"/>
        <w:i/>
        <w:color w:val="C0C0C0"/>
        <w:sz w:val="22"/>
      </w:rPr>
      <w:t>diversity</w:t>
    </w:r>
    <w:proofErr w:type="spellEnd"/>
    <w:r w:rsidRPr="002D28BF">
      <w:tab/>
      <w:t>XT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BA216" w14:textId="77777777" w:rsidR="007269CE" w:rsidRDefault="007269CE">
      <w:r>
        <w:separator/>
      </w:r>
    </w:p>
  </w:footnote>
  <w:footnote w:type="continuationSeparator" w:id="0">
    <w:p w14:paraId="451EE6C7" w14:textId="77777777" w:rsidR="007269CE" w:rsidRDefault="007269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82EEC" w14:textId="77777777" w:rsidR="0072494D" w:rsidRDefault="007249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1DA1C" w14:textId="77777777" w:rsidR="0072494D" w:rsidRDefault="007249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265A6" w14:textId="77777777" w:rsidR="0072494D" w:rsidRDefault="0072494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74832" w14:textId="77777777" w:rsidR="00932240" w:rsidRDefault="0093224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00610" w14:textId="77777777" w:rsidR="00932240" w:rsidRDefault="0093224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00FCD" w14:textId="77777777" w:rsidR="00932240" w:rsidRDefault="0093224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7835B" w14:textId="77777777" w:rsidR="007D590C" w:rsidRDefault="007D590C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F97EA" w14:textId="77777777" w:rsidR="007D590C" w:rsidRDefault="007D590C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EF4F4" w14:textId="77777777" w:rsidR="007D590C" w:rsidRDefault="007D590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175292">
    <w:abstractNumId w:val="9"/>
  </w:num>
  <w:num w:numId="2" w16cid:durableId="1987590181">
    <w:abstractNumId w:val="9"/>
  </w:num>
  <w:num w:numId="3" w16cid:durableId="661930877">
    <w:abstractNumId w:val="7"/>
  </w:num>
  <w:num w:numId="4" w16cid:durableId="1011369849">
    <w:abstractNumId w:val="7"/>
  </w:num>
  <w:num w:numId="5" w16cid:durableId="609288861">
    <w:abstractNumId w:val="6"/>
  </w:num>
  <w:num w:numId="6" w16cid:durableId="1875919752">
    <w:abstractNumId w:val="6"/>
  </w:num>
  <w:num w:numId="7" w16cid:durableId="477841226">
    <w:abstractNumId w:val="5"/>
  </w:num>
  <w:num w:numId="8" w16cid:durableId="1036274501">
    <w:abstractNumId w:val="5"/>
  </w:num>
  <w:num w:numId="9" w16cid:durableId="772096971">
    <w:abstractNumId w:val="4"/>
  </w:num>
  <w:num w:numId="10" w16cid:durableId="265117398">
    <w:abstractNumId w:val="4"/>
  </w:num>
  <w:num w:numId="11" w16cid:durableId="2102752478">
    <w:abstractNumId w:val="8"/>
  </w:num>
  <w:num w:numId="12" w16cid:durableId="1981808909">
    <w:abstractNumId w:val="8"/>
  </w:num>
  <w:num w:numId="13" w16cid:durableId="676232478">
    <w:abstractNumId w:val="3"/>
  </w:num>
  <w:num w:numId="14" w16cid:durableId="1285963319">
    <w:abstractNumId w:val="3"/>
  </w:num>
  <w:num w:numId="15" w16cid:durableId="179901252">
    <w:abstractNumId w:val="2"/>
  </w:num>
  <w:num w:numId="16" w16cid:durableId="992029999">
    <w:abstractNumId w:val="2"/>
  </w:num>
  <w:num w:numId="17" w16cid:durableId="1984697487">
    <w:abstractNumId w:val="1"/>
  </w:num>
  <w:num w:numId="18" w16cid:durableId="1615401595">
    <w:abstractNumId w:val="1"/>
  </w:num>
  <w:num w:numId="19" w16cid:durableId="244069370">
    <w:abstractNumId w:val="0"/>
  </w:num>
  <w:num w:numId="20" w16cid:durableId="2009597964">
    <w:abstractNumId w:val="0"/>
  </w:num>
  <w:num w:numId="21" w16cid:durableId="1739786983">
    <w:abstractNumId w:val="9"/>
  </w:num>
  <w:num w:numId="22" w16cid:durableId="1456607187">
    <w:abstractNumId w:val="7"/>
  </w:num>
  <w:num w:numId="23" w16cid:durableId="1316840900">
    <w:abstractNumId w:val="6"/>
  </w:num>
  <w:num w:numId="24" w16cid:durableId="2040665234">
    <w:abstractNumId w:val="5"/>
  </w:num>
  <w:num w:numId="25" w16cid:durableId="1735393666">
    <w:abstractNumId w:val="4"/>
  </w:num>
  <w:num w:numId="26" w16cid:durableId="2042893943">
    <w:abstractNumId w:val="8"/>
  </w:num>
  <w:num w:numId="27" w16cid:durableId="1447887224">
    <w:abstractNumId w:val="3"/>
  </w:num>
  <w:num w:numId="28" w16cid:durableId="907687154">
    <w:abstractNumId w:val="2"/>
  </w:num>
  <w:num w:numId="29" w16cid:durableId="137695818">
    <w:abstractNumId w:val="1"/>
  </w:num>
  <w:num w:numId="30" w16cid:durableId="1716656599">
    <w:abstractNumId w:val="0"/>
  </w:num>
  <w:num w:numId="31" w16cid:durableId="1704286411">
    <w:abstractNumId w:val="9"/>
  </w:num>
  <w:num w:numId="32" w16cid:durableId="897740376">
    <w:abstractNumId w:val="7"/>
  </w:num>
  <w:num w:numId="33" w16cid:durableId="802118895">
    <w:abstractNumId w:val="6"/>
  </w:num>
  <w:num w:numId="34" w16cid:durableId="117258843">
    <w:abstractNumId w:val="5"/>
  </w:num>
  <w:num w:numId="35" w16cid:durableId="1665082236">
    <w:abstractNumId w:val="4"/>
  </w:num>
  <w:num w:numId="36" w16cid:durableId="864712067">
    <w:abstractNumId w:val="8"/>
  </w:num>
  <w:num w:numId="37" w16cid:durableId="869756316">
    <w:abstractNumId w:val="3"/>
  </w:num>
  <w:num w:numId="38" w16cid:durableId="2128574804">
    <w:abstractNumId w:val="2"/>
  </w:num>
  <w:num w:numId="39" w16cid:durableId="333538826">
    <w:abstractNumId w:val="1"/>
  </w:num>
  <w:num w:numId="40" w16cid:durableId="164369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DOPTIONMNU" w:val=" 1"/>
    <w:docVar w:name="AUTHORMFMNU" w:val=" 1"/>
    <w:docVar w:name="COMKEY" w:val="LIBE"/>
    <w:docVar w:name="CONTRIBUTIONMNU" w:val=" 1"/>
    <w:docVar w:name="CopyToNetwork" w:val="-1"/>
    <w:docVar w:name="FONCTIONMNU" w:val=" 1"/>
    <w:docVar w:name="LastEditedSection" w:val=" 1"/>
    <w:docVar w:name="PARTCOUNT" w:val="0"/>
    <w:docVar w:name="strSubDir" w:val="1341"/>
    <w:docVar w:name="TITLEMNU" w:val=" 1"/>
    <w:docVar w:name="TXTAUTHOR" w:val="mm"/>
    <w:docVar w:name="TXTBUDYEAR" w:val="mm"/>
    <w:docVar w:name="TXTLANGUE" w:val="PL"/>
    <w:docVar w:name="TXTLANGUEMIN" w:val="pl"/>
    <w:docVar w:name="TXTNRPE" w:val="778.227"/>
    <w:docVar w:name="TXTNRPROC" w:val="99"/>
    <w:docVar w:name="TXTPEorAP" w:val="PE"/>
    <w:docVar w:name="TXTROUTE" w:val="AD\1341059PL.docx"/>
    <w:docVar w:name="TXTVERSION" w:val="05-00"/>
  </w:docVars>
  <w:rsids>
    <w:rsidRoot w:val="001F470B"/>
    <w:rsid w:val="000048A8"/>
    <w:rsid w:val="00007A18"/>
    <w:rsid w:val="00047CD1"/>
    <w:rsid w:val="00062634"/>
    <w:rsid w:val="000A05CA"/>
    <w:rsid w:val="000A2EFA"/>
    <w:rsid w:val="000B6C4B"/>
    <w:rsid w:val="000C4CDD"/>
    <w:rsid w:val="000D001F"/>
    <w:rsid w:val="000D099F"/>
    <w:rsid w:val="000D19A2"/>
    <w:rsid w:val="000D6813"/>
    <w:rsid w:val="000E6813"/>
    <w:rsid w:val="000F07FE"/>
    <w:rsid w:val="001275F4"/>
    <w:rsid w:val="00136C76"/>
    <w:rsid w:val="001503C5"/>
    <w:rsid w:val="001A455F"/>
    <w:rsid w:val="001F2766"/>
    <w:rsid w:val="001F470B"/>
    <w:rsid w:val="001F6ED8"/>
    <w:rsid w:val="00212D35"/>
    <w:rsid w:val="00221F41"/>
    <w:rsid w:val="00235AB7"/>
    <w:rsid w:val="00245C7F"/>
    <w:rsid w:val="00271180"/>
    <w:rsid w:val="002744AE"/>
    <w:rsid w:val="002A4AC9"/>
    <w:rsid w:val="002B2892"/>
    <w:rsid w:val="002C0EE6"/>
    <w:rsid w:val="002C34AE"/>
    <w:rsid w:val="002D28BF"/>
    <w:rsid w:val="002E2F2E"/>
    <w:rsid w:val="00307C14"/>
    <w:rsid w:val="003707A7"/>
    <w:rsid w:val="00380FCD"/>
    <w:rsid w:val="00385BAB"/>
    <w:rsid w:val="0039003E"/>
    <w:rsid w:val="00396A50"/>
    <w:rsid w:val="00396FA9"/>
    <w:rsid w:val="003B72FC"/>
    <w:rsid w:val="003D684B"/>
    <w:rsid w:val="003E06CF"/>
    <w:rsid w:val="003E35FB"/>
    <w:rsid w:val="003F3B83"/>
    <w:rsid w:val="00425153"/>
    <w:rsid w:val="00425710"/>
    <w:rsid w:val="00431E30"/>
    <w:rsid w:val="00467D0A"/>
    <w:rsid w:val="00487232"/>
    <w:rsid w:val="0049491C"/>
    <w:rsid w:val="00495CA4"/>
    <w:rsid w:val="004A34E6"/>
    <w:rsid w:val="004C28FB"/>
    <w:rsid w:val="004E54DC"/>
    <w:rsid w:val="004F48ED"/>
    <w:rsid w:val="005051DD"/>
    <w:rsid w:val="00514664"/>
    <w:rsid w:val="0055017A"/>
    <w:rsid w:val="00577018"/>
    <w:rsid w:val="005779E7"/>
    <w:rsid w:val="005D0786"/>
    <w:rsid w:val="005D1938"/>
    <w:rsid w:val="005D771E"/>
    <w:rsid w:val="005E3670"/>
    <w:rsid w:val="00600DC9"/>
    <w:rsid w:val="00643F39"/>
    <w:rsid w:val="0066728C"/>
    <w:rsid w:val="006819E0"/>
    <w:rsid w:val="006C21AA"/>
    <w:rsid w:val="0071319E"/>
    <w:rsid w:val="00722749"/>
    <w:rsid w:val="0072494D"/>
    <w:rsid w:val="007269CE"/>
    <w:rsid w:val="007467C3"/>
    <w:rsid w:val="007611A2"/>
    <w:rsid w:val="007D590C"/>
    <w:rsid w:val="007F1F92"/>
    <w:rsid w:val="00806587"/>
    <w:rsid w:val="008425DD"/>
    <w:rsid w:val="0086451E"/>
    <w:rsid w:val="008818A9"/>
    <w:rsid w:val="008C6240"/>
    <w:rsid w:val="008E7061"/>
    <w:rsid w:val="008E7494"/>
    <w:rsid w:val="008F36CD"/>
    <w:rsid w:val="008F7002"/>
    <w:rsid w:val="009239ED"/>
    <w:rsid w:val="00932240"/>
    <w:rsid w:val="0095301E"/>
    <w:rsid w:val="0095497D"/>
    <w:rsid w:val="009669A8"/>
    <w:rsid w:val="00972FD8"/>
    <w:rsid w:val="00977F76"/>
    <w:rsid w:val="0098140C"/>
    <w:rsid w:val="009A33F4"/>
    <w:rsid w:val="009A403C"/>
    <w:rsid w:val="009B1A61"/>
    <w:rsid w:val="009B4367"/>
    <w:rsid w:val="009B5265"/>
    <w:rsid w:val="00A05A63"/>
    <w:rsid w:val="00A2041C"/>
    <w:rsid w:val="00A722B1"/>
    <w:rsid w:val="00A8267E"/>
    <w:rsid w:val="00A93570"/>
    <w:rsid w:val="00A9617A"/>
    <w:rsid w:val="00AA1A2C"/>
    <w:rsid w:val="00AA223C"/>
    <w:rsid w:val="00AA46F0"/>
    <w:rsid w:val="00AF77DA"/>
    <w:rsid w:val="00B030CA"/>
    <w:rsid w:val="00B0320F"/>
    <w:rsid w:val="00B107A4"/>
    <w:rsid w:val="00B1441B"/>
    <w:rsid w:val="00B362F7"/>
    <w:rsid w:val="00B43990"/>
    <w:rsid w:val="00B5168E"/>
    <w:rsid w:val="00B93668"/>
    <w:rsid w:val="00BB2AC1"/>
    <w:rsid w:val="00BC15CB"/>
    <w:rsid w:val="00BC356D"/>
    <w:rsid w:val="00BC5578"/>
    <w:rsid w:val="00C04938"/>
    <w:rsid w:val="00C175C0"/>
    <w:rsid w:val="00C47E30"/>
    <w:rsid w:val="00C54F53"/>
    <w:rsid w:val="00C75378"/>
    <w:rsid w:val="00C84F87"/>
    <w:rsid w:val="00C85D0F"/>
    <w:rsid w:val="00CA0D01"/>
    <w:rsid w:val="00CF7076"/>
    <w:rsid w:val="00D41244"/>
    <w:rsid w:val="00D438D0"/>
    <w:rsid w:val="00D44697"/>
    <w:rsid w:val="00D47632"/>
    <w:rsid w:val="00D625A2"/>
    <w:rsid w:val="00D71751"/>
    <w:rsid w:val="00D759AA"/>
    <w:rsid w:val="00DA7632"/>
    <w:rsid w:val="00DB0FE5"/>
    <w:rsid w:val="00E01434"/>
    <w:rsid w:val="00E05697"/>
    <w:rsid w:val="00E12435"/>
    <w:rsid w:val="00E3462E"/>
    <w:rsid w:val="00E729C7"/>
    <w:rsid w:val="00E83B40"/>
    <w:rsid w:val="00E9601C"/>
    <w:rsid w:val="00EA78B3"/>
    <w:rsid w:val="00EB19AA"/>
    <w:rsid w:val="00EC2C85"/>
    <w:rsid w:val="00F036E0"/>
    <w:rsid w:val="00F129D0"/>
    <w:rsid w:val="00F24442"/>
    <w:rsid w:val="00F313E3"/>
    <w:rsid w:val="00F46E44"/>
    <w:rsid w:val="00F611FC"/>
    <w:rsid w:val="00F61E8C"/>
    <w:rsid w:val="00F707AB"/>
    <w:rsid w:val="00F96D53"/>
    <w:rsid w:val="00FB459D"/>
    <w:rsid w:val="00FF00D4"/>
    <w:rsid w:val="00FF1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F11D2C"/>
  <w15:chartTrackingRefBased/>
  <w15:docId w15:val="{F4B71830-46AF-43A2-AE2D-53D6CA581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6263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A7632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A763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A7632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sid w:val="00DA7632"/>
    <w:rPr>
      <w:rFonts w:ascii="Arial" w:hAnsi="Arial"/>
      <w:vanish/>
      <w:color w:val="808080"/>
      <w:sz w:val="20"/>
    </w:rPr>
  </w:style>
  <w:style w:type="paragraph" w:customStyle="1" w:styleId="PageHeadingNotTOC">
    <w:name w:val="PageHeadingNotTOC"/>
    <w:basedOn w:val="Normal"/>
    <w:rsid w:val="00DA7632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DA763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A7632"/>
    <w:pPr>
      <w:spacing w:after="480"/>
      <w:ind w:left="1417"/>
    </w:pPr>
  </w:style>
  <w:style w:type="paragraph" w:customStyle="1" w:styleId="CoverNormal">
    <w:name w:val="CoverNormal"/>
    <w:basedOn w:val="Normal"/>
    <w:rsid w:val="00DA7632"/>
    <w:pPr>
      <w:ind w:left="1418"/>
    </w:pPr>
  </w:style>
  <w:style w:type="paragraph" w:styleId="Header">
    <w:name w:val="header"/>
    <w:basedOn w:val="Normal"/>
    <w:link w:val="HeaderChar"/>
    <w:semiHidden/>
    <w:rsid w:val="00FF158E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DA7632"/>
    <w:pPr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rsid w:val="00DA7632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CoverDate">
    <w:name w:val="CoverDate"/>
    <w:basedOn w:val="Normal"/>
    <w:rsid w:val="00DA7632"/>
    <w:pPr>
      <w:spacing w:before="240" w:after="1200"/>
    </w:pPr>
  </w:style>
  <w:style w:type="paragraph" w:customStyle="1" w:styleId="NormalHanging12a">
    <w:name w:val="NormalHanging12a"/>
    <w:basedOn w:val="Normal"/>
    <w:link w:val="NormalHanging12aChar"/>
    <w:rsid w:val="00DA7632"/>
    <w:pPr>
      <w:spacing w:after="240"/>
      <w:ind w:left="567" w:hanging="567"/>
    </w:pPr>
  </w:style>
  <w:style w:type="paragraph" w:customStyle="1" w:styleId="Subheading">
    <w:name w:val="Subheading"/>
    <w:basedOn w:val="Normal"/>
    <w:rsid w:val="00DA7632"/>
    <w:pPr>
      <w:spacing w:before="480" w:after="240"/>
    </w:pPr>
    <w:rPr>
      <w:b/>
      <w:i/>
      <w:szCs w:val="24"/>
    </w:rPr>
  </w:style>
  <w:style w:type="table" w:styleId="TableGrid">
    <w:name w:val="Table Grid"/>
    <w:basedOn w:val="TableNormal"/>
    <w:rsid w:val="00E960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DA763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DA7632"/>
    <w:pPr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DA7632"/>
    <w:pPr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</w:rPr>
  </w:style>
  <w:style w:type="paragraph" w:customStyle="1" w:styleId="EPTerm">
    <w:name w:val="EPTerm"/>
    <w:basedOn w:val="Normal"/>
    <w:next w:val="Normal"/>
    <w:rsid w:val="00DA763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DA7632"/>
    <w:pPr>
      <w:jc w:val="right"/>
    </w:pPr>
  </w:style>
  <w:style w:type="paragraph" w:customStyle="1" w:styleId="EPFooter">
    <w:name w:val="EPFooter"/>
    <w:basedOn w:val="Normal"/>
    <w:rsid w:val="00DA763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FF158E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rsid w:val="007D590C"/>
    <w:rPr>
      <w:sz w:val="24"/>
    </w:rPr>
  </w:style>
  <w:style w:type="paragraph" w:customStyle="1" w:styleId="Normal24a">
    <w:name w:val="Normal24a"/>
    <w:basedOn w:val="Normal"/>
    <w:rsid w:val="007D590C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7D590C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7D590C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7D590C"/>
    <w:rPr>
      <w:szCs w:val="24"/>
    </w:rPr>
  </w:style>
  <w:style w:type="paragraph" w:styleId="FootnoteText">
    <w:name w:val="footnote text"/>
    <w:basedOn w:val="Normal"/>
    <w:link w:val="FootnoteTextChar"/>
    <w:rsid w:val="007D590C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7D590C"/>
  </w:style>
  <w:style w:type="character" w:styleId="FootnoteReference">
    <w:name w:val="footnote reference"/>
    <w:basedOn w:val="DefaultParagraphFont"/>
    <w:rsid w:val="007D590C"/>
    <w:rPr>
      <w:vertAlign w:val="superscript"/>
    </w:rPr>
  </w:style>
  <w:style w:type="character" w:styleId="Hyperlink">
    <w:name w:val="Hyperlink"/>
    <w:basedOn w:val="DefaultParagraphFont"/>
    <w:rsid w:val="007D59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590C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semiHidden/>
    <w:rsid w:val="007D59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D590C"/>
    <w:rPr>
      <w:sz w:val="24"/>
    </w:rPr>
  </w:style>
  <w:style w:type="paragraph" w:styleId="Revision">
    <w:name w:val="Revision"/>
    <w:hidden/>
    <w:uiPriority w:val="99"/>
    <w:semiHidden/>
    <w:rsid w:val="00F313E3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7.xml"/><Relationship Id="rId3" Type="http://schemas.openxmlformats.org/officeDocument/2006/relationships/settings" Target="settings.xml"/><Relationship Id="rId21" Type="http://schemas.openxmlformats.org/officeDocument/2006/relationships/footer" Target="footer5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header" Target="header9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5588</Words>
  <Characters>37897</Characters>
  <Application>Microsoft Office Word</Application>
  <DocSecurity>0</DocSecurity>
  <Lines>653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PA_NonLegDec</vt:lpstr>
    </vt:vector>
  </TitlesOfParts>
  <Company/>
  <LinksUpToDate>false</LinksUpToDate>
  <CharactersWithSpaces>43299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PA_NonLegDec</dc:title>
  <dc:creator>European Parliament</dc:creator>
  <cp:lastModifiedBy>European Parliament</cp:lastModifiedBy>
  <cp:revision>2</cp:revision>
  <cp:lastPrinted>2026-04-08T06:25:00Z</cp:lastPrinted>
  <dcterms:created xsi:type="dcterms:W3CDTF">2026-04-10T07:23:00Z</dcterms:created>
  <dcterms:modified xsi:type="dcterms:W3CDTF">2026-04-10T07:23:00Z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1341059</vt:lpwstr>
  </property>
  <property fmtid="{D5CDD505-2E9C-101B-9397-08002B2CF9AE}" pid="4" name="&lt;Model&gt;">
    <vt:lpwstr>PA_NonLegDec</vt:lpwstr>
  </property>
  <property fmtid="{D5CDD505-2E9C-101B-9397-08002B2CF9AE}" pid="5" name="&lt;ModelCod&gt;">
    <vt:lpwstr>\\eiciBRUpr1\pdocep$\DocEP\DOCS\General\PA\PA_NonLeg\PA_NonLegDec.dotx(08/11/2024 10:44:10)</vt:lpwstr>
  </property>
  <property fmtid="{D5CDD505-2E9C-101B-9397-08002B2CF9AE}" pid="6" name="&lt;ModelTra&gt;">
    <vt:lpwstr>\\eiciBRUpr1\pdocep$\DocEP\TRANSFIL\EN\PA_NonLegDec.EN(21/01/2025 15:39:00)</vt:lpwstr>
  </property>
  <property fmtid="{D5CDD505-2E9C-101B-9397-08002B2CF9AE}" pid="7" name="&lt;Type&gt;">
    <vt:lpwstr>AD</vt:lpwstr>
  </property>
  <property fmtid="{D5CDD505-2E9C-101B-9397-08002B2CF9AE}" pid="8" name="Created with">
    <vt:lpwstr>10.2.1 Build [20260301]</vt:lpwstr>
  </property>
  <property fmtid="{D5CDD505-2E9C-101B-9397-08002B2CF9AE}" pid="9" name="FooterPath">
    <vt:lpwstr>AD\1341059PL.docx</vt:lpwstr>
  </property>
  <property fmtid="{D5CDD505-2E9C-101B-9397-08002B2CF9AE}" pid="10" name="LastEdited with">
    <vt:lpwstr>10.2.1 Build [20260301]</vt:lpwstr>
  </property>
  <property fmtid="{D5CDD505-2E9C-101B-9397-08002B2CF9AE}" pid="11" name="OriLang">
    <vt:lpwstr>EN</vt:lpwstr>
  </property>
  <property fmtid="{D5CDD505-2E9C-101B-9397-08002B2CF9AE}" pid="12" name="PE number">
    <vt:lpwstr>778.227</vt:lpwstr>
  </property>
  <property fmtid="{D5CDD505-2E9C-101B-9397-08002B2CF9AE}" pid="13" name="RegistreCheck">
    <vt:lpwstr>OK</vt:lpwstr>
  </property>
  <property fmtid="{D5CDD505-2E9C-101B-9397-08002B2CF9AE}" pid="14" name="SDLStudio">
    <vt:lpwstr/>
  </property>
  <property fmtid="{D5CDD505-2E9C-101B-9397-08002B2CF9AE}" pid="15" name="SendToEpades">
    <vt:lpwstr>OK - 2026/04/09 16:09</vt:lpwstr>
  </property>
</Properties>
</file>