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E725C4" w14:paraId="2DAC3319" w14:textId="77777777" w:rsidTr="00C85D0F">
        <w:trPr>
          <w:trHeight w:hRule="exact" w:val="1418"/>
        </w:trPr>
        <w:tc>
          <w:tcPr>
            <w:tcW w:w="6804" w:type="dxa"/>
            <w:shd w:val="clear" w:color="auto" w:fill="auto"/>
            <w:vAlign w:val="center"/>
          </w:tcPr>
          <w:p w14:paraId="29FBC417" w14:textId="77777777" w:rsidR="004F48ED" w:rsidRPr="00E725C4" w:rsidRDefault="00482ED9" w:rsidP="00C85D0F">
            <w:pPr>
              <w:pStyle w:val="EPName"/>
            </w:pPr>
            <w:r w:rsidRPr="00E725C4">
              <w:t>Evropský parlament</w:t>
            </w:r>
          </w:p>
          <w:p w14:paraId="3A9E7A0D" w14:textId="302DD693" w:rsidR="004F48ED" w:rsidRPr="00E725C4" w:rsidRDefault="00712FEA" w:rsidP="00C85D0F">
            <w:pPr>
              <w:pStyle w:val="EPTerm"/>
            </w:pPr>
            <w:r w:rsidRPr="00E725C4">
              <w:t>2024-2029</w:t>
            </w:r>
          </w:p>
        </w:tc>
        <w:tc>
          <w:tcPr>
            <w:tcW w:w="2268" w:type="dxa"/>
            <w:shd w:val="clear" w:color="auto" w:fill="auto"/>
          </w:tcPr>
          <w:p w14:paraId="6CBD1A70" w14:textId="77777777" w:rsidR="004F48ED" w:rsidRPr="00E725C4" w:rsidRDefault="004F48ED" w:rsidP="00C85D0F">
            <w:pPr>
              <w:pStyle w:val="EPLogo"/>
            </w:pPr>
            <w:r w:rsidRPr="00E725C4">
              <w:rPr>
                <w:noProof/>
              </w:rPr>
              <w:drawing>
                <wp:inline distT="0" distB="0" distL="0" distR="0" wp14:anchorId="17DCF638" wp14:editId="12DE8DE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2311C06" w14:textId="77777777" w:rsidR="00E9601C" w:rsidRPr="00E725C4" w:rsidRDefault="00E9601C" w:rsidP="00E9601C">
      <w:pPr>
        <w:pStyle w:val="LineTop"/>
      </w:pPr>
    </w:p>
    <w:p w14:paraId="710CF921" w14:textId="4937C9FB" w:rsidR="00E9601C" w:rsidRPr="00E725C4" w:rsidRDefault="00E9601C" w:rsidP="00E9601C">
      <w:pPr>
        <w:pStyle w:val="EPBody"/>
      </w:pPr>
      <w:r w:rsidRPr="00E725C4">
        <w:rPr>
          <w:rStyle w:val="HideTWBExt"/>
        </w:rPr>
        <w:t>&lt;</w:t>
      </w:r>
      <w:r w:rsidRPr="00E725C4">
        <w:rPr>
          <w:rStyle w:val="HideTWBExt"/>
          <w:i w:val="0"/>
        </w:rPr>
        <w:t>Commission</w:t>
      </w:r>
      <w:r w:rsidRPr="00E725C4">
        <w:rPr>
          <w:rStyle w:val="HideTWBExt"/>
        </w:rPr>
        <w:t>&gt;</w:t>
      </w:r>
      <w:r w:rsidRPr="00E725C4">
        <w:rPr>
          <w:rStyle w:val="HideTWBInt"/>
        </w:rPr>
        <w:t>{LIBE}</w:t>
      </w:r>
      <w:r w:rsidRPr="00E725C4">
        <w:t>Výbor pro občanské svobody, spravedlnost</w:t>
      </w:r>
      <w:r w:rsidR="00E725C4">
        <w:t xml:space="preserve"> a </w:t>
      </w:r>
      <w:r w:rsidRPr="00E725C4">
        <w:t>vnitřní věci</w:t>
      </w:r>
      <w:r w:rsidRPr="00E725C4">
        <w:rPr>
          <w:rStyle w:val="HideTWBExt"/>
        </w:rPr>
        <w:t>&lt;/</w:t>
      </w:r>
      <w:r w:rsidRPr="00E725C4">
        <w:rPr>
          <w:rStyle w:val="HideTWBExt"/>
          <w:i w:val="0"/>
        </w:rPr>
        <w:t>Commission</w:t>
      </w:r>
      <w:r w:rsidRPr="00E725C4">
        <w:rPr>
          <w:rStyle w:val="HideTWBExt"/>
        </w:rPr>
        <w:t>&gt;</w:t>
      </w:r>
    </w:p>
    <w:p w14:paraId="19BE56DC" w14:textId="77777777" w:rsidR="00E9601C" w:rsidRPr="00E725C4" w:rsidRDefault="00E9601C" w:rsidP="00E9601C">
      <w:pPr>
        <w:pStyle w:val="LineBottom"/>
      </w:pPr>
    </w:p>
    <w:p w14:paraId="3616F0BE" w14:textId="7467ADD1" w:rsidR="004E54DC" w:rsidRPr="00E725C4" w:rsidRDefault="004E54DC" w:rsidP="004E54DC">
      <w:pPr>
        <w:pStyle w:val="CoverReference"/>
      </w:pPr>
      <w:r w:rsidRPr="00E725C4">
        <w:rPr>
          <w:rStyle w:val="HideTWBExt"/>
          <w:b w:val="0"/>
        </w:rPr>
        <w:t>&lt;RefProc&gt;</w:t>
      </w:r>
      <w:r w:rsidRPr="00E725C4">
        <w:t>2025/2155</w:t>
      </w:r>
      <w:r w:rsidRPr="00E725C4">
        <w:rPr>
          <w:rStyle w:val="HideTWBExt"/>
          <w:b w:val="0"/>
        </w:rPr>
        <w:t>&lt;/RefProc&gt;&lt;RefTypeProc&gt;</w:t>
      </w:r>
      <w:r w:rsidRPr="00E725C4">
        <w:t>(DEC)</w:t>
      </w:r>
      <w:r w:rsidRPr="00E725C4">
        <w:rPr>
          <w:rStyle w:val="HideTWBExt"/>
          <w:b w:val="0"/>
        </w:rPr>
        <w:t>&lt;/RefTypeProc&gt;</w:t>
      </w:r>
    </w:p>
    <w:p w14:paraId="291E730E" w14:textId="13DD28AF" w:rsidR="002E2F2E" w:rsidRPr="00E725C4" w:rsidRDefault="002E2F2E">
      <w:pPr>
        <w:pStyle w:val="CoverDate"/>
      </w:pPr>
      <w:r w:rsidRPr="00E725C4">
        <w:rPr>
          <w:rStyle w:val="HideTWBExt"/>
        </w:rPr>
        <w:t>&lt;Date&gt;</w:t>
      </w:r>
      <w:r w:rsidRPr="00E725C4">
        <w:rPr>
          <w:rStyle w:val="HideTWBInt"/>
        </w:rPr>
        <w:t>{05/12/2025}</w:t>
      </w:r>
      <w:r w:rsidRPr="00E725C4">
        <w:t>5.12.2025</w:t>
      </w:r>
      <w:r w:rsidRPr="00E725C4">
        <w:rPr>
          <w:rStyle w:val="HideTWBExt"/>
        </w:rPr>
        <w:t>&lt;/Date&gt;</w:t>
      </w:r>
    </w:p>
    <w:p w14:paraId="1030A53F" w14:textId="760BEB36" w:rsidR="002E2F2E" w:rsidRPr="00E725C4" w:rsidRDefault="002E2F2E">
      <w:pPr>
        <w:pStyle w:val="CoverDocType24a"/>
      </w:pPr>
      <w:r w:rsidRPr="00E725C4">
        <w:rPr>
          <w:rStyle w:val="HideTWBExt"/>
          <w:b w:val="0"/>
        </w:rPr>
        <w:t>&lt;TitreType&gt;</w:t>
      </w:r>
      <w:r w:rsidRPr="00E725C4">
        <w:t>STANOVISKO</w:t>
      </w:r>
      <w:r w:rsidRPr="00E725C4">
        <w:rPr>
          <w:rStyle w:val="HideTWBExt"/>
          <w:b w:val="0"/>
        </w:rPr>
        <w:t>&lt;/TitreType&gt;</w:t>
      </w:r>
    </w:p>
    <w:p w14:paraId="35402E77" w14:textId="1E38D89A" w:rsidR="002E2F2E" w:rsidRPr="00E725C4" w:rsidRDefault="002E2F2E">
      <w:pPr>
        <w:pStyle w:val="CoverNormal24a"/>
      </w:pPr>
      <w:r w:rsidRPr="00E725C4">
        <w:rPr>
          <w:rStyle w:val="HideTWBExt"/>
        </w:rPr>
        <w:t>&lt;CommissionResp&gt;</w:t>
      </w:r>
      <w:r w:rsidRPr="00E725C4">
        <w:t>Výboru pro občanské svobody, spravedlnost</w:t>
      </w:r>
      <w:r w:rsidR="00E725C4">
        <w:t xml:space="preserve"> a </w:t>
      </w:r>
      <w:r w:rsidRPr="00E725C4">
        <w:t>vnitřní věci</w:t>
      </w:r>
      <w:r w:rsidRPr="00E725C4">
        <w:rPr>
          <w:rStyle w:val="HideTWBExt"/>
        </w:rPr>
        <w:t>&lt;/CommissionResp&gt;</w:t>
      </w:r>
    </w:p>
    <w:p w14:paraId="7A435721" w14:textId="77777777" w:rsidR="002E2F2E" w:rsidRPr="00E725C4" w:rsidRDefault="002E2F2E" w:rsidP="0095497D">
      <w:pPr>
        <w:pStyle w:val="CoverNormal24a"/>
      </w:pPr>
      <w:r w:rsidRPr="00E725C4">
        <w:rPr>
          <w:rStyle w:val="HideTWBExt"/>
        </w:rPr>
        <w:t>&lt;CommissionInt&gt;</w:t>
      </w:r>
      <w:r w:rsidRPr="00E725C4">
        <w:t>pro Výbor pro rozpočtovou kontrolu</w:t>
      </w:r>
      <w:r w:rsidRPr="00E725C4">
        <w:rPr>
          <w:rStyle w:val="HideTWBExt"/>
        </w:rPr>
        <w:t>&lt;/CommissionInt&gt;</w:t>
      </w:r>
    </w:p>
    <w:p w14:paraId="04728D45" w14:textId="6387E1FD" w:rsidR="002E2F2E" w:rsidRPr="00E725C4" w:rsidRDefault="002E2F2E">
      <w:pPr>
        <w:pStyle w:val="CoverNormal"/>
      </w:pPr>
      <w:r w:rsidRPr="00E725C4">
        <w:rPr>
          <w:rStyle w:val="HideTWBExt"/>
        </w:rPr>
        <w:t>&lt;Titre&gt;</w:t>
      </w:r>
      <w:r w:rsidRPr="00E725C4">
        <w:t>k udělení absolutoria za plnění rozpočtu Úřadu evropského veřejného žalobce na rozpočtový rok 2024</w:t>
      </w:r>
      <w:r w:rsidRPr="00E725C4">
        <w:rPr>
          <w:rStyle w:val="HideTWBExt"/>
        </w:rPr>
        <w:t>&lt;/Titre&gt;</w:t>
      </w:r>
    </w:p>
    <w:p w14:paraId="39A24258" w14:textId="3E7DA3D7" w:rsidR="002E2F2E" w:rsidRPr="00E725C4" w:rsidRDefault="002E2F2E">
      <w:pPr>
        <w:pStyle w:val="CoverNormal24a"/>
      </w:pPr>
      <w:r w:rsidRPr="00E725C4">
        <w:rPr>
          <w:rStyle w:val="HideTWBExt"/>
        </w:rPr>
        <w:t>&lt;DocRef&gt;</w:t>
      </w:r>
      <w:r w:rsidRPr="00E725C4">
        <w:t>(2025/2155(DEC))</w:t>
      </w:r>
      <w:r w:rsidRPr="00E725C4">
        <w:rPr>
          <w:rStyle w:val="HideTWBExt"/>
        </w:rPr>
        <w:t>&lt;/DocRef&gt;</w:t>
      </w:r>
    </w:p>
    <w:p w14:paraId="20D7FF3D" w14:textId="10257FC0" w:rsidR="002E2F2E" w:rsidRPr="00E725C4" w:rsidRDefault="00712FEA">
      <w:pPr>
        <w:pStyle w:val="CoverNormal24a"/>
      </w:pPr>
      <w:r w:rsidRPr="00E725C4">
        <w:t xml:space="preserve">Zpravodajka: </w:t>
      </w:r>
      <w:r w:rsidRPr="00E725C4">
        <w:rPr>
          <w:rStyle w:val="HideTWBExt"/>
        </w:rPr>
        <w:t>&lt;Depute&gt;</w:t>
      </w:r>
      <w:r w:rsidRPr="00E725C4">
        <w:t>Evin Incir</w:t>
      </w:r>
      <w:r w:rsidRPr="00E725C4">
        <w:rPr>
          <w:rStyle w:val="HideTWBExt"/>
        </w:rPr>
        <w:t>&lt;/Depute&gt;</w:t>
      </w:r>
    </w:p>
    <w:p w14:paraId="196795C3" w14:textId="77777777" w:rsidR="00977F76" w:rsidRPr="00E725C4" w:rsidRDefault="00977F76" w:rsidP="00977F76">
      <w:pPr>
        <w:pStyle w:val="CoverNormal"/>
      </w:pPr>
    </w:p>
    <w:p w14:paraId="35E92212" w14:textId="77777777" w:rsidR="002E2F2E" w:rsidRPr="00E725C4" w:rsidRDefault="002E2F2E" w:rsidP="00BB2AC1">
      <w:pPr>
        <w:widowControl/>
        <w:tabs>
          <w:tab w:val="center" w:pos="4677"/>
        </w:tabs>
      </w:pPr>
      <w:r w:rsidRPr="00E725C4">
        <w:br w:type="page"/>
      </w:r>
      <w:r w:rsidRPr="00E725C4">
        <w:lastRenderedPageBreak/>
        <w:t>PA_NonLegDec</w:t>
      </w:r>
    </w:p>
    <w:p w14:paraId="4BCCEA46" w14:textId="77777777" w:rsidR="003E06CF" w:rsidRPr="00E725C4" w:rsidRDefault="002E2F2E" w:rsidP="003E06CF">
      <w:pPr>
        <w:pStyle w:val="PageHeadingNotTOC"/>
      </w:pPr>
      <w:r w:rsidRPr="00E725C4">
        <w:br w:type="page"/>
      </w:r>
      <w:r w:rsidRPr="00E725C4">
        <w:lastRenderedPageBreak/>
        <w:t>STANOVISKO</w:t>
      </w:r>
    </w:p>
    <w:p w14:paraId="0F446230" w14:textId="2474793B" w:rsidR="003E06CF" w:rsidRPr="00E725C4" w:rsidRDefault="00712FEA" w:rsidP="003E06CF">
      <w:pPr>
        <w:pStyle w:val="Normal12a"/>
      </w:pPr>
      <w:r w:rsidRPr="00E725C4">
        <w:t>Výbor pro občanské svobody, spravedlnost</w:t>
      </w:r>
      <w:r w:rsidR="00E725C4">
        <w:t xml:space="preserve"> a </w:t>
      </w:r>
      <w:r w:rsidRPr="00E725C4">
        <w:t>vnitřní věci vyzývá Výbor pro rozpočtovou kontrolu jako příslušný výbor, aby do návrhu usnesení, který přijme, začlenil následující:</w:t>
      </w:r>
    </w:p>
    <w:p w14:paraId="1D285BFF" w14:textId="017CC38A" w:rsidR="00D42C91" w:rsidRPr="00E725C4" w:rsidRDefault="003E06CF" w:rsidP="00D42C91">
      <w:pPr>
        <w:pStyle w:val="Normal12a"/>
        <w:ind w:left="567" w:hanging="567"/>
      </w:pPr>
      <w:r w:rsidRPr="00E725C4">
        <w:t>1.</w:t>
      </w:r>
      <w:r w:rsidRPr="00E725C4">
        <w:tab/>
        <w:t>bere na vědomí, že počet případů, které řeší Úřad evropského veřejného žalobce (EPPO), se zvyšuje, přičemž</w:t>
      </w:r>
      <w:r w:rsidR="00E725C4">
        <w:t xml:space="preserve"> v </w:t>
      </w:r>
      <w:r w:rsidRPr="00E725C4">
        <w:t>roce 2024 bylo evidováno 2666 probíhajících vyšetřování,</w:t>
      </w:r>
      <w:r w:rsidR="00E725C4">
        <w:t xml:space="preserve"> z </w:t>
      </w:r>
      <w:r w:rsidRPr="00E725C4">
        <w:t>nichž téměř 30 % mělo přeshraniční rozměr,</w:t>
      </w:r>
      <w:r w:rsidR="00E725C4">
        <w:t xml:space="preserve"> a </w:t>
      </w:r>
      <w:r w:rsidRPr="00E725C4">
        <w:t>došlo</w:t>
      </w:r>
      <w:r w:rsidR="00E725C4">
        <w:t xml:space="preserve"> k </w:t>
      </w:r>
      <w:r w:rsidRPr="00E725C4">
        <w:t>podstatnému zvýšení míry obžaloby (47 %)</w:t>
      </w:r>
      <w:r w:rsidR="00E725C4">
        <w:t xml:space="preserve"> a </w:t>
      </w:r>
      <w:r w:rsidRPr="00E725C4">
        <w:t>zajištění majetku, které si vyžádali evropští pověření žalobci;</w:t>
      </w:r>
    </w:p>
    <w:p w14:paraId="228923EC" w14:textId="5A23074B" w:rsidR="00D42C91" w:rsidRPr="00E725C4" w:rsidRDefault="00D42C91" w:rsidP="00D42C91">
      <w:pPr>
        <w:pStyle w:val="NormalHanging12a"/>
        <w:rPr>
          <w:b/>
          <w:i/>
          <w:szCs w:val="24"/>
        </w:rPr>
      </w:pPr>
      <w:r w:rsidRPr="00E725C4">
        <w:t>2</w:t>
      </w:r>
      <w:r w:rsidRPr="00E725C4">
        <w:rPr>
          <w:b/>
          <w:i/>
        </w:rPr>
        <w:t>.</w:t>
      </w:r>
      <w:r w:rsidRPr="00E725C4">
        <w:rPr>
          <w:b/>
          <w:i/>
        </w:rPr>
        <w:tab/>
      </w:r>
      <w:r w:rsidRPr="00E725C4">
        <w:t>konstatuje, že</w:t>
      </w:r>
      <w:r w:rsidR="00E725C4">
        <w:t xml:space="preserve"> v </w:t>
      </w:r>
      <w:r w:rsidRPr="00E725C4">
        <w:t>roce 2024 úřad EPPO zpracoval 6 547 oznámení</w:t>
      </w:r>
      <w:r w:rsidR="00E725C4">
        <w:t xml:space="preserve"> o </w:t>
      </w:r>
      <w:r w:rsidRPr="00E725C4">
        <w:t>trestných činech, což představuje nárůst</w:t>
      </w:r>
      <w:r w:rsidR="00E725C4">
        <w:t xml:space="preserve"> o </w:t>
      </w:r>
      <w:r w:rsidRPr="00E725C4">
        <w:t>56 % ve srovnání</w:t>
      </w:r>
      <w:r w:rsidR="00E725C4">
        <w:t xml:space="preserve"> s </w:t>
      </w:r>
      <w:r w:rsidRPr="00E725C4">
        <w:t>rokem 2023</w:t>
      </w:r>
      <w:r w:rsidR="00E725C4">
        <w:t xml:space="preserve"> a </w:t>
      </w:r>
      <w:r w:rsidRPr="00E725C4">
        <w:t>je způsobeno především výrazným nárůstem oznámení od soukromých subjektů (o 85 %)</w:t>
      </w:r>
      <w:r w:rsidR="00E725C4">
        <w:t xml:space="preserve"> a </w:t>
      </w:r>
      <w:r w:rsidRPr="00E725C4">
        <w:t>vnitrostátních orgánů (o 12 %),</w:t>
      </w:r>
      <w:r w:rsidR="00E725C4">
        <w:t xml:space="preserve"> a </w:t>
      </w:r>
      <w:r w:rsidRPr="00E725C4">
        <w:t>že tato skutečnost svědčí</w:t>
      </w:r>
      <w:r w:rsidR="00E725C4">
        <w:t xml:space="preserve"> o </w:t>
      </w:r>
      <w:r w:rsidRPr="00E725C4">
        <w:t>lepším odhalování podvodů poškozujících finanční zájmy Unie</w:t>
      </w:r>
      <w:r w:rsidR="00E725C4">
        <w:t xml:space="preserve"> v </w:t>
      </w:r>
      <w:r w:rsidRPr="00E725C4">
        <w:t>zúčastněných členských státech</w:t>
      </w:r>
      <w:r w:rsidR="00E725C4">
        <w:t xml:space="preserve"> a </w:t>
      </w:r>
      <w:r w:rsidRPr="00E725C4">
        <w:t>větší informovanosti veřejnosti</w:t>
      </w:r>
      <w:r w:rsidR="00E725C4">
        <w:t xml:space="preserve"> o </w:t>
      </w:r>
      <w:r w:rsidRPr="00E725C4">
        <w:t>úloze úřadu EPPO;</w:t>
      </w:r>
      <w:r w:rsidRPr="00E725C4">
        <w:rPr>
          <w:b/>
          <w:i/>
        </w:rPr>
        <w:t xml:space="preserve"> </w:t>
      </w:r>
    </w:p>
    <w:p w14:paraId="0233D494" w14:textId="644450DD" w:rsidR="00D42C91" w:rsidRPr="00E725C4" w:rsidRDefault="00D42C91" w:rsidP="00D42C91">
      <w:pPr>
        <w:pStyle w:val="NormalHanging12a"/>
      </w:pPr>
      <w:r w:rsidRPr="00E725C4">
        <w:t>3.</w:t>
      </w:r>
      <w:r w:rsidRPr="00E725C4">
        <w:tab/>
        <w:t>poukazuje na rostoucí počet případů souvisejících</w:t>
      </w:r>
      <w:r w:rsidR="00E725C4">
        <w:t xml:space="preserve"> s </w:t>
      </w:r>
      <w:r w:rsidRPr="00E725C4">
        <w:t>přeshraničními podvody</w:t>
      </w:r>
      <w:r w:rsidR="00E725C4">
        <w:t xml:space="preserve"> v </w:t>
      </w:r>
      <w:r w:rsidRPr="00E725C4">
        <w:t>oblasti DPH, které představují více než polovinu odhadovaných škod, jež byly předmětem vyšetřování úřadu EPPO; dále bere na vědomí podstatné zvýšení počtu vyšetřování týkajících se provádění financování nástroje NextGenerationEU (nárůst</w:t>
      </w:r>
      <w:r w:rsidR="00E725C4">
        <w:t xml:space="preserve"> o </w:t>
      </w:r>
      <w:r w:rsidRPr="00E725C4">
        <w:t xml:space="preserve">25 %); </w:t>
      </w:r>
    </w:p>
    <w:p w14:paraId="196EDBF4" w14:textId="0228E9B6" w:rsidR="00D42C91" w:rsidRPr="00E725C4" w:rsidRDefault="00D42C91" w:rsidP="00D42C91">
      <w:pPr>
        <w:pStyle w:val="NormalHanging12a"/>
      </w:pPr>
      <w:r w:rsidRPr="00E725C4">
        <w:t xml:space="preserve">4. </w:t>
      </w:r>
      <w:r w:rsidRPr="00E725C4">
        <w:tab/>
        <w:t>zdůrazňuje, že naprostá většina vyšetřování podvodů</w:t>
      </w:r>
      <w:r w:rsidR="00E725C4">
        <w:t xml:space="preserve"> a </w:t>
      </w:r>
      <w:r w:rsidRPr="00E725C4">
        <w:t>jiných trestných činů poškozujících rozpočet EU je</w:t>
      </w:r>
      <w:r w:rsidR="00E725C4">
        <w:t xml:space="preserve"> i </w:t>
      </w:r>
      <w:r w:rsidRPr="00E725C4">
        <w:t>nadále ztížena rozdílnými vnitrostátními právními předpisy</w:t>
      </w:r>
      <w:r w:rsidR="00E725C4">
        <w:t xml:space="preserve"> a </w:t>
      </w:r>
      <w:r w:rsidRPr="00E725C4">
        <w:t>nerovnoměrným úsilím členských států</w:t>
      </w:r>
      <w:r w:rsidR="00E725C4">
        <w:t xml:space="preserve"> o </w:t>
      </w:r>
      <w:r w:rsidRPr="00E725C4">
        <w:t>prosazování právních předpisů;</w:t>
      </w:r>
    </w:p>
    <w:p w14:paraId="4CF8DD3C" w14:textId="2C4944DC" w:rsidR="00D42C91" w:rsidRPr="00E725C4" w:rsidRDefault="00D42C91" w:rsidP="00D42C91">
      <w:pPr>
        <w:pStyle w:val="NormalHanging12a"/>
        <w:rPr>
          <w:bCs/>
          <w:iCs/>
          <w:szCs w:val="24"/>
        </w:rPr>
      </w:pPr>
      <w:r w:rsidRPr="00E725C4">
        <w:t>5.</w:t>
      </w:r>
      <w:r w:rsidRPr="00E725C4">
        <w:tab/>
        <w:t>zdůrazňuje, že pracovní zátěž EPPO byla</w:t>
      </w:r>
      <w:r w:rsidR="00E725C4">
        <w:t xml:space="preserve"> v </w:t>
      </w:r>
      <w:r w:rsidRPr="00E725C4">
        <w:t>původním rozpočtovém rámci značně podhodnocena, takže úřad byl strukturálně podfinancován</w:t>
      </w:r>
      <w:r w:rsidR="00E725C4">
        <w:t xml:space="preserve"> a </w:t>
      </w:r>
      <w:r w:rsidRPr="00E725C4">
        <w:t>nemá dostatek zaměstnanců; zdůrazňuje, že rostoucí objem vyšetřování nelze zvládat bez odpovídajícího personálního obsazení</w:t>
      </w:r>
      <w:r w:rsidR="00E725C4">
        <w:t xml:space="preserve"> a </w:t>
      </w:r>
      <w:r w:rsidRPr="00E725C4">
        <w:t>náležitých zdrojů, které zajistí, aby financování bylo doprovázeno silnějšími mechanismy odpovědnosti</w:t>
      </w:r>
      <w:r w:rsidR="00E725C4">
        <w:t xml:space="preserve"> a </w:t>
      </w:r>
      <w:r w:rsidRPr="00E725C4">
        <w:t>pravidelnými přezkumy výkonnosti</w:t>
      </w:r>
      <w:r w:rsidR="00E725C4">
        <w:t xml:space="preserve"> s </w:t>
      </w:r>
      <w:r w:rsidRPr="00E725C4">
        <w:t>cílem zaručit účinné využívání peněz daňových poplatníků EU; vyzývá Komisi, aby ve spolupráci</w:t>
      </w:r>
      <w:r w:rsidR="00E725C4">
        <w:t xml:space="preserve"> s </w:t>
      </w:r>
      <w:r w:rsidRPr="00E725C4">
        <w:t>úřadem EPPO provedla aktualizované posouzení jeho potřeb</w:t>
      </w:r>
      <w:r w:rsidR="00E725C4">
        <w:t xml:space="preserve"> s </w:t>
      </w:r>
      <w:r w:rsidRPr="00E725C4">
        <w:t>ohledem na příští víceletý finanční rámec, který by měl rovněž zohlednit rozšíření územní působnosti úřadu EPPO na Švédsko</w:t>
      </w:r>
      <w:r w:rsidR="00E725C4">
        <w:t xml:space="preserve"> a </w:t>
      </w:r>
      <w:r w:rsidRPr="00E725C4">
        <w:t>Polsko; připomíná, že úřad EPPO je jedním</w:t>
      </w:r>
      <w:r w:rsidR="00E725C4">
        <w:t xml:space="preserve"> z </w:t>
      </w:r>
      <w:r w:rsidRPr="00E725C4">
        <w:t>mála subjektů EU, které poskytují zdroje do rozpočtu EU</w:t>
      </w:r>
      <w:r w:rsidR="00E725C4">
        <w:t xml:space="preserve"> v </w:t>
      </w:r>
      <w:r w:rsidRPr="00E725C4">
        <w:t>souvislosti</w:t>
      </w:r>
      <w:r w:rsidR="00E725C4">
        <w:t xml:space="preserve"> s </w:t>
      </w:r>
      <w:r w:rsidRPr="00E725C4">
        <w:t>ochranou finančních zájmů EU;</w:t>
      </w:r>
    </w:p>
    <w:p w14:paraId="024C1D1E" w14:textId="5C97393A" w:rsidR="00D42C91" w:rsidRPr="00E725C4" w:rsidRDefault="00D42C91" w:rsidP="00D42C91">
      <w:pPr>
        <w:pStyle w:val="NormalHanging12a"/>
        <w:rPr>
          <w:szCs w:val="24"/>
        </w:rPr>
      </w:pPr>
      <w:r w:rsidRPr="00E725C4">
        <w:t>6.</w:t>
      </w:r>
      <w:r w:rsidRPr="00E725C4">
        <w:tab/>
        <w:t>zdůrazňuje, že přezkum legislativního rámce, kterým se řídí činnost agentur Europol</w:t>
      </w:r>
      <w:r w:rsidR="00E725C4">
        <w:t xml:space="preserve"> a </w:t>
      </w:r>
      <w:r w:rsidRPr="00E725C4">
        <w:t>Eurojust</w:t>
      </w:r>
      <w:r w:rsidR="00E725C4">
        <w:t xml:space="preserve"> a </w:t>
      </w:r>
      <w:r w:rsidRPr="00E725C4">
        <w:t>úřadů OLAF</w:t>
      </w:r>
      <w:r w:rsidR="00E725C4">
        <w:t xml:space="preserve"> a </w:t>
      </w:r>
      <w:r w:rsidRPr="00E725C4">
        <w:t>EPPO, by měl poskytnout příležitost</w:t>
      </w:r>
      <w:r w:rsidR="00E725C4">
        <w:t xml:space="preserve"> k </w:t>
      </w:r>
      <w:r w:rsidRPr="00E725C4">
        <w:t>dosažení co největší účinnosti při sledování společných cílů, zejména</w:t>
      </w:r>
      <w:r w:rsidR="00E725C4">
        <w:t xml:space="preserve"> v </w:t>
      </w:r>
      <w:r w:rsidRPr="00E725C4">
        <w:t>boji proti podvodům, finanční trestné činnosti, korupci</w:t>
      </w:r>
      <w:r w:rsidR="00E725C4">
        <w:t xml:space="preserve"> a </w:t>
      </w:r>
      <w:r w:rsidRPr="00E725C4">
        <w:t>jiným trestným činům poškozujícím finanční zájmy EU,</w:t>
      </w:r>
      <w:r w:rsidR="00E725C4">
        <w:t xml:space="preserve"> a </w:t>
      </w:r>
      <w:r w:rsidRPr="00E725C4">
        <w:t>zároveň zabránit zdvojování úsilí; zdůrazňuje, že užší operativní spolupráce</w:t>
      </w:r>
      <w:r w:rsidR="00E725C4">
        <w:t xml:space="preserve"> a </w:t>
      </w:r>
      <w:r w:rsidRPr="00E725C4">
        <w:t>sdílené analytické kapacity</w:t>
      </w:r>
      <w:r w:rsidR="00E725C4">
        <w:t xml:space="preserve"> s </w:t>
      </w:r>
      <w:r w:rsidRPr="00E725C4">
        <w:t>dalšími agenturami EU, jako je Europol, Eurojust</w:t>
      </w:r>
      <w:r w:rsidR="00E725C4">
        <w:t xml:space="preserve"> a </w:t>
      </w:r>
      <w:r w:rsidRPr="00E725C4">
        <w:t>OLAF, by mohly přinést významné úspory</w:t>
      </w:r>
      <w:r w:rsidR="00E725C4">
        <w:t xml:space="preserve"> z </w:t>
      </w:r>
      <w:r w:rsidRPr="00E725C4">
        <w:t>rozsahu</w:t>
      </w:r>
      <w:r w:rsidR="00E725C4">
        <w:t xml:space="preserve"> a </w:t>
      </w:r>
      <w:r w:rsidRPr="00E725C4">
        <w:t>zlepšit celkovou účinnost; vyzývá úřad EPPO, aby navázal řádnou spolupráci</w:t>
      </w:r>
      <w:r w:rsidR="00E725C4">
        <w:t xml:space="preserve"> s </w:t>
      </w:r>
      <w:r w:rsidRPr="00E725C4">
        <w:t>dalšími agenturami, které sledují společné cíle</w:t>
      </w:r>
      <w:r w:rsidR="00E725C4">
        <w:t xml:space="preserve"> a </w:t>
      </w:r>
      <w:r w:rsidRPr="00E725C4">
        <w:t>nabízejí vysoký potenciál doplňkovosti; poukazuje</w:t>
      </w:r>
      <w:r w:rsidR="00E725C4">
        <w:t xml:space="preserve"> v </w:t>
      </w:r>
      <w:r w:rsidRPr="00E725C4">
        <w:t>této souvislosti zejména na nově zřízený Orgán pro boj proti praní peněz (AMLA)</w:t>
      </w:r>
      <w:r w:rsidR="00E725C4">
        <w:t xml:space="preserve"> a </w:t>
      </w:r>
      <w:r w:rsidRPr="00E725C4">
        <w:t>budoucí Celní úřad EU; zdůrazňuje, že účinné odhalování podvodů</w:t>
      </w:r>
      <w:r w:rsidR="00E725C4">
        <w:t xml:space="preserve"> a </w:t>
      </w:r>
      <w:r w:rsidRPr="00E725C4">
        <w:t>finanční trestné činnosti závisí na skutečné spolupráci založené na datech</w:t>
      </w:r>
      <w:r w:rsidR="00E725C4">
        <w:t xml:space="preserve"> a </w:t>
      </w:r>
      <w:r w:rsidRPr="00E725C4">
        <w:t>sdílení informací mezi všemi aktéry</w:t>
      </w:r>
      <w:r w:rsidR="00E725C4">
        <w:t xml:space="preserve"> v </w:t>
      </w:r>
      <w:r w:rsidRPr="00E725C4">
        <w:t>rámci struktury EU pro boj proti podvodům; zdůrazňuje, že tato spolupráce musí probíhat</w:t>
      </w:r>
      <w:r w:rsidR="00E725C4">
        <w:t xml:space="preserve"> v </w:t>
      </w:r>
      <w:r w:rsidRPr="00E725C4">
        <w:t>plném souladu</w:t>
      </w:r>
      <w:r w:rsidR="00E725C4">
        <w:t xml:space="preserve"> s </w:t>
      </w:r>
      <w:r w:rsidRPr="00E725C4">
        <w:t>pravidly pro ochranu údajů</w:t>
      </w:r>
      <w:r w:rsidR="00E725C4">
        <w:t xml:space="preserve"> a </w:t>
      </w:r>
      <w:r w:rsidRPr="00E725C4">
        <w:t>procesními zárukami;</w:t>
      </w:r>
    </w:p>
    <w:p w14:paraId="3D05C4F7" w14:textId="648A2A4D" w:rsidR="00D42C91" w:rsidRPr="00E725C4" w:rsidRDefault="00D42C91" w:rsidP="00D42C91">
      <w:pPr>
        <w:pStyle w:val="NormalHanging12a"/>
      </w:pPr>
      <w:r w:rsidRPr="00E725C4">
        <w:t>7.</w:t>
      </w:r>
      <w:r w:rsidRPr="00E725C4">
        <w:tab/>
        <w:t>připomíná závazek Komise urychlit přezkum mandátu úřadu EPPO</w:t>
      </w:r>
      <w:r w:rsidR="00E725C4">
        <w:t xml:space="preserve"> a </w:t>
      </w:r>
      <w:r w:rsidRPr="00E725C4">
        <w:t>očekává, že tento přezkum povede</w:t>
      </w:r>
      <w:r w:rsidR="00E725C4">
        <w:t xml:space="preserve"> k </w:t>
      </w:r>
      <w:r w:rsidRPr="00E725C4">
        <w:t>rozšíření jeho pravomocí; upozorňuje, že již několikrát vyzýval</w:t>
      </w:r>
      <w:r w:rsidR="00E725C4">
        <w:t xml:space="preserve"> k </w:t>
      </w:r>
      <w:r w:rsidRPr="00E725C4">
        <w:t>rozšíření jurisdikce úřadu EPPO na další oblasti závažné trestné činnosti, jako je porušování sankcí EU; zdůrazňuje však, že tomuto rozšíření musí předcházet úplné posouzení dopadů</w:t>
      </w:r>
      <w:r w:rsidR="00E725C4">
        <w:t xml:space="preserve"> a </w:t>
      </w:r>
      <w:r w:rsidRPr="00E725C4">
        <w:t>dostatečné rozpočtové</w:t>
      </w:r>
      <w:r w:rsidR="00E725C4">
        <w:t xml:space="preserve"> a </w:t>
      </w:r>
      <w:r w:rsidRPr="00E725C4">
        <w:t>lidské zdroje, aby byla zajištěna provozní účinnost;</w:t>
      </w:r>
    </w:p>
    <w:p w14:paraId="216212FF" w14:textId="05F770B2" w:rsidR="00D42C91" w:rsidRPr="00E725C4" w:rsidRDefault="00D42C91" w:rsidP="00D42C91">
      <w:pPr>
        <w:pStyle w:val="NormalHanging12a"/>
        <w:rPr>
          <w:szCs w:val="24"/>
        </w:rPr>
      </w:pPr>
      <w:r w:rsidRPr="00E725C4">
        <w:t>8.</w:t>
      </w:r>
      <w:r w:rsidRPr="00E725C4">
        <w:tab/>
        <w:t>konstatuje, že je třeba, aby úřad EPPO obdržel odpovídající zdroje, pomocí nichž by mohl vytvořit autonomní digitální systémy pro řešení čím dál složitější finanční trestné činnosti vyznačující se rostoucí důmyslností, jež je výsledkem vznikajících digitálních technologií; vyjadřuje znepokojení nad zpožděním ve vývoji systému správy případů; bere na vědomí značné množství údajů, které úřad EPPO shromažďuje během vyšetřování, zejména ve složitých případech finanční</w:t>
      </w:r>
      <w:r w:rsidR="00E725C4">
        <w:t xml:space="preserve"> a </w:t>
      </w:r>
      <w:r w:rsidRPr="00E725C4">
        <w:t>organizované trestné činnosti</w:t>
      </w:r>
      <w:r w:rsidR="00E725C4">
        <w:t xml:space="preserve"> a </w:t>
      </w:r>
      <w:r w:rsidRPr="00E725C4">
        <w:t>praní peněz,</w:t>
      </w:r>
      <w:r w:rsidR="00E725C4">
        <w:t xml:space="preserve"> a </w:t>
      </w:r>
      <w:r w:rsidRPr="00E725C4">
        <w:t>které jsou stále nedostatečně využívány</w:t>
      </w:r>
      <w:r w:rsidR="00E725C4">
        <w:t xml:space="preserve"> z </w:t>
      </w:r>
      <w:r w:rsidRPr="00E725C4">
        <w:t>důvodu nedostatečné vnitřní analytické kapacity; vítá přijetí strategie</w:t>
      </w:r>
      <w:r w:rsidR="00E725C4">
        <w:t xml:space="preserve"> a </w:t>
      </w:r>
      <w:r w:rsidRPr="00E725C4">
        <w:t>rámce pro kybernetickou bezpečnost úřadu EPPO</w:t>
      </w:r>
      <w:r w:rsidR="00E725C4">
        <w:t xml:space="preserve"> a </w:t>
      </w:r>
      <w:r w:rsidRPr="00E725C4">
        <w:t>vyzývá</w:t>
      </w:r>
      <w:r w:rsidR="00E725C4">
        <w:t xml:space="preserve"> k </w:t>
      </w:r>
      <w:r w:rsidRPr="00E725C4">
        <w:t>jejich rychlému</w:t>
      </w:r>
      <w:r w:rsidR="00E725C4">
        <w:t xml:space="preserve"> a </w:t>
      </w:r>
      <w:r w:rsidRPr="00E725C4">
        <w:t>komplexnímu provádění; vybízí úřad EPPO, aby ve své digitální transformaci upřednostňoval interoperabilitu</w:t>
      </w:r>
      <w:r w:rsidR="00E725C4">
        <w:t xml:space="preserve"> a </w:t>
      </w:r>
      <w:r w:rsidRPr="00E725C4">
        <w:t>bezpečnost údajů</w:t>
      </w:r>
      <w:r w:rsidR="00E725C4">
        <w:t xml:space="preserve"> a </w:t>
      </w:r>
      <w:r w:rsidRPr="00E725C4">
        <w:t>zajistil kompatibilitu se systémy Europolu</w:t>
      </w:r>
      <w:r w:rsidR="00E725C4">
        <w:t xml:space="preserve"> a </w:t>
      </w:r>
      <w:r w:rsidRPr="00E725C4">
        <w:t>Eurojustu</w:t>
      </w:r>
      <w:r w:rsidR="00E725C4">
        <w:t xml:space="preserve"> a </w:t>
      </w:r>
      <w:r w:rsidRPr="00E725C4">
        <w:t>zároveň chránil základní práva;</w:t>
      </w:r>
    </w:p>
    <w:p w14:paraId="4A7F9442" w14:textId="406B6629" w:rsidR="00D42C91" w:rsidRPr="00E725C4" w:rsidRDefault="00D42C91" w:rsidP="00D42C91">
      <w:pPr>
        <w:pStyle w:val="NormalHanging12a"/>
        <w:rPr>
          <w:szCs w:val="24"/>
        </w:rPr>
      </w:pPr>
      <w:r w:rsidRPr="00E725C4">
        <w:t>9.</w:t>
      </w:r>
      <w:r w:rsidRPr="00E725C4">
        <w:tab/>
        <w:t>naléhavě vyzývá členské státy, které se dosud nepřipojily</w:t>
      </w:r>
      <w:r w:rsidR="00E725C4">
        <w:t xml:space="preserve"> k </w:t>
      </w:r>
      <w:r w:rsidRPr="00E725C4">
        <w:t>úřadu EPPO, aby tak neprodleně učinily</w:t>
      </w:r>
      <w:r w:rsidR="00E725C4">
        <w:t xml:space="preserve"> s </w:t>
      </w:r>
      <w:r w:rsidRPr="00E725C4">
        <w:t>cílem zajistit skutečně celoevropský systém trestního soudnictví schopný chránit finanční zájmy Unie</w:t>
      </w:r>
      <w:r w:rsidR="00E725C4">
        <w:t xml:space="preserve"> a </w:t>
      </w:r>
      <w:r w:rsidRPr="00E725C4">
        <w:t>účinně reagovat na přeshraniční organizovanou trestnou činnost</w:t>
      </w:r>
      <w:r w:rsidR="00E725C4">
        <w:t xml:space="preserve"> a </w:t>
      </w:r>
      <w:r w:rsidRPr="00E725C4">
        <w:t>korupci; zdůrazňuje, že roztříštěnost vyplývající</w:t>
      </w:r>
      <w:r w:rsidR="00E725C4">
        <w:t xml:space="preserve"> z </w:t>
      </w:r>
      <w:r w:rsidRPr="00E725C4">
        <w:t>neúčasti oslabuje soudržnost</w:t>
      </w:r>
      <w:r w:rsidR="00E725C4">
        <w:t xml:space="preserve"> a </w:t>
      </w:r>
      <w:r w:rsidRPr="00E725C4">
        <w:t>účinnost soudní struktury EU</w:t>
      </w:r>
      <w:r w:rsidR="00E725C4">
        <w:t xml:space="preserve"> a </w:t>
      </w:r>
      <w:r w:rsidRPr="00E725C4">
        <w:t>že plná účast všech členských států by výrazně posílila schopnost Unie odhalovat, vyšetřovat</w:t>
      </w:r>
      <w:r w:rsidR="00E725C4">
        <w:t xml:space="preserve"> a </w:t>
      </w:r>
      <w:r w:rsidRPr="00E725C4">
        <w:t>stíhat závažné trestné činy poškozující rozpočet EU; připomíná, že účast na spolupráci</w:t>
      </w:r>
      <w:r w:rsidR="00E725C4">
        <w:t xml:space="preserve"> s </w:t>
      </w:r>
      <w:r w:rsidRPr="00E725C4">
        <w:t>úřadem EPPO je základním kamenem společné unijní struktury</w:t>
      </w:r>
      <w:r w:rsidR="00E725C4">
        <w:t xml:space="preserve"> v </w:t>
      </w:r>
      <w:r w:rsidRPr="00E725C4">
        <w:t>oblasti soudnictví</w:t>
      </w:r>
      <w:r w:rsidR="00E725C4">
        <w:t xml:space="preserve"> a </w:t>
      </w:r>
      <w:r w:rsidRPr="00E725C4">
        <w:t>boje proti podvodům, neboť zajišťuje účinnou ochranu finančních zájmů EU</w:t>
      </w:r>
      <w:r w:rsidR="00E725C4">
        <w:t xml:space="preserve"> a </w:t>
      </w:r>
      <w:r w:rsidRPr="00E725C4">
        <w:t>integritu jejích orgánů; vyzývá</w:t>
      </w:r>
      <w:r w:rsidR="00E725C4">
        <w:t xml:space="preserve"> k </w:t>
      </w:r>
      <w:r w:rsidRPr="00E725C4">
        <w:t>tomu, aby byla</w:t>
      </w:r>
      <w:r w:rsidR="00E725C4">
        <w:t xml:space="preserve"> v </w:t>
      </w:r>
      <w:r w:rsidRPr="00E725C4">
        <w:t>rámci procesu přistoupení</w:t>
      </w:r>
      <w:r w:rsidR="00E725C4">
        <w:t xml:space="preserve"> k </w:t>
      </w:r>
      <w:r w:rsidRPr="00E725C4">
        <w:t>EU vyžadována účast na spolupráci</w:t>
      </w:r>
      <w:r w:rsidR="00E725C4">
        <w:t xml:space="preserve"> s </w:t>
      </w:r>
      <w:r w:rsidRPr="00E725C4">
        <w:t>úřadem EPPO od všech budoucích členských států, aby tak byla zajištěna jednotná úroveň odpovědnosti, justiční spolupráce</w:t>
      </w:r>
      <w:r w:rsidR="00E725C4">
        <w:t xml:space="preserve"> a </w:t>
      </w:r>
      <w:r w:rsidRPr="00E725C4">
        <w:t>prosazování právních předpisů</w:t>
      </w:r>
      <w:r w:rsidR="00E725C4">
        <w:t xml:space="preserve"> v </w:t>
      </w:r>
      <w:r w:rsidRPr="00E725C4">
        <w:t>celé Unii;</w:t>
      </w:r>
    </w:p>
    <w:p w14:paraId="2EE7A00B" w14:textId="7FB8444C" w:rsidR="00712FEA" w:rsidRPr="00E725C4" w:rsidRDefault="00D42C91" w:rsidP="00D42C91">
      <w:pPr>
        <w:pStyle w:val="NormalHanging12a"/>
      </w:pPr>
      <w:r w:rsidRPr="00E725C4">
        <w:t>10.</w:t>
      </w:r>
      <w:r w:rsidRPr="00E725C4">
        <w:tab/>
        <w:t>zdůrazňuje, že je nezbytný nepřetržitý</w:t>
      </w:r>
      <w:r w:rsidR="00E725C4">
        <w:t xml:space="preserve"> a </w:t>
      </w:r>
      <w:r w:rsidRPr="00E725C4">
        <w:t>strukturovaný dialog</w:t>
      </w:r>
      <w:r w:rsidR="00E725C4">
        <w:t xml:space="preserve"> s </w:t>
      </w:r>
      <w:r w:rsidRPr="00E725C4">
        <w:t>členskými státy, které se již účastní spolupráce</w:t>
      </w:r>
      <w:r w:rsidR="00E725C4">
        <w:t xml:space="preserve"> s </w:t>
      </w:r>
      <w:r w:rsidRPr="00E725C4">
        <w:t>úřadem EPPO, aby bylo možné řešit praktické výzvy, jimž čelí</w:t>
      </w:r>
      <w:r w:rsidR="00E725C4">
        <w:t xml:space="preserve"> v </w:t>
      </w:r>
      <w:r w:rsidRPr="00E725C4">
        <w:t>boji proti porušování zásad právního státu</w:t>
      </w:r>
      <w:r w:rsidR="00E725C4">
        <w:t xml:space="preserve"> a </w:t>
      </w:r>
      <w:r w:rsidRPr="00E725C4">
        <w:t>korupci; vyzývá Evropskou komisi, aby tyto členské státy podpořila při konkrétním provádění doporučení obsažených ve výročních zprávách</w:t>
      </w:r>
      <w:r w:rsidR="00E725C4">
        <w:t xml:space="preserve"> o </w:t>
      </w:r>
      <w:r w:rsidRPr="00E725C4">
        <w:t>právním státu</w:t>
      </w:r>
      <w:r w:rsidR="00E725C4">
        <w:t xml:space="preserve"> a </w:t>
      </w:r>
      <w:r w:rsidRPr="00E725C4">
        <w:t>aby zajistila, že zkušenosti získané</w:t>
      </w:r>
      <w:r w:rsidR="00E725C4">
        <w:t xml:space="preserve"> v </w:t>
      </w:r>
      <w:r w:rsidRPr="00E725C4">
        <w:t>rámci úřadu EPPO přispějí</w:t>
      </w:r>
      <w:r w:rsidR="00E725C4">
        <w:t xml:space="preserve"> k </w:t>
      </w:r>
      <w:r w:rsidRPr="00E725C4">
        <w:t>silnějšímu</w:t>
      </w:r>
      <w:r w:rsidR="00E725C4">
        <w:t xml:space="preserve"> a </w:t>
      </w:r>
      <w:r w:rsidRPr="00E725C4">
        <w:t>soudržnějšímu celounijnímu přístupu</w:t>
      </w:r>
      <w:r w:rsidR="00E725C4">
        <w:t xml:space="preserve"> k </w:t>
      </w:r>
      <w:r w:rsidRPr="00E725C4">
        <w:t>integritě</w:t>
      </w:r>
      <w:r w:rsidR="00E725C4">
        <w:t xml:space="preserve"> a </w:t>
      </w:r>
      <w:r w:rsidRPr="00E725C4">
        <w:t>odpovědnosti soudnictví.</w:t>
      </w:r>
    </w:p>
    <w:p w14:paraId="2F538C8E" w14:textId="77777777" w:rsidR="00D42C91" w:rsidRPr="00E725C4" w:rsidRDefault="00D42C91" w:rsidP="00D42C91">
      <w:pPr>
        <w:pStyle w:val="NormalHanging12a"/>
      </w:pPr>
    </w:p>
    <w:p w14:paraId="3343DFE8" w14:textId="77777777" w:rsidR="00D42C91" w:rsidRPr="00E725C4" w:rsidRDefault="00D42C91" w:rsidP="00D42C91">
      <w:pPr>
        <w:sectPr w:rsidR="00D42C91" w:rsidRPr="00E725C4" w:rsidSect="00AB1FB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3333A8F" w14:textId="77777777" w:rsidR="00D42C91" w:rsidRPr="00E725C4" w:rsidRDefault="00D42C91" w:rsidP="00D42C91">
      <w:pPr>
        <w:pStyle w:val="PageHeadingNotTOC"/>
      </w:pPr>
      <w:bookmarkStart w:id="0" w:name="ProcPageAD"/>
      <w:r w:rsidRPr="00E725C4">
        <w:t>PŘÍLOHA: ZVEŘEJŇOVÁNÍ PODNĚTŮ</w:t>
      </w:r>
    </w:p>
    <w:p w14:paraId="10A6E470" w14:textId="202DF1CA" w:rsidR="00AB1FBA" w:rsidRPr="00E725C4" w:rsidRDefault="00D42C91" w:rsidP="00AB1FBA">
      <w:pPr>
        <w:pStyle w:val="Normal24a"/>
      </w:pPr>
      <w:r w:rsidRPr="00E725C4">
        <w:rPr>
          <w:rStyle w:val="HideTWBExt"/>
        </w:rPr>
        <w:t>&lt;FootprintIntro&gt;</w:t>
      </w:r>
      <w:r w:rsidRPr="00E725C4">
        <w:t>Zpravodajka</w:t>
      </w:r>
      <w:r w:rsidR="00E725C4">
        <w:t xml:space="preserve"> v </w:t>
      </w:r>
      <w:r w:rsidRPr="00E725C4">
        <w:t>souladu</w:t>
      </w:r>
      <w:r w:rsidR="00E725C4">
        <w:t xml:space="preserve"> s </w:t>
      </w:r>
      <w:r w:rsidRPr="00E725C4">
        <w:t>článkem 8 přílohy</w:t>
      </w:r>
      <w:r w:rsidR="00E725C4">
        <w:t xml:space="preserve"> I </w:t>
      </w:r>
      <w:r w:rsidRPr="00E725C4">
        <w:t>jednacího řádu prohlašuježe do svého stanoviska zahrnula podněty</w:t>
      </w:r>
      <w:r w:rsidR="00E725C4">
        <w:t xml:space="preserve"> k </w:t>
      </w:r>
      <w:r w:rsidRPr="00E725C4">
        <w:t>záležitostem týkajícím se předmětu spisu, které při vypracovávání stanoviska až do okamžiku jeho přijetí ve výboru obdržela od zástupců zájmových skupin spadajících do oblasti působnosti interinstitucionální dohody</w:t>
      </w:r>
      <w:r w:rsidR="00E725C4">
        <w:t xml:space="preserve"> o </w:t>
      </w:r>
      <w:r w:rsidRPr="00E725C4">
        <w:t>povinném rejstříku transparentnosti</w:t>
      </w:r>
      <w:r w:rsidRPr="00E725C4">
        <w:rPr>
          <w:rStyle w:val="FootnoteReference"/>
        </w:rPr>
        <w:footnoteReference w:id="1"/>
      </w:r>
      <w:r w:rsidRPr="00E725C4">
        <w:t xml:space="preserve"> nebo představitelů orgánů třetích zemí, včetně jejich diplomatických misí</w:t>
      </w:r>
      <w:r w:rsidR="00E725C4">
        <w:t xml:space="preserve"> a </w:t>
      </w:r>
      <w:r w:rsidRPr="00E725C4">
        <w:t>velvyslanectví:</w:t>
      </w:r>
      <w:r w:rsidRPr="00E725C4">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0"/>
      </w:tblGrid>
      <w:tr w:rsidR="00AB1FBA" w:rsidRPr="00E725C4" w14:paraId="3C9F1522" w14:textId="77777777" w:rsidTr="00C958E2">
        <w:tc>
          <w:tcPr>
            <w:tcW w:w="9050" w:type="dxa"/>
            <w:shd w:val="clear" w:color="auto" w:fill="auto"/>
          </w:tcPr>
          <w:p w14:paraId="6D965DF3" w14:textId="0A3CF294" w:rsidR="00AB1FBA" w:rsidRPr="00E725C4" w:rsidRDefault="00AB1FBA" w:rsidP="00C958E2">
            <w:pPr>
              <w:pStyle w:val="NormalBoldCenter"/>
            </w:pPr>
            <w:r w:rsidRPr="00E725C4">
              <w:t>1. 1. 1. Zástupci zájmových skupin spadající do oblasti působnosti interinstitucionální dohody</w:t>
            </w:r>
            <w:r w:rsidR="00E725C4">
              <w:t xml:space="preserve"> o </w:t>
            </w:r>
            <w:r w:rsidRPr="00E725C4">
              <w:t>povinném rejstříku transparentnosti</w:t>
            </w:r>
          </w:p>
        </w:tc>
      </w:tr>
      <w:tr w:rsidR="00AB1FBA" w:rsidRPr="00E725C4" w14:paraId="523B0178" w14:textId="77777777" w:rsidTr="00C958E2">
        <w:tc>
          <w:tcPr>
            <w:tcW w:w="9050" w:type="dxa"/>
            <w:shd w:val="clear" w:color="auto" w:fill="auto"/>
          </w:tcPr>
          <w:p w14:paraId="3DFA9BE2" w14:textId="77777777" w:rsidR="00AB1FBA" w:rsidRPr="00E725C4" w:rsidRDefault="00AB1FBA" w:rsidP="00C958E2">
            <w:pPr>
              <w:pStyle w:val="NormalSingle"/>
            </w:pPr>
            <w:r w:rsidRPr="00E725C4">
              <w:t>Transparency International EU / EU transparency register: 501222919-71</w:t>
            </w:r>
          </w:p>
        </w:tc>
      </w:tr>
    </w:tbl>
    <w:p w14:paraId="3CB446AA" w14:textId="38720C70" w:rsidR="00AB1FBA" w:rsidRPr="00E725C4" w:rsidRDefault="00AB1FBA" w:rsidP="00AB1FBA">
      <w:pPr>
        <w:pStyle w:val="Footprint12b"/>
      </w:pPr>
      <w:r w:rsidRPr="00E725C4">
        <w:t>Výše uvedený seznam je sestaven na výhradní odpovědnost zpravodajky.</w:t>
      </w:r>
    </w:p>
    <w:p w14:paraId="4FB9EF30" w14:textId="5E2A1CFC" w:rsidR="00AB1FBA" w:rsidRPr="00E725C4" w:rsidRDefault="00AB1FBA" w:rsidP="00AB1FBA">
      <w:pPr>
        <w:pStyle w:val="Normal24a"/>
      </w:pPr>
      <w:r w:rsidRPr="00E725C4">
        <w:br w:type="page"/>
      </w:r>
    </w:p>
    <w:p w14:paraId="7F8110D5" w14:textId="3CF640D0" w:rsidR="000064CA" w:rsidRPr="00E725C4" w:rsidRDefault="000064CA" w:rsidP="000064CA">
      <w:pPr>
        <w:pStyle w:val="PageHeadingNotTOC"/>
      </w:pPr>
      <w:r w:rsidRPr="00E725C4">
        <w:t>INFORMACE</w:t>
      </w:r>
      <w:r w:rsidR="00E725C4">
        <w:t xml:space="preserve"> O </w:t>
      </w:r>
      <w:r w:rsidRPr="00E725C4">
        <w:t>PŘIJETÍ VÝBOREM POSKYTUJÍCÍM STANOVISKO</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064CA" w:rsidRPr="00E725C4" w14:paraId="1141EF4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56FBA03" w14:textId="77777777" w:rsidR="000064CA" w:rsidRPr="00E725C4" w:rsidRDefault="000064CA">
            <w:pPr>
              <w:autoSpaceDE w:val="0"/>
              <w:autoSpaceDN w:val="0"/>
              <w:adjustRightInd w:val="0"/>
              <w:rPr>
                <w:b/>
                <w:bCs/>
                <w:color w:val="000000"/>
                <w:sz w:val="20"/>
              </w:rPr>
            </w:pPr>
            <w:r w:rsidRPr="00E725C4">
              <w:rPr>
                <w:b/>
                <w:color w:val="000000"/>
                <w:sz w:val="20"/>
              </w:rPr>
              <w:t>Datum přijetí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A3FB7AA" w14:textId="77777777" w:rsidR="000064CA" w:rsidRPr="00E725C4" w:rsidRDefault="000064CA">
            <w:pPr>
              <w:autoSpaceDE w:val="0"/>
              <w:autoSpaceDN w:val="0"/>
              <w:adjustRightInd w:val="0"/>
              <w:rPr>
                <w:color w:val="000000"/>
                <w:sz w:val="20"/>
              </w:rPr>
            </w:pPr>
            <w:r w:rsidRPr="00E725C4">
              <w:rPr>
                <w:color w:val="000000"/>
                <w:sz w:val="20"/>
              </w:rPr>
              <w:t>3.12.2025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975E5E5" w14:textId="77777777" w:rsidR="000064CA" w:rsidRPr="00E725C4" w:rsidRDefault="000064C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B018D2F" w14:textId="77777777" w:rsidR="000064CA" w:rsidRPr="00E725C4" w:rsidRDefault="000064C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5921BD1" w14:textId="77777777" w:rsidR="000064CA" w:rsidRPr="00E725C4" w:rsidRDefault="000064CA">
            <w:pPr>
              <w:autoSpaceDE w:val="0"/>
              <w:autoSpaceDN w:val="0"/>
              <w:adjustRightInd w:val="0"/>
              <w:rPr>
                <w:rFonts w:ascii="sans-serif" w:hAnsi="sans-serif" w:cs="sans-serif"/>
                <w:color w:val="000000"/>
                <w:szCs w:val="24"/>
              </w:rPr>
            </w:pPr>
          </w:p>
        </w:tc>
      </w:tr>
      <w:tr w:rsidR="000064CA" w:rsidRPr="00E725C4" w14:paraId="4EBD829F"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98636AA" w14:textId="77777777" w:rsidR="000064CA" w:rsidRPr="00E725C4" w:rsidRDefault="000064CA">
            <w:pPr>
              <w:autoSpaceDE w:val="0"/>
              <w:autoSpaceDN w:val="0"/>
              <w:adjustRightInd w:val="0"/>
              <w:rPr>
                <w:b/>
                <w:bCs/>
                <w:color w:val="000000"/>
                <w:sz w:val="20"/>
              </w:rPr>
            </w:pPr>
            <w:r w:rsidRPr="00E725C4">
              <w:rPr>
                <w:b/>
                <w:color w:val="000000"/>
                <w:sz w:val="20"/>
              </w:rPr>
              <w:t>Výsledek konečného hlasování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CEBDB7F" w14:textId="77777777" w:rsidR="000064CA" w:rsidRPr="00E725C4" w:rsidRDefault="000064CA">
            <w:pPr>
              <w:autoSpaceDE w:val="0"/>
              <w:autoSpaceDN w:val="0"/>
              <w:adjustRightInd w:val="0"/>
              <w:rPr>
                <w:color w:val="000000"/>
                <w:sz w:val="20"/>
              </w:rPr>
            </w:pPr>
            <w:r w:rsidRPr="00E725C4">
              <w:rPr>
                <w:color w:val="000000"/>
                <w:sz w:val="20"/>
              </w:rPr>
              <w:t>+:</w:t>
            </w:r>
          </w:p>
          <w:p w14:paraId="1F505268" w14:textId="77777777" w:rsidR="000064CA" w:rsidRPr="00E725C4" w:rsidRDefault="000064CA">
            <w:pPr>
              <w:autoSpaceDE w:val="0"/>
              <w:autoSpaceDN w:val="0"/>
              <w:adjustRightInd w:val="0"/>
              <w:rPr>
                <w:color w:val="000000"/>
                <w:sz w:val="20"/>
              </w:rPr>
            </w:pPr>
            <w:r w:rsidRPr="00E725C4">
              <w:rPr>
                <w:color w:val="000000"/>
                <w:sz w:val="20"/>
              </w:rPr>
              <w:t>–:</w:t>
            </w:r>
          </w:p>
          <w:p w14:paraId="67762D41" w14:textId="77777777" w:rsidR="000064CA" w:rsidRPr="00E725C4" w:rsidRDefault="000064CA">
            <w:pPr>
              <w:autoSpaceDE w:val="0"/>
              <w:autoSpaceDN w:val="0"/>
              <w:adjustRightInd w:val="0"/>
              <w:rPr>
                <w:color w:val="000000"/>
                <w:sz w:val="20"/>
              </w:rPr>
            </w:pPr>
            <w:r w:rsidRPr="00E725C4">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BB30FC6" w14:textId="77777777" w:rsidR="000064CA" w:rsidRPr="00E725C4" w:rsidRDefault="000064CA">
            <w:pPr>
              <w:autoSpaceDE w:val="0"/>
              <w:autoSpaceDN w:val="0"/>
              <w:adjustRightInd w:val="0"/>
              <w:rPr>
                <w:color w:val="000000"/>
                <w:sz w:val="20"/>
              </w:rPr>
            </w:pPr>
            <w:r w:rsidRPr="00E725C4">
              <w:rPr>
                <w:color w:val="000000"/>
                <w:sz w:val="20"/>
              </w:rPr>
              <w:t>52</w:t>
            </w:r>
          </w:p>
          <w:p w14:paraId="5F70EDC1" w14:textId="77777777" w:rsidR="000064CA" w:rsidRPr="00E725C4" w:rsidRDefault="000064CA">
            <w:pPr>
              <w:autoSpaceDE w:val="0"/>
              <w:autoSpaceDN w:val="0"/>
              <w:adjustRightInd w:val="0"/>
              <w:rPr>
                <w:color w:val="000000"/>
                <w:sz w:val="20"/>
              </w:rPr>
            </w:pPr>
            <w:r w:rsidRPr="00E725C4">
              <w:rPr>
                <w:color w:val="000000"/>
                <w:sz w:val="20"/>
              </w:rPr>
              <w:t>12</w:t>
            </w:r>
          </w:p>
          <w:p w14:paraId="0A5DE241" w14:textId="77777777" w:rsidR="000064CA" w:rsidRPr="00E725C4" w:rsidRDefault="000064CA">
            <w:pPr>
              <w:autoSpaceDE w:val="0"/>
              <w:autoSpaceDN w:val="0"/>
              <w:adjustRightInd w:val="0"/>
              <w:rPr>
                <w:color w:val="000000"/>
                <w:sz w:val="20"/>
              </w:rPr>
            </w:pPr>
            <w:r w:rsidRPr="00E725C4">
              <w:rPr>
                <w:color w:val="000000"/>
                <w:sz w:val="20"/>
              </w:rPr>
              <w:t>7</w:t>
            </w:r>
          </w:p>
        </w:tc>
      </w:tr>
      <w:tr w:rsidR="000064CA" w:rsidRPr="00E725C4" w14:paraId="37D08423"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748F1A4" w14:textId="77777777" w:rsidR="000064CA" w:rsidRPr="00E725C4" w:rsidRDefault="000064CA">
            <w:pPr>
              <w:autoSpaceDE w:val="0"/>
              <w:autoSpaceDN w:val="0"/>
              <w:adjustRightInd w:val="0"/>
              <w:rPr>
                <w:b/>
                <w:bCs/>
                <w:color w:val="000000"/>
                <w:sz w:val="20"/>
              </w:rPr>
            </w:pPr>
            <w:r w:rsidRPr="00E725C4">
              <w:rPr>
                <w:b/>
                <w:color w:val="000000"/>
                <w:sz w:val="20"/>
              </w:rPr>
              <w:t>Členové přítomní při konečném hlasování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46AFF4A" w14:textId="77777777" w:rsidR="000064CA" w:rsidRPr="00E725C4" w:rsidRDefault="000064CA">
            <w:pPr>
              <w:autoSpaceDE w:val="0"/>
              <w:autoSpaceDN w:val="0"/>
              <w:adjustRightInd w:val="0"/>
              <w:rPr>
                <w:color w:val="000000"/>
                <w:sz w:val="20"/>
              </w:rPr>
            </w:pPr>
            <w:r w:rsidRPr="00E725C4">
              <w:rPr>
                <w:color w:val="000000"/>
                <w:sz w:val="20"/>
              </w:rPr>
              <w:t>Magdalena Adamowicz, Abir Al-Sahlani, Giuseppe Antoci, Jaume Asens Llodrà, Pernando Barrena Arza, Nikola Bartůšek, François-Xavier Bellamy, Ioan-Rareş Bogdan, Saskia Bricmont, Jaroslav Bžoch, Damien Carême, Susanna Ceccardi, Caterina Chinnici, Veronika Cifrová Ostrihoňová, Alessandro Ciriani, Lena Düpont, Marieke Ehlers, Estrella Galán, Raquel García Hermida-Van Der Walle, Paolo Inselvini, Irena Joveva, Erik Kaliňák, Marina Kaljurand, Mariusz Kamiński, Fabienne Keller, Mary Khan, Alice Kuhnke, Murielle Laurent, Fabrice Leggeri, Jeroen Lenaers, Lukas Mandl, Michael McNamara, Ana Catarina Mendes, Verena Mertens, Nadine Morano, Matjaž Nemec, Ana Miguel Pedro, Ilaria Salis, Birgit Sippel, Krzysztof Śmiszek, Petra Steger, Cecilia Strada, Alice Teodorescu Måwe, Tomas Tobé, Milan Uhrík, Tom Vandendriessche, Kristian Vigenin, Isabel Wiseler-Lima, Ewa Zajączkowska-Hernik, Alessandro Zan, Javier Zarzalejos, Tomáš Zdechovský</w:t>
            </w:r>
          </w:p>
        </w:tc>
      </w:tr>
      <w:tr w:rsidR="000064CA" w:rsidRPr="00E725C4" w14:paraId="20227C0A"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56A0CC7" w14:textId="77777777" w:rsidR="000064CA" w:rsidRPr="00E725C4" w:rsidRDefault="000064CA">
            <w:pPr>
              <w:autoSpaceDE w:val="0"/>
              <w:autoSpaceDN w:val="0"/>
              <w:adjustRightInd w:val="0"/>
              <w:rPr>
                <w:b/>
                <w:bCs/>
                <w:color w:val="000000"/>
                <w:sz w:val="20"/>
              </w:rPr>
            </w:pPr>
            <w:r w:rsidRPr="00E725C4">
              <w:rPr>
                <w:b/>
                <w:color w:val="000000"/>
                <w:sz w:val="20"/>
              </w:rPr>
              <w:t>Náhradníci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07914DE" w14:textId="77777777" w:rsidR="000064CA" w:rsidRPr="00E725C4" w:rsidRDefault="000064CA">
            <w:pPr>
              <w:autoSpaceDE w:val="0"/>
              <w:autoSpaceDN w:val="0"/>
              <w:adjustRightInd w:val="0"/>
              <w:rPr>
                <w:color w:val="000000"/>
                <w:sz w:val="20"/>
              </w:rPr>
            </w:pPr>
            <w:r w:rsidRPr="00E725C4">
              <w:rPr>
                <w:color w:val="000000"/>
                <w:sz w:val="20"/>
              </w:rPr>
              <w:t>Katarina Barley, Anna Maria Cisint, Markéta Gregorová, Monika Hohlmeier, Nikola Minchev, Javier Moreno Sánchez, Jan-Christoph Oetjen, Leoluca Orlando, Oliver Schenk, Sebastian Tynkkynen, Alexandre Varaut, Maciej Wąsik</w:t>
            </w:r>
          </w:p>
        </w:tc>
      </w:tr>
      <w:tr w:rsidR="000064CA" w:rsidRPr="00E725C4" w14:paraId="4178A52F"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5FD5AFB" w14:textId="5D9E00C9" w:rsidR="000064CA" w:rsidRPr="00E725C4" w:rsidRDefault="000064CA">
            <w:pPr>
              <w:autoSpaceDE w:val="0"/>
              <w:autoSpaceDN w:val="0"/>
              <w:adjustRightInd w:val="0"/>
              <w:rPr>
                <w:b/>
                <w:bCs/>
                <w:color w:val="000000"/>
                <w:sz w:val="20"/>
              </w:rPr>
            </w:pPr>
            <w:r w:rsidRPr="00E725C4">
              <w:rPr>
                <w:b/>
                <w:color w:val="000000"/>
                <w:sz w:val="20"/>
              </w:rPr>
              <w:t>Poslanci uvedení</w:t>
            </w:r>
            <w:r w:rsidR="00E725C4">
              <w:rPr>
                <w:b/>
                <w:color w:val="000000"/>
                <w:sz w:val="20"/>
              </w:rPr>
              <w:t xml:space="preserve"> v </w:t>
            </w:r>
            <w:r w:rsidRPr="00E725C4">
              <w:rPr>
                <w:b/>
                <w:color w:val="000000"/>
                <w:sz w:val="20"/>
              </w:rPr>
              <w:t>čl. 216 odst. 7 jednacího řádu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439836BC" w14:textId="77777777" w:rsidR="000064CA" w:rsidRPr="00E725C4" w:rsidRDefault="000064CA">
            <w:pPr>
              <w:autoSpaceDE w:val="0"/>
              <w:autoSpaceDN w:val="0"/>
              <w:adjustRightInd w:val="0"/>
              <w:rPr>
                <w:color w:val="000000"/>
                <w:sz w:val="20"/>
              </w:rPr>
            </w:pPr>
            <w:r w:rsidRPr="00E725C4">
              <w:rPr>
                <w:color w:val="000000"/>
                <w:sz w:val="20"/>
              </w:rPr>
              <w:t>Stefano Cavedagna, José Cepeda, Pietro Fiocchi, Andrey Kovatchev, Marcos Ros Sempere, Michał Szczerba, Catarina Vieira</w:t>
            </w:r>
          </w:p>
        </w:tc>
      </w:tr>
    </w:tbl>
    <w:p w14:paraId="4C65E293" w14:textId="77777777" w:rsidR="000064CA" w:rsidRPr="00E725C4" w:rsidRDefault="000064CA" w:rsidP="00D42C91"/>
    <w:bookmarkEnd w:id="0"/>
    <w:p w14:paraId="47AE14C3" w14:textId="77777777" w:rsidR="00D42C91" w:rsidRPr="00E725C4" w:rsidRDefault="00D42C91" w:rsidP="000064CA">
      <w:pPr>
        <w:sectPr w:rsidR="00D42C91" w:rsidRPr="00E725C4" w:rsidSect="00D42C91">
          <w:footerReference w:type="first" r:id="rId14"/>
          <w:pgSz w:w="11894" w:h="15840"/>
          <w:pgMar w:top="1700" w:right="1417" w:bottom="1417" w:left="1417" w:header="720" w:footer="720" w:gutter="0"/>
          <w:cols w:space="720"/>
          <w:noEndnote/>
          <w:docGrid w:linePitch="326"/>
        </w:sectPr>
      </w:pPr>
    </w:p>
    <w:p w14:paraId="1D5ECB5E" w14:textId="528D7B67" w:rsidR="00D42C91" w:rsidRPr="00E725C4" w:rsidRDefault="00D42C91" w:rsidP="00C36610">
      <w:pPr>
        <w:pStyle w:val="PageHeadingNotTOC"/>
      </w:pPr>
      <w:bookmarkStart w:id="1" w:name="RollCallPageAD"/>
      <w:r w:rsidRPr="00E725C4">
        <w:t>JMENOVITÉ KONEČNÉ HLASOVÁNÍ VE VÝBORU POSKYTUJÍCÍM STANOVISKO</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42C91" w:rsidRPr="00E725C4" w14:paraId="2614B328" w14:textId="77777777" w:rsidTr="00C958E2">
        <w:trPr>
          <w:cantSplit/>
        </w:trPr>
        <w:tc>
          <w:tcPr>
            <w:tcW w:w="1701" w:type="dxa"/>
            <w:shd w:val="pct10" w:color="000000" w:fill="FFFFFF"/>
            <w:vAlign w:val="center"/>
          </w:tcPr>
          <w:p w14:paraId="27A63140" w14:textId="77777777" w:rsidR="00D42C91" w:rsidRPr="00E725C4" w:rsidRDefault="00D42C91" w:rsidP="00C958E2">
            <w:pPr>
              <w:pStyle w:val="RollCallVotes"/>
            </w:pPr>
            <w:r w:rsidRPr="00E725C4">
              <w:t>52</w:t>
            </w:r>
          </w:p>
        </w:tc>
        <w:tc>
          <w:tcPr>
            <w:tcW w:w="7371" w:type="dxa"/>
            <w:shd w:val="pct10" w:color="000000" w:fill="FFFFFF"/>
          </w:tcPr>
          <w:p w14:paraId="2DBC2643" w14:textId="77777777" w:rsidR="00D42C91" w:rsidRPr="00E725C4" w:rsidRDefault="00D42C91" w:rsidP="00C958E2">
            <w:pPr>
              <w:pStyle w:val="RollCallSymbols14pt"/>
            </w:pPr>
            <w:r w:rsidRPr="00E725C4">
              <w:t>+</w:t>
            </w:r>
          </w:p>
        </w:tc>
      </w:tr>
      <w:tr w:rsidR="00D42C91" w:rsidRPr="00E725C4" w14:paraId="6E92B922" w14:textId="77777777" w:rsidTr="00C958E2">
        <w:trPr>
          <w:cantSplit/>
        </w:trPr>
        <w:tc>
          <w:tcPr>
            <w:tcW w:w="1701" w:type="dxa"/>
            <w:shd w:val="clear" w:color="auto" w:fill="FFFFFF"/>
          </w:tcPr>
          <w:p w14:paraId="0329BEB5" w14:textId="77777777" w:rsidR="00D42C91" w:rsidRPr="00E725C4" w:rsidRDefault="00D42C91" w:rsidP="00C958E2">
            <w:pPr>
              <w:pStyle w:val="RollCallTable"/>
            </w:pPr>
            <w:r w:rsidRPr="00E725C4">
              <w:t>PPE</w:t>
            </w:r>
          </w:p>
        </w:tc>
        <w:tc>
          <w:tcPr>
            <w:tcW w:w="7371" w:type="dxa"/>
            <w:shd w:val="clear" w:color="auto" w:fill="FFFFFF"/>
          </w:tcPr>
          <w:p w14:paraId="7385C991" w14:textId="77777777" w:rsidR="00D42C91" w:rsidRPr="00E725C4" w:rsidRDefault="00D42C91" w:rsidP="00C958E2">
            <w:pPr>
              <w:pStyle w:val="RollCallTable"/>
            </w:pPr>
            <w:r w:rsidRPr="00E725C4">
              <w:t>Magdalena Adamowicz, François-Xavier Bellamy, Ioan-Rareş Bogdan, Caterina Chinnici, Lena Düpont, Monika Hohlmeier, Andrey Kovatchev, Jeroen Lenaers, Lukas Mandl, Verena Mertens, Nadine Morano, Ana Miguel Pedro, Oliver Schenk, Michał Szczerba, Alice Teodorescu Måwe, Tomas Tobé, Isabel Wiseler-Lima, Javier Zarzalejos, Tomáš Zdechovský</w:t>
            </w:r>
          </w:p>
        </w:tc>
      </w:tr>
      <w:tr w:rsidR="00D42C91" w:rsidRPr="00E725C4" w14:paraId="6D056D0C" w14:textId="77777777" w:rsidTr="00C958E2">
        <w:trPr>
          <w:cantSplit/>
        </w:trPr>
        <w:tc>
          <w:tcPr>
            <w:tcW w:w="1701" w:type="dxa"/>
            <w:shd w:val="clear" w:color="auto" w:fill="FFFFFF"/>
          </w:tcPr>
          <w:p w14:paraId="0DD54F0E" w14:textId="77777777" w:rsidR="00D42C91" w:rsidRPr="00E725C4" w:rsidRDefault="00D42C91" w:rsidP="00C958E2">
            <w:pPr>
              <w:pStyle w:val="RollCallTable"/>
            </w:pPr>
            <w:r w:rsidRPr="00E725C4">
              <w:t>PfE</w:t>
            </w:r>
          </w:p>
        </w:tc>
        <w:tc>
          <w:tcPr>
            <w:tcW w:w="7371" w:type="dxa"/>
            <w:shd w:val="clear" w:color="auto" w:fill="FFFFFF"/>
          </w:tcPr>
          <w:p w14:paraId="4B468FBF" w14:textId="77777777" w:rsidR="00D42C91" w:rsidRPr="00E725C4" w:rsidRDefault="00D42C91" w:rsidP="00C958E2">
            <w:pPr>
              <w:pStyle w:val="RollCallTable"/>
            </w:pPr>
            <w:r w:rsidRPr="00E725C4">
              <w:t>Jaroslav Bžoch</w:t>
            </w:r>
          </w:p>
        </w:tc>
      </w:tr>
      <w:tr w:rsidR="00D42C91" w:rsidRPr="00E725C4" w14:paraId="43EDFAD6" w14:textId="77777777" w:rsidTr="00C958E2">
        <w:trPr>
          <w:cantSplit/>
        </w:trPr>
        <w:tc>
          <w:tcPr>
            <w:tcW w:w="1701" w:type="dxa"/>
            <w:shd w:val="clear" w:color="auto" w:fill="FFFFFF"/>
          </w:tcPr>
          <w:p w14:paraId="04355D53" w14:textId="77777777" w:rsidR="00D42C91" w:rsidRPr="00E725C4" w:rsidRDefault="00D42C91" w:rsidP="00C958E2">
            <w:pPr>
              <w:pStyle w:val="RollCallTable"/>
            </w:pPr>
            <w:r w:rsidRPr="00E725C4">
              <w:t>Renew</w:t>
            </w:r>
          </w:p>
        </w:tc>
        <w:tc>
          <w:tcPr>
            <w:tcW w:w="7371" w:type="dxa"/>
            <w:shd w:val="clear" w:color="auto" w:fill="FFFFFF"/>
          </w:tcPr>
          <w:p w14:paraId="0E49E54A" w14:textId="77777777" w:rsidR="00D42C91" w:rsidRPr="00E725C4" w:rsidRDefault="00D42C91" w:rsidP="00C958E2">
            <w:pPr>
              <w:pStyle w:val="RollCallTable"/>
            </w:pPr>
            <w:r w:rsidRPr="00E725C4">
              <w:t>Abir Al-Sahlani, Veronika Cifrová Ostrihoňová, Raquel García Hermida-Van Der Walle, Irena Joveva, Fabienne Keller, Michael McNamara, Nikola Minchev, Jan-Christoph Oetjen</w:t>
            </w:r>
          </w:p>
        </w:tc>
      </w:tr>
      <w:tr w:rsidR="00D42C91" w:rsidRPr="00E725C4" w14:paraId="7BF0D2F9" w14:textId="77777777" w:rsidTr="00C958E2">
        <w:trPr>
          <w:cantSplit/>
        </w:trPr>
        <w:tc>
          <w:tcPr>
            <w:tcW w:w="1701" w:type="dxa"/>
            <w:shd w:val="clear" w:color="auto" w:fill="FFFFFF"/>
          </w:tcPr>
          <w:p w14:paraId="1BBCAB00" w14:textId="77777777" w:rsidR="00D42C91" w:rsidRPr="00E725C4" w:rsidRDefault="00D42C91" w:rsidP="00C958E2">
            <w:pPr>
              <w:pStyle w:val="RollCallTable"/>
            </w:pPr>
            <w:r w:rsidRPr="00E725C4">
              <w:t>S&amp;D</w:t>
            </w:r>
          </w:p>
        </w:tc>
        <w:tc>
          <w:tcPr>
            <w:tcW w:w="7371" w:type="dxa"/>
            <w:shd w:val="clear" w:color="auto" w:fill="FFFFFF"/>
          </w:tcPr>
          <w:p w14:paraId="2FF8EEE0" w14:textId="77777777" w:rsidR="00D42C91" w:rsidRPr="00E725C4" w:rsidRDefault="00D42C91" w:rsidP="00C958E2">
            <w:pPr>
              <w:pStyle w:val="RollCallTable"/>
            </w:pPr>
            <w:r w:rsidRPr="00E725C4">
              <w:t>Katarina Barley, José Cepeda, Marina Kaljurand, Murielle Laurent, Ana Catarina Mendes, Javier Moreno Sánchez, Matjaž Nemec, Marcos Ros Sempere, Birgit Sippel, Krzysztof Śmiszek, Cecilia Strada, Kristian Vigenin, Alessandro Zan</w:t>
            </w:r>
          </w:p>
        </w:tc>
      </w:tr>
      <w:tr w:rsidR="00D42C91" w:rsidRPr="00E725C4" w14:paraId="33861326" w14:textId="77777777" w:rsidTr="00C958E2">
        <w:trPr>
          <w:cantSplit/>
        </w:trPr>
        <w:tc>
          <w:tcPr>
            <w:tcW w:w="1701" w:type="dxa"/>
            <w:shd w:val="clear" w:color="auto" w:fill="FFFFFF"/>
          </w:tcPr>
          <w:p w14:paraId="60DAA539" w14:textId="77777777" w:rsidR="00D42C91" w:rsidRPr="00E725C4" w:rsidRDefault="00D42C91" w:rsidP="00C958E2">
            <w:pPr>
              <w:pStyle w:val="RollCallTable"/>
            </w:pPr>
            <w:r w:rsidRPr="00E725C4">
              <w:t>The Left</w:t>
            </w:r>
          </w:p>
        </w:tc>
        <w:tc>
          <w:tcPr>
            <w:tcW w:w="7371" w:type="dxa"/>
            <w:shd w:val="clear" w:color="auto" w:fill="FFFFFF"/>
          </w:tcPr>
          <w:p w14:paraId="3F0164D5" w14:textId="77777777" w:rsidR="00D42C91" w:rsidRPr="00E725C4" w:rsidRDefault="00D42C91" w:rsidP="00C958E2">
            <w:pPr>
              <w:pStyle w:val="RollCallTable"/>
            </w:pPr>
            <w:r w:rsidRPr="00E725C4">
              <w:t>Giuseppe Antoci, Pernando Barrena Arza, Damien Carême, Estrella Galán, Ilaria Salis</w:t>
            </w:r>
          </w:p>
        </w:tc>
      </w:tr>
      <w:tr w:rsidR="00D42C91" w:rsidRPr="00E725C4" w14:paraId="79821944" w14:textId="77777777" w:rsidTr="00C958E2">
        <w:trPr>
          <w:cantSplit/>
        </w:trPr>
        <w:tc>
          <w:tcPr>
            <w:tcW w:w="1701" w:type="dxa"/>
            <w:shd w:val="clear" w:color="auto" w:fill="FFFFFF"/>
          </w:tcPr>
          <w:p w14:paraId="3999757E" w14:textId="77777777" w:rsidR="00D42C91" w:rsidRPr="00E725C4" w:rsidRDefault="00D42C91" w:rsidP="00C958E2">
            <w:pPr>
              <w:pStyle w:val="RollCallTable"/>
            </w:pPr>
            <w:r w:rsidRPr="00E725C4">
              <w:t>Verts/ALE</w:t>
            </w:r>
          </w:p>
        </w:tc>
        <w:tc>
          <w:tcPr>
            <w:tcW w:w="7371" w:type="dxa"/>
            <w:shd w:val="clear" w:color="auto" w:fill="FFFFFF"/>
          </w:tcPr>
          <w:p w14:paraId="4F3D30B3" w14:textId="77777777" w:rsidR="00D42C91" w:rsidRPr="00E725C4" w:rsidRDefault="00D42C91" w:rsidP="00C958E2">
            <w:pPr>
              <w:pStyle w:val="RollCallTable"/>
            </w:pPr>
            <w:r w:rsidRPr="00E725C4">
              <w:t>Jaume Asens Llodrà, Saskia Bricmont, Markéta Gregorová, Alice Kuhnke, Leoluca Orlando, Catarina Vieira</w:t>
            </w:r>
          </w:p>
        </w:tc>
      </w:tr>
    </w:tbl>
    <w:p w14:paraId="0F104888" w14:textId="77777777" w:rsidR="00D42C91" w:rsidRPr="00E725C4" w:rsidRDefault="00D42C91" w:rsidP="00D42C9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42C91" w:rsidRPr="00E725C4" w14:paraId="264FA429" w14:textId="77777777" w:rsidTr="00C958E2">
        <w:trPr>
          <w:cantSplit/>
        </w:trPr>
        <w:tc>
          <w:tcPr>
            <w:tcW w:w="1701" w:type="dxa"/>
            <w:shd w:val="pct10" w:color="000000" w:fill="FFFFFF"/>
            <w:vAlign w:val="center"/>
          </w:tcPr>
          <w:p w14:paraId="7EBB4293" w14:textId="77777777" w:rsidR="00D42C91" w:rsidRPr="00E725C4" w:rsidRDefault="00D42C91" w:rsidP="00C958E2">
            <w:pPr>
              <w:pStyle w:val="RollCallVotes"/>
            </w:pPr>
            <w:r w:rsidRPr="00E725C4">
              <w:t>12</w:t>
            </w:r>
          </w:p>
        </w:tc>
        <w:tc>
          <w:tcPr>
            <w:tcW w:w="7371" w:type="dxa"/>
            <w:shd w:val="pct10" w:color="000000" w:fill="FFFFFF"/>
          </w:tcPr>
          <w:p w14:paraId="70F5F1F1" w14:textId="77777777" w:rsidR="00D42C91" w:rsidRPr="00E725C4" w:rsidRDefault="00D42C91" w:rsidP="00C958E2">
            <w:pPr>
              <w:pStyle w:val="RollCallSymbols14pt"/>
            </w:pPr>
            <w:r w:rsidRPr="00E725C4">
              <w:t>-</w:t>
            </w:r>
          </w:p>
        </w:tc>
      </w:tr>
      <w:tr w:rsidR="00D42C91" w:rsidRPr="00E725C4" w14:paraId="6840316A" w14:textId="77777777" w:rsidTr="00C958E2">
        <w:trPr>
          <w:cantSplit/>
        </w:trPr>
        <w:tc>
          <w:tcPr>
            <w:tcW w:w="1701" w:type="dxa"/>
            <w:shd w:val="clear" w:color="auto" w:fill="FFFFFF"/>
          </w:tcPr>
          <w:p w14:paraId="58598B3D" w14:textId="77777777" w:rsidR="00D42C91" w:rsidRPr="00E725C4" w:rsidRDefault="00D42C91" w:rsidP="00C958E2">
            <w:pPr>
              <w:pStyle w:val="RollCallTable"/>
            </w:pPr>
            <w:r w:rsidRPr="00E725C4">
              <w:t>ESN</w:t>
            </w:r>
          </w:p>
        </w:tc>
        <w:tc>
          <w:tcPr>
            <w:tcW w:w="7371" w:type="dxa"/>
            <w:shd w:val="clear" w:color="auto" w:fill="FFFFFF"/>
          </w:tcPr>
          <w:p w14:paraId="7E3F94E6" w14:textId="77777777" w:rsidR="00D42C91" w:rsidRPr="00E725C4" w:rsidRDefault="00D42C91" w:rsidP="00C958E2">
            <w:pPr>
              <w:pStyle w:val="RollCallTable"/>
            </w:pPr>
            <w:r w:rsidRPr="00E725C4">
              <w:t>Mary Khan, Milan Uhrík, Ewa Zajączkowska-Hernik</w:t>
            </w:r>
          </w:p>
        </w:tc>
      </w:tr>
      <w:tr w:rsidR="00D42C91" w:rsidRPr="00E725C4" w14:paraId="0E27244E" w14:textId="77777777" w:rsidTr="00C958E2">
        <w:trPr>
          <w:cantSplit/>
        </w:trPr>
        <w:tc>
          <w:tcPr>
            <w:tcW w:w="1701" w:type="dxa"/>
            <w:shd w:val="clear" w:color="auto" w:fill="FFFFFF"/>
          </w:tcPr>
          <w:p w14:paraId="01B4A513" w14:textId="77777777" w:rsidR="00D42C91" w:rsidRPr="00E725C4" w:rsidRDefault="00D42C91" w:rsidP="00C958E2">
            <w:pPr>
              <w:pStyle w:val="RollCallTable"/>
            </w:pPr>
            <w:r w:rsidRPr="00E725C4">
              <w:t>NI</w:t>
            </w:r>
          </w:p>
        </w:tc>
        <w:tc>
          <w:tcPr>
            <w:tcW w:w="7371" w:type="dxa"/>
            <w:shd w:val="clear" w:color="auto" w:fill="FFFFFF"/>
          </w:tcPr>
          <w:p w14:paraId="0A2D7D28" w14:textId="77777777" w:rsidR="00D42C91" w:rsidRPr="00E725C4" w:rsidRDefault="00D42C91" w:rsidP="00C958E2">
            <w:pPr>
              <w:pStyle w:val="RollCallTable"/>
            </w:pPr>
            <w:r w:rsidRPr="00E725C4">
              <w:t>Erik Kaliňák</w:t>
            </w:r>
          </w:p>
        </w:tc>
      </w:tr>
      <w:tr w:rsidR="00D42C91" w:rsidRPr="00E725C4" w14:paraId="4E4FB6F6" w14:textId="77777777" w:rsidTr="00C958E2">
        <w:trPr>
          <w:cantSplit/>
        </w:trPr>
        <w:tc>
          <w:tcPr>
            <w:tcW w:w="1701" w:type="dxa"/>
            <w:shd w:val="clear" w:color="auto" w:fill="FFFFFF"/>
          </w:tcPr>
          <w:p w14:paraId="0EA8745C" w14:textId="77777777" w:rsidR="00D42C91" w:rsidRPr="00E725C4" w:rsidRDefault="00D42C91" w:rsidP="00C958E2">
            <w:pPr>
              <w:pStyle w:val="RollCallTable"/>
            </w:pPr>
            <w:r w:rsidRPr="00E725C4">
              <w:t>PfE</w:t>
            </w:r>
          </w:p>
        </w:tc>
        <w:tc>
          <w:tcPr>
            <w:tcW w:w="7371" w:type="dxa"/>
            <w:shd w:val="clear" w:color="auto" w:fill="FFFFFF"/>
          </w:tcPr>
          <w:p w14:paraId="6F84A235" w14:textId="77777777" w:rsidR="00D42C91" w:rsidRPr="00E725C4" w:rsidRDefault="00D42C91" w:rsidP="00C958E2">
            <w:pPr>
              <w:pStyle w:val="RollCallTable"/>
            </w:pPr>
            <w:r w:rsidRPr="00E725C4">
              <w:t>Nikola Bartůšek, Susanna Ceccardi, Anna Maria Cisint, Marieke Ehlers, Fabrice Leggeri, Petra Steger, Tom Vandendriessche, Alexandre Varaut</w:t>
            </w:r>
          </w:p>
        </w:tc>
      </w:tr>
    </w:tbl>
    <w:p w14:paraId="632AEC95" w14:textId="77777777" w:rsidR="00D42C91" w:rsidRPr="00E725C4" w:rsidRDefault="00D42C91" w:rsidP="00D42C9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42C91" w:rsidRPr="00E725C4" w14:paraId="78458CE5" w14:textId="77777777" w:rsidTr="00C958E2">
        <w:trPr>
          <w:cantSplit/>
        </w:trPr>
        <w:tc>
          <w:tcPr>
            <w:tcW w:w="1701" w:type="dxa"/>
            <w:shd w:val="pct10" w:color="000000" w:fill="FFFFFF"/>
            <w:vAlign w:val="center"/>
          </w:tcPr>
          <w:p w14:paraId="00C2FB95" w14:textId="77777777" w:rsidR="00D42C91" w:rsidRPr="00E725C4" w:rsidRDefault="00D42C91" w:rsidP="00C958E2">
            <w:pPr>
              <w:pStyle w:val="RollCallVotes"/>
            </w:pPr>
            <w:r w:rsidRPr="00E725C4">
              <w:t>7</w:t>
            </w:r>
          </w:p>
        </w:tc>
        <w:tc>
          <w:tcPr>
            <w:tcW w:w="7371" w:type="dxa"/>
            <w:shd w:val="pct10" w:color="000000" w:fill="FFFFFF"/>
          </w:tcPr>
          <w:p w14:paraId="533A2260" w14:textId="77777777" w:rsidR="00D42C91" w:rsidRPr="00E725C4" w:rsidRDefault="00D42C91" w:rsidP="00C958E2">
            <w:pPr>
              <w:pStyle w:val="RollCallSymbols14pt"/>
            </w:pPr>
            <w:r w:rsidRPr="00E725C4">
              <w:t>0</w:t>
            </w:r>
          </w:p>
        </w:tc>
      </w:tr>
      <w:tr w:rsidR="00D42C91" w:rsidRPr="00E725C4" w14:paraId="122563E3" w14:textId="77777777" w:rsidTr="00C958E2">
        <w:trPr>
          <w:cantSplit/>
        </w:trPr>
        <w:tc>
          <w:tcPr>
            <w:tcW w:w="1701" w:type="dxa"/>
            <w:shd w:val="clear" w:color="auto" w:fill="FFFFFF"/>
          </w:tcPr>
          <w:p w14:paraId="1F3B388F" w14:textId="77777777" w:rsidR="00D42C91" w:rsidRPr="00E725C4" w:rsidRDefault="00D42C91" w:rsidP="00C958E2">
            <w:pPr>
              <w:pStyle w:val="RollCallTable"/>
            </w:pPr>
            <w:r w:rsidRPr="00E725C4">
              <w:t>ECR</w:t>
            </w:r>
          </w:p>
        </w:tc>
        <w:tc>
          <w:tcPr>
            <w:tcW w:w="7371" w:type="dxa"/>
            <w:shd w:val="clear" w:color="auto" w:fill="FFFFFF"/>
          </w:tcPr>
          <w:p w14:paraId="3DF59A18" w14:textId="77777777" w:rsidR="00D42C91" w:rsidRPr="00E725C4" w:rsidRDefault="00D42C91" w:rsidP="00C958E2">
            <w:pPr>
              <w:pStyle w:val="RollCallTable"/>
            </w:pPr>
            <w:r w:rsidRPr="00E725C4">
              <w:t>Stefano Cavedagna, Alessandro Ciriani, Pietro Fiocchi, Paolo Inselvini, Mariusz Kamiński, Sebastian Tynkkynen, Maciej Wąsik</w:t>
            </w:r>
          </w:p>
        </w:tc>
      </w:tr>
    </w:tbl>
    <w:p w14:paraId="584CE5B6" w14:textId="77777777" w:rsidR="00D42C91" w:rsidRPr="00E725C4" w:rsidRDefault="00D42C91" w:rsidP="00147FBF">
      <w:pPr>
        <w:pStyle w:val="Normal12a"/>
      </w:pPr>
    </w:p>
    <w:p w14:paraId="191550CF" w14:textId="09A5FE89" w:rsidR="00D42C91" w:rsidRPr="00E725C4" w:rsidRDefault="00D42C91" w:rsidP="00B735E3">
      <w:r w:rsidRPr="00E725C4">
        <w:t>Význam zkratek:</w:t>
      </w:r>
    </w:p>
    <w:p w14:paraId="61C9D8EF" w14:textId="3FB97779" w:rsidR="00D42C91" w:rsidRPr="00E725C4" w:rsidRDefault="00D42C91" w:rsidP="003858C5">
      <w:pPr>
        <w:pStyle w:val="RollCallTabs"/>
      </w:pPr>
      <w:r w:rsidRPr="00E725C4">
        <w:t>+</w:t>
      </w:r>
      <w:r w:rsidRPr="00E725C4">
        <w:tab/>
        <w:t>:</w:t>
      </w:r>
      <w:r w:rsidRPr="00E725C4">
        <w:tab/>
        <w:t>pro</w:t>
      </w:r>
    </w:p>
    <w:p w14:paraId="17942A75" w14:textId="258AFD17" w:rsidR="00D42C91" w:rsidRPr="00E725C4" w:rsidRDefault="00D42C91" w:rsidP="003858C5">
      <w:pPr>
        <w:pStyle w:val="RollCallTabs"/>
      </w:pPr>
      <w:r w:rsidRPr="00E725C4">
        <w:t>-</w:t>
      </w:r>
      <w:r w:rsidRPr="00E725C4">
        <w:tab/>
        <w:t>:</w:t>
      </w:r>
      <w:r w:rsidRPr="00E725C4">
        <w:tab/>
        <w:t>proti</w:t>
      </w:r>
    </w:p>
    <w:p w14:paraId="2A2D97FB" w14:textId="2D68878D" w:rsidR="00D42C91" w:rsidRPr="00E725C4" w:rsidRDefault="00D42C91" w:rsidP="003858C5">
      <w:pPr>
        <w:pStyle w:val="RollCallTabs"/>
      </w:pPr>
      <w:r w:rsidRPr="00E725C4">
        <w:t>0</w:t>
      </w:r>
      <w:r w:rsidRPr="00E725C4">
        <w:tab/>
        <w:t>:</w:t>
      </w:r>
      <w:r w:rsidRPr="00E725C4">
        <w:tab/>
        <w:t>zdrželi se</w:t>
      </w:r>
    </w:p>
    <w:p w14:paraId="322C4AFB" w14:textId="77777777" w:rsidR="00D42C91" w:rsidRPr="00E725C4" w:rsidRDefault="00D42C91" w:rsidP="00207509"/>
    <w:bookmarkEnd w:id="1"/>
    <w:p w14:paraId="2AE923DC" w14:textId="7A88766E" w:rsidR="000064CA" w:rsidRPr="00E725C4" w:rsidRDefault="000064CA" w:rsidP="000064CA"/>
    <w:sectPr w:rsidR="000064CA" w:rsidRPr="00E725C4" w:rsidSect="00D42C91">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EBBBE" w14:textId="77777777" w:rsidR="00482ED9" w:rsidRPr="00AB1FBA" w:rsidRDefault="00482ED9">
      <w:r w:rsidRPr="00AB1FBA">
        <w:separator/>
      </w:r>
    </w:p>
  </w:endnote>
  <w:endnote w:type="continuationSeparator" w:id="0">
    <w:p w14:paraId="00A6B86A" w14:textId="77777777" w:rsidR="00482ED9" w:rsidRPr="00AB1FBA" w:rsidRDefault="00482ED9">
      <w:r w:rsidRPr="00AB1F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4854" w14:textId="5C007F4D" w:rsidR="00AB1FBA" w:rsidRPr="00AB1FBA" w:rsidRDefault="00AB1FBA" w:rsidP="00AB1FBA">
    <w:pPr>
      <w:pStyle w:val="EPFooter"/>
    </w:pPr>
    <w:r w:rsidRPr="00AB1FBA">
      <w:t>PE</w:t>
    </w:r>
    <w:r w:rsidRPr="00AB1FBA">
      <w:rPr>
        <w:rStyle w:val="HideTWBExt"/>
      </w:rPr>
      <w:t>&lt;NoPE&gt;</w:t>
    </w:r>
    <w:r w:rsidRPr="00AB1FBA">
      <w:t>778.328</w:t>
    </w:r>
    <w:r w:rsidRPr="00AB1FBA">
      <w:rPr>
        <w:rStyle w:val="HideTWBExt"/>
      </w:rPr>
      <w:t>&lt;/NoPE&gt;&lt;Version&gt;</w:t>
    </w:r>
    <w:r w:rsidRPr="00AB1FBA">
      <w:t>v02-00</w:t>
    </w:r>
    <w:r w:rsidRPr="00AB1FBA">
      <w:rPr>
        <w:rStyle w:val="HideTWBExt"/>
      </w:rPr>
      <w:t>&lt;/Version&gt;</w:t>
    </w:r>
    <w:r w:rsidRPr="00AB1FBA">
      <w:tab/>
    </w:r>
    <w:r w:rsidRPr="00AB1FBA">
      <w:fldChar w:fldCharType="begin"/>
    </w:r>
    <w:r w:rsidRPr="00AB1FBA">
      <w:instrText xml:space="preserve"> PAGE  \* MERGEFORMAT </w:instrText>
    </w:r>
    <w:r w:rsidRPr="00AB1FBA">
      <w:fldChar w:fldCharType="separate"/>
    </w:r>
    <w:r w:rsidR="00A03D07">
      <w:rPr>
        <w:noProof/>
      </w:rPr>
      <w:t>6</w:t>
    </w:r>
    <w:r w:rsidRPr="00AB1FBA">
      <w:fldChar w:fldCharType="end"/>
    </w:r>
    <w:r w:rsidRPr="00AB1FBA">
      <w:t>/</w:t>
    </w:r>
    <w:fldSimple w:instr=" NUMPAGES  \* MERGEFORMAT ">
      <w:r w:rsidR="00A03D07">
        <w:rPr>
          <w:noProof/>
        </w:rPr>
        <w:t>7</w:t>
      </w:r>
    </w:fldSimple>
    <w:r w:rsidRPr="00AB1FBA">
      <w:tab/>
    </w:r>
    <w:r w:rsidRPr="00AB1FBA">
      <w:rPr>
        <w:rStyle w:val="HideTWBExt"/>
      </w:rPr>
      <w:t>&lt;PathFdR&gt;</w:t>
    </w:r>
    <w:r w:rsidRPr="00AB1FBA">
      <w:t>AD\1333300CS.docx</w:t>
    </w:r>
    <w:r w:rsidRPr="00AB1FBA">
      <w:rPr>
        <w:rStyle w:val="HideTWBExt"/>
      </w:rPr>
      <w:t>&lt;/PathFdR&gt;</w:t>
    </w:r>
  </w:p>
  <w:p w14:paraId="5DE1E6D6" w14:textId="2D712836" w:rsidR="00D42C91" w:rsidRPr="00AB1FBA" w:rsidRDefault="00AB1FBA" w:rsidP="00AB1FBA">
    <w:pPr>
      <w:pStyle w:val="EPFooter2"/>
    </w:pPr>
    <w:r w:rsidRPr="00AB1FBA">
      <w:t>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60726" w14:textId="4BD84205" w:rsidR="00AB1FBA" w:rsidRPr="00AB1FBA" w:rsidRDefault="00AB1FBA" w:rsidP="00AB1FBA">
    <w:pPr>
      <w:pStyle w:val="EPFooter"/>
    </w:pPr>
    <w:r w:rsidRPr="00AB1FBA">
      <w:rPr>
        <w:rStyle w:val="HideTWBExt"/>
      </w:rPr>
      <w:t>&lt;PathFdR&gt;</w:t>
    </w:r>
    <w:r w:rsidRPr="00AB1FBA">
      <w:t>AD\1333300CS.docx</w:t>
    </w:r>
    <w:r w:rsidRPr="00AB1FBA">
      <w:rPr>
        <w:rStyle w:val="HideTWBExt"/>
      </w:rPr>
      <w:t>&lt;/PathFdR&gt;</w:t>
    </w:r>
    <w:r w:rsidRPr="00AB1FBA">
      <w:tab/>
    </w:r>
    <w:r w:rsidRPr="00AB1FBA">
      <w:fldChar w:fldCharType="begin"/>
    </w:r>
    <w:r w:rsidRPr="00AB1FBA">
      <w:instrText xml:space="preserve"> PAGE  \* MERGEFORMAT </w:instrText>
    </w:r>
    <w:r w:rsidRPr="00AB1FBA">
      <w:fldChar w:fldCharType="separate"/>
    </w:r>
    <w:r w:rsidR="00A03D07">
      <w:rPr>
        <w:noProof/>
      </w:rPr>
      <w:t>7</w:t>
    </w:r>
    <w:r w:rsidRPr="00AB1FBA">
      <w:fldChar w:fldCharType="end"/>
    </w:r>
    <w:r w:rsidRPr="00AB1FBA">
      <w:t>/</w:t>
    </w:r>
    <w:fldSimple w:instr=" NUMPAGES  \* MERGEFORMAT ">
      <w:r w:rsidR="00A03D07">
        <w:rPr>
          <w:noProof/>
        </w:rPr>
        <w:t>7</w:t>
      </w:r>
    </w:fldSimple>
    <w:r w:rsidRPr="00AB1FBA">
      <w:tab/>
      <w:t>PE</w:t>
    </w:r>
    <w:r w:rsidRPr="00AB1FBA">
      <w:rPr>
        <w:rStyle w:val="HideTWBExt"/>
      </w:rPr>
      <w:t>&lt;NoPE&gt;</w:t>
    </w:r>
    <w:r w:rsidRPr="00AB1FBA">
      <w:t>778.328</w:t>
    </w:r>
    <w:r w:rsidRPr="00AB1FBA">
      <w:rPr>
        <w:rStyle w:val="HideTWBExt"/>
      </w:rPr>
      <w:t>&lt;/NoPE&gt;&lt;Version&gt;</w:t>
    </w:r>
    <w:r w:rsidRPr="00AB1FBA">
      <w:t>v02-00</w:t>
    </w:r>
    <w:r w:rsidRPr="00AB1FBA">
      <w:rPr>
        <w:rStyle w:val="HideTWBExt"/>
      </w:rPr>
      <w:t>&lt;/Version&gt;</w:t>
    </w:r>
  </w:p>
  <w:p w14:paraId="03109B0A" w14:textId="74A1F22F" w:rsidR="00D42C91" w:rsidRPr="00AB1FBA" w:rsidRDefault="00AB1FBA" w:rsidP="00AB1FBA">
    <w:pPr>
      <w:pStyle w:val="EPFooter2"/>
    </w:pPr>
    <w:r w:rsidRPr="00AB1FBA">
      <w:tab/>
    </w:r>
    <w:r w:rsidRPr="00AB1FBA">
      <w:tab/>
      <w:t>CS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E2ED2" w14:textId="77777777" w:rsidR="00AB1FBA" w:rsidRPr="00AB1FBA" w:rsidRDefault="00AB1FBA" w:rsidP="00AB1FBA">
    <w:pPr>
      <w:pStyle w:val="EPFooter"/>
    </w:pPr>
    <w:r w:rsidRPr="00AB1FBA">
      <w:rPr>
        <w:rStyle w:val="HideTWBExt"/>
      </w:rPr>
      <w:t>&lt;PathFdR&gt;</w:t>
    </w:r>
    <w:r w:rsidRPr="00AB1FBA">
      <w:t>AD\1333300CS.docx</w:t>
    </w:r>
    <w:r w:rsidRPr="00AB1FBA">
      <w:rPr>
        <w:rStyle w:val="HideTWBExt"/>
      </w:rPr>
      <w:t>&lt;/PathFdR&gt;</w:t>
    </w:r>
    <w:r w:rsidRPr="00AB1FBA">
      <w:tab/>
    </w:r>
    <w:r w:rsidRPr="00AB1FBA">
      <w:tab/>
      <w:t>PE</w:t>
    </w:r>
    <w:r w:rsidRPr="00AB1FBA">
      <w:rPr>
        <w:rStyle w:val="HideTWBExt"/>
      </w:rPr>
      <w:t>&lt;NoPE&gt;</w:t>
    </w:r>
    <w:r w:rsidRPr="00AB1FBA">
      <w:t>778.328</w:t>
    </w:r>
    <w:r w:rsidRPr="00AB1FBA">
      <w:rPr>
        <w:rStyle w:val="HideTWBExt"/>
      </w:rPr>
      <w:t>&lt;/NoPE&gt;&lt;Version&gt;</w:t>
    </w:r>
    <w:r w:rsidRPr="00AB1FBA">
      <w:t>v02-00</w:t>
    </w:r>
    <w:r w:rsidRPr="00AB1FBA">
      <w:rPr>
        <w:rStyle w:val="HideTWBExt"/>
      </w:rPr>
      <w:t>&lt;/Version&gt;</w:t>
    </w:r>
  </w:p>
  <w:p w14:paraId="1EF02E98" w14:textId="55E64F1C" w:rsidR="00D42C91" w:rsidRPr="00AB1FBA" w:rsidRDefault="00AB1FBA" w:rsidP="00AB1FBA">
    <w:pPr>
      <w:pStyle w:val="EPFooter2"/>
    </w:pPr>
    <w:r w:rsidRPr="00AB1FBA">
      <w:t>CS</w:t>
    </w:r>
    <w:r w:rsidRPr="00AB1FBA">
      <w:tab/>
    </w:r>
    <w:r w:rsidRPr="00AB1FBA">
      <w:rPr>
        <w:b w:val="0"/>
        <w:i/>
        <w:color w:val="C0C0C0"/>
        <w:sz w:val="22"/>
      </w:rPr>
      <w:t>Jednotná v rozmanitosti</w:t>
    </w:r>
    <w:r w:rsidRPr="00AB1FBA">
      <w:tab/>
      <w:t>CS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5BC9" w14:textId="77777777" w:rsidR="000064CA" w:rsidRPr="00AB1FBA" w:rsidRDefault="000064CA" w:rsidP="000064CA">
    <w:pPr>
      <w:pStyle w:val="EPFooter"/>
    </w:pPr>
    <w:r w:rsidRPr="00AB1FBA">
      <w:rPr>
        <w:rStyle w:val="HideTWBExt"/>
      </w:rPr>
      <w:t>&lt;PathFdR&gt;</w:t>
    </w:r>
    <w:r w:rsidRPr="00AB1FBA">
      <w:t>AD\1333300CS.docx</w:t>
    </w:r>
    <w:r w:rsidRPr="00AB1FBA">
      <w:rPr>
        <w:rStyle w:val="HideTWBExt"/>
      </w:rPr>
      <w:t>&lt;/PathFdR&gt;</w:t>
    </w:r>
    <w:r w:rsidRPr="00AB1FBA">
      <w:tab/>
    </w:r>
    <w:r w:rsidRPr="00AB1FBA">
      <w:tab/>
      <w:t>PE</w:t>
    </w:r>
    <w:r w:rsidRPr="00AB1FBA">
      <w:rPr>
        <w:rStyle w:val="HideTWBExt"/>
      </w:rPr>
      <w:t>&lt;NoPE&gt;</w:t>
    </w:r>
    <w:r w:rsidRPr="00AB1FBA">
      <w:t>778.328</w:t>
    </w:r>
    <w:r w:rsidRPr="00AB1FBA">
      <w:rPr>
        <w:rStyle w:val="HideTWBExt"/>
      </w:rPr>
      <w:t>&lt;/NoPE&gt;&lt;Version&gt;</w:t>
    </w:r>
    <w:r w:rsidRPr="00AB1FBA">
      <w:t>v02-00</w:t>
    </w:r>
    <w:r w:rsidRPr="00AB1FBA">
      <w:rPr>
        <w:rStyle w:val="HideTWBExt"/>
      </w:rPr>
      <w:t>&lt;/Version&gt;</w:t>
    </w:r>
  </w:p>
  <w:p w14:paraId="06AAA362" w14:textId="0A17D141" w:rsidR="00C75378" w:rsidRPr="00AB1FBA" w:rsidRDefault="000064CA" w:rsidP="000064CA">
    <w:pPr>
      <w:pStyle w:val="EPFooter2"/>
    </w:pPr>
    <w:r w:rsidRPr="00AB1FBA">
      <w:t>CS</w:t>
    </w:r>
    <w:r w:rsidRPr="00AB1FBA">
      <w:tab/>
    </w:r>
    <w:r w:rsidRPr="00AB1FBA">
      <w:rPr>
        <w:b w:val="0"/>
        <w:i/>
        <w:color w:val="C0C0C0"/>
        <w:sz w:val="22"/>
      </w:rPr>
      <w:t>Jednotná v rozmanitosti</w:t>
    </w:r>
    <w:r w:rsidRPr="00AB1FBA">
      <w:tab/>
      <w:t>CS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3DFA9" w14:textId="77777777" w:rsidR="00482ED9" w:rsidRPr="00AB1FBA" w:rsidRDefault="00482ED9">
      <w:r w:rsidRPr="00AB1FBA">
        <w:separator/>
      </w:r>
    </w:p>
  </w:footnote>
  <w:footnote w:type="continuationSeparator" w:id="0">
    <w:p w14:paraId="2C4DCA55" w14:textId="77777777" w:rsidR="00482ED9" w:rsidRPr="00AB1FBA" w:rsidRDefault="00482ED9">
      <w:r w:rsidRPr="00AB1FBA">
        <w:continuationSeparator/>
      </w:r>
    </w:p>
  </w:footnote>
  <w:footnote w:id="1">
    <w:p w14:paraId="5FA0373D" w14:textId="701405AF" w:rsidR="00D42C91" w:rsidRPr="00AB1FBA" w:rsidRDefault="00D42C91" w:rsidP="00D42C91">
      <w:pPr>
        <w:pStyle w:val="FootnoteText"/>
      </w:pPr>
      <w:r>
        <w:rPr>
          <w:rStyle w:val="FootnoteReference"/>
        </w:rPr>
        <w:footnoteRef/>
      </w:r>
      <w:r>
        <w:t xml:space="preserve"> Interinstitucionální dohoda ze dne 20. května 2021 mezi Evropským parlamentem, Radou Evropské unie a Evropskou komisí o povinném rejstříku transparentnosti (Úř. věst. L 207, 11.6.2021, s. 1, ELI: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1E717" w14:textId="77777777" w:rsidR="00A03D07" w:rsidRDefault="00A03D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0583A" w14:textId="77777777" w:rsidR="00A03D07" w:rsidRDefault="00A03D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86867" w14:textId="77777777" w:rsidR="00A03D07" w:rsidRDefault="00A03D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011639970">
    <w:abstractNumId w:val="9"/>
  </w:num>
  <w:num w:numId="2" w16cid:durableId="678701171">
    <w:abstractNumId w:val="9"/>
  </w:num>
  <w:num w:numId="3" w16cid:durableId="288706499">
    <w:abstractNumId w:val="7"/>
  </w:num>
  <w:num w:numId="4" w16cid:durableId="1883907267">
    <w:abstractNumId w:val="7"/>
  </w:num>
  <w:num w:numId="5" w16cid:durableId="259222435">
    <w:abstractNumId w:val="6"/>
  </w:num>
  <w:num w:numId="6" w16cid:durableId="639575958">
    <w:abstractNumId w:val="6"/>
  </w:num>
  <w:num w:numId="7" w16cid:durableId="1495343084">
    <w:abstractNumId w:val="5"/>
  </w:num>
  <w:num w:numId="8" w16cid:durableId="635724793">
    <w:abstractNumId w:val="5"/>
  </w:num>
  <w:num w:numId="9" w16cid:durableId="1452430551">
    <w:abstractNumId w:val="4"/>
  </w:num>
  <w:num w:numId="10" w16cid:durableId="1633242084">
    <w:abstractNumId w:val="4"/>
  </w:num>
  <w:num w:numId="11" w16cid:durableId="1856067695">
    <w:abstractNumId w:val="8"/>
  </w:num>
  <w:num w:numId="12" w16cid:durableId="1951275287">
    <w:abstractNumId w:val="8"/>
  </w:num>
  <w:num w:numId="13" w16cid:durableId="2043674698">
    <w:abstractNumId w:val="3"/>
  </w:num>
  <w:num w:numId="14" w16cid:durableId="1164779127">
    <w:abstractNumId w:val="3"/>
  </w:num>
  <w:num w:numId="15" w16cid:durableId="607347627">
    <w:abstractNumId w:val="2"/>
  </w:num>
  <w:num w:numId="16" w16cid:durableId="1097143305">
    <w:abstractNumId w:val="2"/>
  </w:num>
  <w:num w:numId="17" w16cid:durableId="1381128427">
    <w:abstractNumId w:val="1"/>
  </w:num>
  <w:num w:numId="18" w16cid:durableId="1472677238">
    <w:abstractNumId w:val="1"/>
  </w:num>
  <w:num w:numId="19" w16cid:durableId="817234015">
    <w:abstractNumId w:val="0"/>
  </w:num>
  <w:num w:numId="20" w16cid:durableId="1947543075">
    <w:abstractNumId w:val="0"/>
  </w:num>
  <w:num w:numId="21" w16cid:durableId="994798621">
    <w:abstractNumId w:val="9"/>
  </w:num>
  <w:num w:numId="22" w16cid:durableId="1484816339">
    <w:abstractNumId w:val="7"/>
  </w:num>
  <w:num w:numId="23" w16cid:durableId="241649880">
    <w:abstractNumId w:val="6"/>
  </w:num>
  <w:num w:numId="24" w16cid:durableId="213542238">
    <w:abstractNumId w:val="5"/>
  </w:num>
  <w:num w:numId="25" w16cid:durableId="2000963828">
    <w:abstractNumId w:val="4"/>
  </w:num>
  <w:num w:numId="26" w16cid:durableId="905577642">
    <w:abstractNumId w:val="8"/>
  </w:num>
  <w:num w:numId="27" w16cid:durableId="67923029">
    <w:abstractNumId w:val="3"/>
  </w:num>
  <w:num w:numId="28" w16cid:durableId="1339041347">
    <w:abstractNumId w:val="2"/>
  </w:num>
  <w:num w:numId="29" w16cid:durableId="1930113543">
    <w:abstractNumId w:val="1"/>
  </w:num>
  <w:num w:numId="30" w16cid:durableId="1513762741">
    <w:abstractNumId w:val="0"/>
  </w:num>
  <w:num w:numId="31" w16cid:durableId="201602322">
    <w:abstractNumId w:val="9"/>
  </w:num>
  <w:num w:numId="32" w16cid:durableId="393940081">
    <w:abstractNumId w:val="7"/>
  </w:num>
  <w:num w:numId="33" w16cid:durableId="1948460252">
    <w:abstractNumId w:val="6"/>
  </w:num>
  <w:num w:numId="34" w16cid:durableId="208223475">
    <w:abstractNumId w:val="5"/>
  </w:num>
  <w:num w:numId="35" w16cid:durableId="273293910">
    <w:abstractNumId w:val="4"/>
  </w:num>
  <w:num w:numId="36" w16cid:durableId="332034706">
    <w:abstractNumId w:val="8"/>
  </w:num>
  <w:num w:numId="37" w16cid:durableId="1923487607">
    <w:abstractNumId w:val="3"/>
  </w:num>
  <w:num w:numId="38" w16cid:durableId="962493603">
    <w:abstractNumId w:val="2"/>
  </w:num>
  <w:num w:numId="39" w16cid:durableId="350029955">
    <w:abstractNumId w:val="1"/>
  </w:num>
  <w:num w:numId="40" w16cid:durableId="1753769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DOPTIONMNU" w:val=" 1"/>
    <w:docVar w:name="AUTHORMFMNU" w:val=" 1"/>
    <w:docVar w:name="COMKEY" w:val="LIBE"/>
    <w:docVar w:name="CONTRIBUTIONMNU" w:val=" 1"/>
    <w:docVar w:name="DOCDT" w:val="14/10/2025"/>
    <w:docVar w:name="FONCTIONMNU" w:val=" 2"/>
    <w:docVar w:name="LastEditedSection" w:val=" 1"/>
    <w:docVar w:name="strDocTypeID" w:val="PA_NonLegDec"/>
    <w:docVar w:name="strSubDir" w:val="1333"/>
    <w:docVar w:name="TITLEMNU" w:val=" 3"/>
    <w:docVar w:name="TXTAUTHOR" w:val="Evin Incir"/>
    <w:docVar w:name="TXTLANGUE" w:val="CS"/>
    <w:docVar w:name="TXTLANGUEMIN" w:val="cs"/>
    <w:docVar w:name="TXTNRPE" w:val="778.328"/>
    <w:docVar w:name="TXTNRPROC" w:val="2025/2155"/>
    <w:docVar w:name="TXTPEorAP" w:val="PE"/>
    <w:docVar w:name="TXTROUTE" w:val="AD\1333300CS.docx"/>
    <w:docVar w:name="TXTTITLE" w:val="on discharge in respect of the implementation of the budget of the- European Public Prosecutors Office for the financial year 2024"/>
    <w:docVar w:name="TXTVERSION" w:val="02-00"/>
  </w:docVars>
  <w:rsids>
    <w:rsidRoot w:val="00482ED9"/>
    <w:rsid w:val="000048A8"/>
    <w:rsid w:val="000064CA"/>
    <w:rsid w:val="00007A18"/>
    <w:rsid w:val="00062634"/>
    <w:rsid w:val="000A05CA"/>
    <w:rsid w:val="000B6C4B"/>
    <w:rsid w:val="000D001F"/>
    <w:rsid w:val="000D099F"/>
    <w:rsid w:val="000E6813"/>
    <w:rsid w:val="000F07FE"/>
    <w:rsid w:val="001275F4"/>
    <w:rsid w:val="001A455F"/>
    <w:rsid w:val="001F2766"/>
    <w:rsid w:val="001F6ED8"/>
    <w:rsid w:val="00212D35"/>
    <w:rsid w:val="00245C7F"/>
    <w:rsid w:val="00251C91"/>
    <w:rsid w:val="00271180"/>
    <w:rsid w:val="002A4AC9"/>
    <w:rsid w:val="002B0F91"/>
    <w:rsid w:val="002B2892"/>
    <w:rsid w:val="002C0EE6"/>
    <w:rsid w:val="002C34AE"/>
    <w:rsid w:val="002E2F2E"/>
    <w:rsid w:val="00307C14"/>
    <w:rsid w:val="003707A7"/>
    <w:rsid w:val="00385BAB"/>
    <w:rsid w:val="0039003E"/>
    <w:rsid w:val="00396FA9"/>
    <w:rsid w:val="003B72FC"/>
    <w:rsid w:val="003D684B"/>
    <w:rsid w:val="003E06CF"/>
    <w:rsid w:val="003E35FB"/>
    <w:rsid w:val="003F3B83"/>
    <w:rsid w:val="00431E30"/>
    <w:rsid w:val="00482ED9"/>
    <w:rsid w:val="00487232"/>
    <w:rsid w:val="00495CA4"/>
    <w:rsid w:val="004A34E6"/>
    <w:rsid w:val="004C28FB"/>
    <w:rsid w:val="004E54DC"/>
    <w:rsid w:val="004F48ED"/>
    <w:rsid w:val="00514664"/>
    <w:rsid w:val="00516F8A"/>
    <w:rsid w:val="0055017A"/>
    <w:rsid w:val="00577018"/>
    <w:rsid w:val="005779E7"/>
    <w:rsid w:val="005D0786"/>
    <w:rsid w:val="005E3670"/>
    <w:rsid w:val="00600DC9"/>
    <w:rsid w:val="00643F39"/>
    <w:rsid w:val="0066728C"/>
    <w:rsid w:val="006819E0"/>
    <w:rsid w:val="006D79B1"/>
    <w:rsid w:val="006F040C"/>
    <w:rsid w:val="00712FEA"/>
    <w:rsid w:val="0071319E"/>
    <w:rsid w:val="00722749"/>
    <w:rsid w:val="00806587"/>
    <w:rsid w:val="008818A9"/>
    <w:rsid w:val="008C6240"/>
    <w:rsid w:val="008E7494"/>
    <w:rsid w:val="008F36CD"/>
    <w:rsid w:val="008F7002"/>
    <w:rsid w:val="00942AD3"/>
    <w:rsid w:val="0095301E"/>
    <w:rsid w:val="0095497D"/>
    <w:rsid w:val="009669A8"/>
    <w:rsid w:val="00972FD8"/>
    <w:rsid w:val="00977F76"/>
    <w:rsid w:val="0098140C"/>
    <w:rsid w:val="009A33F4"/>
    <w:rsid w:val="009A403C"/>
    <w:rsid w:val="009B5265"/>
    <w:rsid w:val="00A03D07"/>
    <w:rsid w:val="00A2041C"/>
    <w:rsid w:val="00A722B1"/>
    <w:rsid w:val="00A8267E"/>
    <w:rsid w:val="00A93570"/>
    <w:rsid w:val="00A94B55"/>
    <w:rsid w:val="00A9617A"/>
    <w:rsid w:val="00AA1A2C"/>
    <w:rsid w:val="00AA223C"/>
    <w:rsid w:val="00AB1FBA"/>
    <w:rsid w:val="00AD5CA8"/>
    <w:rsid w:val="00AF77DA"/>
    <w:rsid w:val="00B107A4"/>
    <w:rsid w:val="00B1441B"/>
    <w:rsid w:val="00B362F7"/>
    <w:rsid w:val="00BB2AC1"/>
    <w:rsid w:val="00C04938"/>
    <w:rsid w:val="00C175C0"/>
    <w:rsid w:val="00C47E30"/>
    <w:rsid w:val="00C54F53"/>
    <w:rsid w:val="00C75378"/>
    <w:rsid w:val="00CA0D01"/>
    <w:rsid w:val="00CF7076"/>
    <w:rsid w:val="00D41244"/>
    <w:rsid w:val="00D42C91"/>
    <w:rsid w:val="00D438D0"/>
    <w:rsid w:val="00D44697"/>
    <w:rsid w:val="00D47632"/>
    <w:rsid w:val="00D625A2"/>
    <w:rsid w:val="00D71751"/>
    <w:rsid w:val="00D759AA"/>
    <w:rsid w:val="00DA7632"/>
    <w:rsid w:val="00E01434"/>
    <w:rsid w:val="00E05697"/>
    <w:rsid w:val="00E12435"/>
    <w:rsid w:val="00E3462E"/>
    <w:rsid w:val="00E66507"/>
    <w:rsid w:val="00E725C4"/>
    <w:rsid w:val="00E729C7"/>
    <w:rsid w:val="00E83B40"/>
    <w:rsid w:val="00E9601C"/>
    <w:rsid w:val="00EA78B3"/>
    <w:rsid w:val="00EB19AA"/>
    <w:rsid w:val="00EC2C85"/>
    <w:rsid w:val="00F036E0"/>
    <w:rsid w:val="00F129D0"/>
    <w:rsid w:val="00F46E44"/>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A6E38C"/>
  <w15:chartTrackingRefBased/>
  <w15:docId w15:val="{F62EAD41-2D8D-4AF1-824D-8308E142D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712FEA"/>
    <w:pPr>
      <w:tabs>
        <w:tab w:val="center" w:pos="4513"/>
        <w:tab w:val="right" w:pos="9026"/>
      </w:tabs>
    </w:pPr>
  </w:style>
  <w:style w:type="character" w:customStyle="1" w:styleId="FooterChar">
    <w:name w:val="Footer Char"/>
    <w:basedOn w:val="DefaultParagraphFont"/>
    <w:link w:val="Footer"/>
    <w:semiHidden/>
    <w:rsid w:val="00712FEA"/>
    <w:rPr>
      <w:sz w:val="24"/>
      <w:lang w:val="cs-CZ"/>
    </w:rPr>
  </w:style>
  <w:style w:type="paragraph" w:customStyle="1" w:styleId="RollCallSymbols14pt">
    <w:name w:val="RollCallSymbols14pt"/>
    <w:basedOn w:val="Normal"/>
    <w:rsid w:val="00D42C91"/>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D42C91"/>
    <w:pPr>
      <w:tabs>
        <w:tab w:val="center" w:pos="284"/>
        <w:tab w:val="left" w:pos="426"/>
      </w:tabs>
    </w:pPr>
    <w:rPr>
      <w:snapToGrid w:val="0"/>
      <w:lang w:eastAsia="en-US"/>
    </w:rPr>
  </w:style>
  <w:style w:type="paragraph" w:customStyle="1" w:styleId="RollCallVotes">
    <w:name w:val="RollCallVotes"/>
    <w:basedOn w:val="Normal"/>
    <w:rsid w:val="00D42C91"/>
    <w:pPr>
      <w:spacing w:before="120" w:after="120"/>
      <w:jc w:val="center"/>
    </w:pPr>
    <w:rPr>
      <w:b/>
      <w:bCs/>
      <w:snapToGrid w:val="0"/>
      <w:sz w:val="16"/>
      <w:lang w:eastAsia="en-US"/>
    </w:rPr>
  </w:style>
  <w:style w:type="paragraph" w:customStyle="1" w:styleId="RollCallTable">
    <w:name w:val="RollCallTable"/>
    <w:basedOn w:val="Normal"/>
    <w:rsid w:val="00D42C91"/>
    <w:pPr>
      <w:spacing w:before="120" w:after="120"/>
    </w:pPr>
    <w:rPr>
      <w:snapToGrid w:val="0"/>
      <w:sz w:val="16"/>
      <w:lang w:eastAsia="en-US"/>
    </w:rPr>
  </w:style>
  <w:style w:type="character" w:customStyle="1" w:styleId="NormalHanging12aChar">
    <w:name w:val="NormalHanging12a Char"/>
    <w:basedOn w:val="DefaultParagraphFont"/>
    <w:link w:val="NormalHanging12a"/>
    <w:rsid w:val="00D42C91"/>
    <w:rPr>
      <w:sz w:val="24"/>
    </w:rPr>
  </w:style>
  <w:style w:type="paragraph" w:customStyle="1" w:styleId="Normal24a">
    <w:name w:val="Normal24a"/>
    <w:basedOn w:val="Normal"/>
    <w:rsid w:val="00D42C91"/>
    <w:pPr>
      <w:spacing w:after="480"/>
    </w:pPr>
    <w:rPr>
      <w:szCs w:val="24"/>
    </w:rPr>
  </w:style>
  <w:style w:type="paragraph" w:customStyle="1" w:styleId="NormalBoldCenter">
    <w:name w:val="NormalBoldCenter"/>
    <w:basedOn w:val="Normal"/>
    <w:rsid w:val="00D42C91"/>
    <w:pPr>
      <w:jc w:val="center"/>
    </w:pPr>
    <w:rPr>
      <w:b/>
      <w:szCs w:val="24"/>
    </w:rPr>
  </w:style>
  <w:style w:type="paragraph" w:customStyle="1" w:styleId="Footprint12b">
    <w:name w:val="Footprint12b"/>
    <w:basedOn w:val="Normal"/>
    <w:rsid w:val="00D42C91"/>
    <w:pPr>
      <w:spacing w:before="240"/>
    </w:pPr>
    <w:rPr>
      <w:szCs w:val="24"/>
    </w:rPr>
  </w:style>
  <w:style w:type="paragraph" w:customStyle="1" w:styleId="NormalSingle">
    <w:name w:val="NormalSingle"/>
    <w:basedOn w:val="Normal"/>
    <w:qFormat/>
    <w:rsid w:val="00D42C91"/>
    <w:rPr>
      <w:szCs w:val="24"/>
    </w:rPr>
  </w:style>
  <w:style w:type="paragraph" w:styleId="FootnoteText">
    <w:name w:val="footnote text"/>
    <w:basedOn w:val="Normal"/>
    <w:link w:val="FootnoteTextChar"/>
    <w:rsid w:val="00D42C91"/>
    <w:rPr>
      <w:sz w:val="20"/>
    </w:rPr>
  </w:style>
  <w:style w:type="character" w:customStyle="1" w:styleId="FootnoteTextChar">
    <w:name w:val="Footnote Text Char"/>
    <w:basedOn w:val="DefaultParagraphFont"/>
    <w:link w:val="FootnoteText"/>
    <w:rsid w:val="00D42C91"/>
  </w:style>
  <w:style w:type="character" w:styleId="FootnoteReference">
    <w:name w:val="footnote reference"/>
    <w:basedOn w:val="DefaultParagraphFont"/>
    <w:rsid w:val="00D42C91"/>
    <w:rPr>
      <w:vertAlign w:val="superscript"/>
    </w:rPr>
  </w:style>
  <w:style w:type="character" w:styleId="Hyperlink">
    <w:name w:val="Hyperlink"/>
    <w:basedOn w:val="DefaultParagraphFont"/>
    <w:rsid w:val="00D42C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1486</Words>
  <Characters>9336</Characters>
  <Application>Microsoft Office Word</Application>
  <DocSecurity>0</DocSecurity>
  <Lines>212</Lines>
  <Paragraphs>90</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2025-12-22T07:28:00Z</dcterms:created>
  <dcterms:modified xsi:type="dcterms:W3CDTF">2025-12-22T07:28:00Z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10.1.2 Build [20250817]</vt:lpwstr>
  </property>
  <property fmtid="{D5CDD505-2E9C-101B-9397-08002B2CF9AE}" pid="4" name="LastEdited with">
    <vt:lpwstr>10.2.1 Build [20251202]</vt:lpwstr>
  </property>
  <property fmtid="{D5CDD505-2E9C-101B-9397-08002B2CF9AE}" pid="5" name="&lt;FdR&gt;">
    <vt:lpwstr>1333300</vt:lpwstr>
  </property>
  <property fmtid="{D5CDD505-2E9C-101B-9397-08002B2CF9AE}" pid="6" name="&lt;Type&gt;">
    <vt:lpwstr>AD</vt:lpwstr>
  </property>
  <property fmtid="{D5CDD505-2E9C-101B-9397-08002B2CF9AE}" pid="7" name="&lt;ModelCod&gt;">
    <vt:lpwstr>\\eiciLUXpr1\pdocep$\DocEP\DOCS\General\PA\PA_NonLeg\PA_NonLegDec.dotx(08/11/2024 10:44:10)</vt:lpwstr>
  </property>
  <property fmtid="{D5CDD505-2E9C-101B-9397-08002B2CF9AE}" pid="8" name="&lt;ModelTra&gt;">
    <vt:lpwstr>\\eiciLUXpr1\pdocep$\DocEP\TRANSFIL\CS\PA_NonLegDec.CS(22/01/2025 14:17:00)</vt:lpwstr>
  </property>
  <property fmtid="{D5CDD505-2E9C-101B-9397-08002B2CF9AE}" pid="9" name="&lt;Model&gt;">
    <vt:lpwstr>PA_NonLegDec</vt:lpwstr>
  </property>
  <property fmtid="{D5CDD505-2E9C-101B-9397-08002B2CF9AE}" pid="10" name="FooterPath">
    <vt:lpwstr>AD\1333300CS.docx</vt:lpwstr>
  </property>
  <property fmtid="{D5CDD505-2E9C-101B-9397-08002B2CF9AE}" pid="11" name="PE number">
    <vt:lpwstr>778.328</vt:lpwstr>
  </property>
  <property fmtid="{D5CDD505-2E9C-101B-9397-08002B2CF9AE}" pid="12" name="Bookout">
    <vt:lpwstr>OK - 2025/12/22 08:28</vt:lpwstr>
  </property>
  <property fmtid="{D5CDD505-2E9C-101B-9397-08002B2CF9AE}" pid="13" name="SDLStudio">
    <vt:lpwstr/>
  </property>
</Properties>
</file>