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 Generated by Aspose.Words for Java 22.12.0 -->
  <w:body>
    <w:tbl>
      <w:tblPr>
        <w:tblW w:w="9072" w:type="dxa"/>
        <w:tblCellMar>
          <w:left w:w="0" w:type="dxa"/>
          <w:right w:w="0" w:type="dxa"/>
        </w:tblCellMar>
        <w:tblLook w:val="01E0"/>
      </w:tblPr>
      <w:tblGrid>
        <w:gridCol w:w="6804"/>
        <w:gridCol w:w="2268"/>
      </w:tblGrid>
      <w:tr w14:paraId="30526ADA" w14:textId="77777777" w:rsidTr="00C85D0F">
        <w:tblPrEx>
          <w:tblW w:w="9072" w:type="dxa"/>
          <w:tblCellMar>
            <w:left w:w="0" w:type="dxa"/>
            <w:right w:w="0" w:type="dxa"/>
          </w:tblCellMar>
          <w:tblLook w:val="01E0"/>
        </w:tblPrEx>
        <w:trPr>
          <w:trHeight w:hRule="exact" w:val="1418"/>
        </w:trPr>
        <w:tc>
          <w:tcPr>
            <w:tcW w:w="6804" w:type="dxa"/>
            <w:shd w:val="clear" w:color="auto" w:fill="auto"/>
            <w:vAlign w:val="center"/>
          </w:tcPr>
          <w:p w:rsidR="004F48ED" w:rsidRPr="00FF7A80" w:rsidP="00C85D0F" w14:paraId="16F8E67F" w14:textId="77777777">
            <w:pPr>
              <w:pStyle w:val="EPName"/>
            </w:pPr>
            <w:r>
              <w:t>Europa-Parlamentet</w:t>
            </w:r>
          </w:p>
          <w:p w:rsidR="004F48ED" w:rsidRPr="00FF7A80" w:rsidP="00C85D0F" w14:paraId="65AF4FFB" w14:textId="406E1AB6">
            <w:pPr>
              <w:pStyle w:val="EPTerm"/>
            </w:pPr>
            <w:r>
              <w:t>2024-2029</w:t>
            </w:r>
          </w:p>
        </w:tc>
        <w:tc>
          <w:tcPr>
            <w:tcW w:w="2268" w:type="dxa"/>
            <w:shd w:val="clear" w:color="auto" w:fill="auto"/>
          </w:tcPr>
          <w:p w:rsidR="004F48ED" w:rsidRPr="00FF7A80" w:rsidP="00C85D0F" w14:paraId="119C32B8" w14:textId="77777777">
            <w:pPr>
              <w:pStyle w:val="EPLogo"/>
            </w:pPr>
            <w:r w:rsidRPr="00FF7A80">
              <w:rPr>
                <w:noProof/>
                <w:lang w:eastAsia="ja-JP"/>
              </w:rPr>
              <w:drawing>
                <wp:inline distT="0" distB="0" distL="0" distR="0">
                  <wp:extent cx="1158875" cy="652145"/>
                  <wp:effectExtent l="0" t="0" r="0" b="0"/>
                  <wp:docPr id="1" name="Picture 1" descr="EP logo RGB_Mu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EP logo RGB_Mute"/>
                          <pic:cNvPicPr>
                            <a:picLocks noChangeAspect="1" noChangeArrowheads="1"/>
                          </pic:cNvPicPr>
                        </pic:nvPicPr>
                        <pic:blipFill>
                          <a:blip xmlns:r="http://schemas.openxmlformats.org/officeDocument/2006/relationships" r:embed="rId5" cstate="print">
                            <a:extLst>
                              <a:ext xmlns:a="http://schemas.openxmlformats.org/drawingml/2006/main" uri="{28A0092B-C50C-407E-A947-70E740481C1C}">
                                <a14:useLocalDpi xmlns:a14="http://schemas.microsoft.com/office/drawing/2010/main" val="0"/>
                              </a:ext>
                            </a:extLst>
                          </a:blip>
                          <a:stretch>
                            <a:fillRect/>
                          </a:stretch>
                        </pic:blipFill>
                        <pic:spPr bwMode="auto">
                          <a:xfrm>
                            <a:off x="0" y="0"/>
                            <a:ext cx="1158875" cy="652145"/>
                          </a:xfrm>
                          <a:prstGeom prst="rect">
                            <a:avLst/>
                          </a:prstGeom>
                          <a:noFill/>
                          <a:ln>
                            <a:noFill/>
                          </a:ln>
                        </pic:spPr>
                      </pic:pic>
                    </a:graphicData>
                  </a:graphic>
                </wp:inline>
              </w:drawing>
            </w:r>
          </w:p>
        </w:tc>
      </w:tr>
    </w:tbl>
    <w:p w:rsidR="00E9601C" w:rsidRPr="00FF7A80" w:rsidP="00E9601C" w14:paraId="64D9F4E6" w14:textId="77777777">
      <w:pPr>
        <w:pStyle w:val="LineTop"/>
      </w:pPr>
    </w:p>
    <w:p w:rsidR="00E9601C" w:rsidRPr="00FF7A80" w:rsidP="00E9601C" w14:paraId="1895153E" w14:textId="34FD1EEA">
      <w:pPr>
        <w:pStyle w:val="EPBody"/>
      </w:pPr>
      <w:r>
        <w:rPr>
          <w:rStyle w:val="HideTWBExt"/>
        </w:rPr>
        <w:t>&lt;</w:t>
      </w:r>
      <w:r>
        <w:rPr>
          <w:rStyle w:val="HideTWBExt"/>
          <w:i w:val="0"/>
        </w:rPr>
        <w:t>Commission</w:t>
      </w:r>
      <w:r>
        <w:rPr>
          <w:rStyle w:val="HideTWBExt"/>
        </w:rPr>
        <w:t>&gt;</w:t>
      </w:r>
      <w:r>
        <w:rPr>
          <w:rStyle w:val="HideTWBInt"/>
          <w:color w:val="auto"/>
        </w:rPr>
        <w:t>{LIBE}</w:t>
      </w:r>
      <w:r>
        <w:rPr>
          <w:color w:val="auto"/>
        </w:rPr>
        <w:t>Udvalget om Borgernes Rettigheder og Retlige og Indre Anliggender</w:t>
      </w:r>
      <w:r>
        <w:rPr>
          <w:rStyle w:val="HideTWBExt"/>
        </w:rPr>
        <w:t>&lt;/</w:t>
      </w:r>
      <w:r>
        <w:rPr>
          <w:rStyle w:val="HideTWBExt"/>
          <w:i w:val="0"/>
        </w:rPr>
        <w:t>Commission</w:t>
      </w:r>
      <w:r>
        <w:rPr>
          <w:rStyle w:val="HideTWBExt"/>
        </w:rPr>
        <w:t>&gt;</w:t>
      </w:r>
    </w:p>
    <w:p w:rsidR="00E9601C" w:rsidRPr="00FF7A80" w:rsidP="00E9601C" w14:paraId="2A5C9E67" w14:textId="77777777">
      <w:pPr>
        <w:pStyle w:val="LineBottom"/>
      </w:pPr>
    </w:p>
    <w:p w:rsidR="004E54DC" w:rsidRPr="00FF7A80" w:rsidP="004E54DC" w14:paraId="3E3595B5" w14:textId="15A0CB26">
      <w:pPr>
        <w:pStyle w:val="CoverReference"/>
      </w:pPr>
      <w:r>
        <w:rPr>
          <w:rStyle w:val="HideTWBExt"/>
          <w:b w:val="0"/>
        </w:rPr>
        <w:t>&lt;RefProc&gt;</w:t>
      </w:r>
      <w:r>
        <w:rPr>
          <w:color w:val="auto"/>
        </w:rPr>
        <w:t>2025/2155</w:t>
      </w:r>
      <w:r>
        <w:rPr>
          <w:rStyle w:val="HideTWBExt"/>
          <w:b w:val="0"/>
        </w:rPr>
        <w:t>&lt;/RefProc&gt;&lt;RefTypeProc&gt;</w:t>
      </w:r>
      <w:r>
        <w:rPr>
          <w:color w:val="auto"/>
        </w:rPr>
        <w:t>(DEC)</w:t>
      </w:r>
      <w:r>
        <w:rPr>
          <w:rStyle w:val="HideTWBExt"/>
          <w:b w:val="0"/>
        </w:rPr>
        <w:t>&lt;/RefTypeProc&gt;</w:t>
      </w:r>
    </w:p>
    <w:p w:rsidR="002E2F2E" w:rsidRPr="00FF7A80" w14:paraId="28BD14C0" w14:textId="6230F9E4">
      <w:pPr>
        <w:pStyle w:val="CoverDate"/>
      </w:pPr>
      <w:r>
        <w:rPr>
          <w:rStyle w:val="HideTWBExt"/>
          <w:lang w:val="fr-BE"/>
        </w:rPr>
        <w:t>&lt;Date&gt;</w:t>
      </w:r>
      <w:r>
        <w:rPr>
          <w:rStyle w:val="HideTWBInt"/>
          <w:color w:val="auto"/>
        </w:rPr>
        <w:t>{05/12/2025}</w:t>
      </w:r>
      <w:r>
        <w:rPr>
          <w:color w:val="auto"/>
        </w:rPr>
        <w:t>5.12.2025</w:t>
      </w:r>
      <w:r>
        <w:rPr>
          <w:rStyle w:val="HideTWBExt"/>
          <w:lang w:val="fr-BE"/>
        </w:rPr>
        <w:t>&lt;/Date&gt;</w:t>
      </w:r>
    </w:p>
    <w:p w:rsidR="002E2F2E" w:rsidRPr="00FF7A80" w14:paraId="78D1D4FA" w14:textId="022EAC57">
      <w:pPr>
        <w:pStyle w:val="CoverDocType24a"/>
      </w:pPr>
      <w:r>
        <w:rPr>
          <w:rStyle w:val="HideTWBExt"/>
          <w:b w:val="0"/>
          <w:lang w:val="fr-BE"/>
        </w:rPr>
        <w:t>&lt;TitreType&gt;</w:t>
      </w:r>
      <w:r>
        <w:rPr>
          <w:color w:val="auto"/>
        </w:rPr>
        <w:t>UDTALELSE</w:t>
      </w:r>
      <w:r>
        <w:rPr>
          <w:rStyle w:val="HideTWBExt"/>
          <w:b w:val="0"/>
          <w:lang w:val="fr-BE"/>
        </w:rPr>
        <w:t>&lt;/TitreType&gt;</w:t>
      </w:r>
    </w:p>
    <w:p w:rsidR="002E2F2E" w:rsidRPr="00FF7A80" w14:paraId="24E462BF" w14:textId="3AD7D0FB">
      <w:pPr>
        <w:pStyle w:val="CoverNormal24a"/>
      </w:pPr>
      <w:r>
        <w:rPr>
          <w:rStyle w:val="HideTWBExt"/>
        </w:rPr>
        <w:t>&lt;CommissionResp&gt;</w:t>
      </w:r>
      <w:r>
        <w:t>fra Udvalget om Borgernes Rettigheder og Retlige og Indre Anliggender</w:t>
      </w:r>
      <w:r>
        <w:rPr>
          <w:rStyle w:val="HideTWBExt"/>
        </w:rPr>
        <w:t>&lt;/CommissionResp&gt;</w:t>
      </w:r>
    </w:p>
    <w:p w:rsidR="002E2F2E" w:rsidRPr="00FF7A80" w:rsidP="0095497D" w14:paraId="68AD10D3" w14:textId="77777777">
      <w:pPr>
        <w:pStyle w:val="CoverNormal24a"/>
      </w:pPr>
      <w:r>
        <w:rPr>
          <w:rStyle w:val="HideTWBExt"/>
        </w:rPr>
        <w:t>&lt;CommissionInt&gt;</w:t>
      </w:r>
      <w:r>
        <w:t>til Budgetkontroludvalget</w:t>
      </w:r>
      <w:r>
        <w:rPr>
          <w:rStyle w:val="HideTWBExt"/>
        </w:rPr>
        <w:t>&lt;/CommissionInt&gt;</w:t>
      </w:r>
    </w:p>
    <w:p w:rsidR="002E2F2E" w:rsidRPr="00FF7A80" w14:paraId="526B6DE1" w14:textId="7CBB3DBE">
      <w:pPr>
        <w:pStyle w:val="CoverNormal"/>
      </w:pPr>
      <w:r>
        <w:rPr>
          <w:rStyle w:val="HideTWBExt"/>
        </w:rPr>
        <w:t>&lt;Titre&gt;</w:t>
      </w:r>
      <w:r>
        <w:rPr>
          <w:color w:val="auto"/>
        </w:rPr>
        <w:t>om decharge for gennemførelsen af budgettet for Den Europæiske Anklagemyndighed for regnskabsåret 2024</w:t>
      </w:r>
      <w:r>
        <w:rPr>
          <w:rStyle w:val="HideTWBExt"/>
        </w:rPr>
        <w:t>&lt;/Titre&gt;</w:t>
      </w:r>
    </w:p>
    <w:p w:rsidR="002E2F2E" w:rsidRPr="00FF7A80" w14:paraId="7E633AE8" w14:textId="14F49463">
      <w:pPr>
        <w:pStyle w:val="CoverNormal24a"/>
      </w:pPr>
      <w:r>
        <w:rPr>
          <w:rStyle w:val="HideTWBExt"/>
          <w:lang w:val="fr-BE"/>
        </w:rPr>
        <w:t>&lt;DocRef&gt;</w:t>
      </w:r>
      <w:r>
        <w:rPr>
          <w:color w:val="auto"/>
        </w:rPr>
        <w:t>(2025/2155(DEC))</w:t>
      </w:r>
      <w:r>
        <w:rPr>
          <w:rStyle w:val="HideTWBExt"/>
          <w:lang w:val="fr-BE"/>
        </w:rPr>
        <w:t>&lt;/DocRef&gt;</w:t>
      </w:r>
    </w:p>
    <w:p w:rsidR="002E2F2E" w:rsidRPr="00FF7A80" w14:paraId="3FD7E53F" w14:textId="1D5AB106">
      <w:pPr>
        <w:pStyle w:val="CoverNormal24a"/>
      </w:pPr>
      <w:r>
        <w:t>Ordfører for udtalelse:</w:t>
      </w:r>
      <w:r>
        <w:t xml:space="preserve"> </w:t>
      </w:r>
      <w:r>
        <w:rPr>
          <w:rStyle w:val="HideTWBExt"/>
          <w:lang w:val="fr-BE"/>
        </w:rPr>
        <w:t>&lt;Depute&gt;</w:t>
      </w:r>
      <w:r>
        <w:t>Evin Incir</w:t>
      </w:r>
      <w:r>
        <w:rPr>
          <w:rStyle w:val="HideTWBExt"/>
          <w:lang w:val="fr-BE"/>
        </w:rPr>
        <w:t>&lt;/Depute&gt;</w:t>
      </w:r>
    </w:p>
    <w:p w:rsidR="00977F76" w:rsidRPr="00FF7A80" w:rsidP="00977F76" w14:paraId="58826B3E" w14:textId="77777777">
      <w:pPr>
        <w:pStyle w:val="CoverNormal"/>
        <w:rPr>
          <w:lang w:val="fr-BE"/>
        </w:rPr>
      </w:pPr>
    </w:p>
    <w:p w:rsidR="002E2F2E" w:rsidRPr="00FF7A80" w:rsidP="001E4A59" w14:paraId="1E58FCB2" w14:textId="31A9EDA2">
      <w:pPr>
        <w:widowControl/>
        <w:tabs>
          <w:tab w:val="left" w:pos="1482"/>
        </w:tabs>
      </w:pPr>
      <w:r>
        <w:tab/>
      </w:r>
      <w:r>
        <w:br w:type="page"/>
      </w:r>
      <w:r>
        <w:t>PA_NonLegDec</w:t>
      </w:r>
    </w:p>
    <w:p w:rsidR="003E06CF" w:rsidRPr="00FF7A80" w:rsidP="003E06CF" w14:paraId="56E303F7" w14:textId="77777777">
      <w:pPr>
        <w:pStyle w:val="PageHeadingNotTOC"/>
      </w:pPr>
      <w:r>
        <w:br w:type="page"/>
      </w:r>
      <w:r>
        <w:t>UDTALELSE</w:t>
      </w:r>
    </w:p>
    <w:p w:rsidR="000048A8" w:rsidRPr="00FF7A80" w:rsidP="003E06CF" w14:paraId="74AA125E" w14:textId="1083577E">
      <w:pPr>
        <w:pStyle w:val="Normal12a"/>
      </w:pPr>
      <w:r>
        <w:t>Udvalget om Borgernes Rettigheder og Retlige og Indre Anliggender opfordrer Budgetkontroludvalget, som er korresponderende udvalg, til at optage følgende i det forslag til beslutning, det vedtager:</w:t>
      </w:r>
    </w:p>
    <w:p w:rsidR="00497F24" w:rsidRPr="00FF7A80" w:rsidP="001E4DB5" w14:paraId="724484EA" w14:textId="3D30E516">
      <w:pPr>
        <w:pStyle w:val="NormalHanging12a"/>
      </w:pPr>
      <w:r>
        <w:t>1.</w:t>
      </w:r>
      <w:r>
        <w:tab/>
      </w:r>
      <w:r>
        <w:t>bemærker en betydelig stigning i Den Europæiske Anklagemyndigheds (EPPO's) sagsmængde, der nåede op på 2 666 aktive undersøgelser i 2024, hvoraf næsten 30 % havde en grænseoverskridende dimension, med en betydelig stigning i antallet af tiltaler (47 %) og indefrysning af aktiver opnået af europæiske delegerede anklagere;</w:t>
      </w:r>
    </w:p>
    <w:p w:rsidR="00B07BC3" w:rsidRPr="00FF7A80" w:rsidP="00B07BC3" w14:paraId="271D4E37" w14:textId="17D14E38">
      <w:pPr>
        <w:pStyle w:val="NormalHanging12a"/>
        <w:rPr>
          <w:b/>
          <w:i/>
          <w:szCs w:val="24"/>
        </w:rPr>
      </w:pPr>
      <w:r>
        <w:t>2</w:t>
      </w:r>
      <w:r>
        <w:rPr>
          <w:b/>
          <w:i/>
        </w:rPr>
        <w:t>.</w:t>
      </w:r>
      <w:r>
        <w:rPr>
          <w:b/>
          <w:i/>
        </w:rPr>
        <w:tab/>
      </w:r>
      <w:r>
        <w:t>bemærker, at EPPO i 2024 behandlede 6 547 indberetninger om kriminalitet, hvilket svarer til en stigning på 56 % i forhold til 2023 og hovedsagelig skyldes en betydelig stigning i antallet af indberetninger fra private parter (en stigning på 85 %) og nationale myndigheder (en stigning på 12 %), hvilket viser en forbedret afsløring af svig, der skader Unionens finansielle interesser i de deltagende medlemsstater, og større offentligt kendskab til EPPO's rolle;</w:t>
      </w:r>
      <w:r>
        <w:rPr>
          <w:b/>
          <w:i/>
        </w:rPr>
        <w:t xml:space="preserve"> </w:t>
      </w:r>
    </w:p>
    <w:p w:rsidR="00497F24" w:rsidRPr="00FF7A80" w:rsidP="00497F24" w14:paraId="49ABE969" w14:textId="53B269EC">
      <w:pPr>
        <w:pStyle w:val="NormalHanging12a"/>
      </w:pPr>
      <w:r>
        <w:t>3.</w:t>
      </w:r>
      <w:r>
        <w:tab/>
      </w:r>
      <w:r>
        <w:t>påpeger det stigende antal sager vedrørende grænseoverskridende momssvig, som tegner sig for over halvdelen af de anslåede skader i EPPO-sager;</w:t>
      </w:r>
      <w:r>
        <w:t xml:space="preserve"> </w:t>
      </w:r>
      <w:r>
        <w:t>bemærker desuden en betydelig stigning i antallet af undersøgelser vedrørende gennemførelsen af finansieringen af NextGenerationEU (en stigning på 25 %);</w:t>
      </w:r>
      <w:r>
        <w:t xml:space="preserve"> </w:t>
      </w:r>
    </w:p>
    <w:p w:rsidR="00497F24" w:rsidRPr="00FF7A80" w:rsidP="00497F24" w14:paraId="63264A44" w14:textId="7E9669AF">
      <w:pPr>
        <w:pStyle w:val="NormalHanging12a"/>
      </w:pPr>
      <w:r>
        <w:t>4.</w:t>
      </w:r>
      <w:r>
        <w:t xml:space="preserve"> </w:t>
      </w:r>
      <w:r>
        <w:tab/>
      </w:r>
      <w:r>
        <w:t>understreger, at langt de fleste undersøgelser af svig og andre forbrydelser mod EU-budgettet fortsat hæmmes af divergerende national lovgivning og uensartede håndhævelsesbestræbelser fra medlemsstaternes side;</w:t>
      </w:r>
    </w:p>
    <w:p w:rsidR="00B07BC3" w:rsidRPr="00FF7A80" w:rsidP="00B07BC3" w14:paraId="69EBDA13" w14:textId="5C3EDEFD">
      <w:pPr>
        <w:pStyle w:val="NormalHanging12a"/>
        <w:rPr>
          <w:bCs/>
          <w:iCs/>
          <w:szCs w:val="24"/>
        </w:rPr>
      </w:pPr>
      <w:r>
        <w:t>5.</w:t>
      </w:r>
      <w:r>
        <w:tab/>
      </w:r>
      <w:r>
        <w:t>understreger, at EPPO's arbejdsbyrde blev betydeligt undervurderet i den oprindelige budgetramme, hvilket betød, at EPPO blev strukturelt underfinansieret og underbemandet;</w:t>
      </w:r>
      <w:r>
        <w:t xml:space="preserve"> </w:t>
      </w:r>
      <w:r>
        <w:t>understreger, at det stigende antal undersøgelser ikke kan klares uden tilstrækkeligt personale og passende ressourcer med henblik på at sikre, at finansiering ledsages af stærkere ansvarlighedsmekanismer og regelmæssige resultatvurderinger for at sikre en effektiv anvendelse af EU-skatteydernes penge;</w:t>
      </w:r>
      <w:r>
        <w:t xml:space="preserve"> </w:t>
      </w:r>
      <w:r>
        <w:t>opfordrer Kommissionen til at gå i dialog med EPPO og fremlægge en ajourført vurdering af EPPO's behov med henblik på den næste flerårige finansielle ramme, som også bør tage hensyn til udvidelsen af EPPO's territoriale kompetence til at omfatte Sverige og Polen;</w:t>
      </w:r>
      <w:r>
        <w:t xml:space="preserve"> </w:t>
      </w:r>
      <w:r>
        <w:t>minder om, at EPPO er et af de få EU-organer, der tilfører EU-budgettet midler i forbindelse med beskyttelsen af EU's finansielle interesser;</w:t>
      </w:r>
    </w:p>
    <w:p w:rsidR="00B07BC3" w:rsidRPr="00FF7A80" w:rsidP="00B07BC3" w14:paraId="242C00B6" w14:textId="38D061E3">
      <w:pPr>
        <w:pStyle w:val="NormalHanging12a"/>
        <w:rPr>
          <w:szCs w:val="24"/>
        </w:rPr>
      </w:pPr>
      <w:r>
        <w:t>6.</w:t>
      </w:r>
      <w:r>
        <w:tab/>
      </w:r>
      <w:r>
        <w:t>understreger, at revideringen af de lovgivningsmæssige rammer, der regulerer Europol, Eurojust, OLAF og EPPO, bør give mulighed for at maksimere effektiviteten med hensyn til forfølgelse af fælles mål, navnlig inden for bekæmpelse af svig, økonomisk kriminalitet, korruption og anden kriminel skade på EU's finansielle interesser, samtidig med at dobbeltarbejde undgås;</w:t>
      </w:r>
      <w:r>
        <w:t xml:space="preserve"> </w:t>
      </w:r>
      <w:r>
        <w:t>fremhæver, at et tættere operationelt samarbejde og fælles analysekapacitet med andre EU-agenturer såsom Europol, Eurojust og OLAF kan skabe betydelige stordriftsfordele og forbedre den samlede effektivitet;</w:t>
      </w:r>
      <w:r>
        <w:t xml:space="preserve"> </w:t>
      </w:r>
      <w:r>
        <w:t>opfordrer EPPO til at etablere et solidt samarbejde med andre agenturer, der forfølger samme mål og tilbyder et stort komplementaritetspotentiale;</w:t>
      </w:r>
      <w:r>
        <w:t xml:space="preserve"> </w:t>
      </w:r>
      <w:r>
        <w:t>peger i den forbindelse navnlig på den nyligt oprettede Myndighed for Bekæmpelse af Hvidvask af Penge (AMLA) og den fremtidige europæiske toldmyndighed;</w:t>
      </w:r>
      <w:r>
        <w:t xml:space="preserve"> </w:t>
      </w:r>
      <w:r>
        <w:t>understreger, at effektiv afsløring af svig og økonomisk kriminalitet afhænger af ægte datadrevet samarbejde og informationsudveksling mellem alle aktører inden for EU's struktur for bekæmpelse af svig;</w:t>
      </w:r>
      <w:r>
        <w:t xml:space="preserve"> </w:t>
      </w:r>
      <w:r>
        <w:t>understreger, at dette samarbejde skal fungere i fuld overensstemmelse med databeskyttelsesreglerne og de proceduremæssige garantier;</w:t>
      </w:r>
    </w:p>
    <w:p w:rsidR="001E4DB5" w:rsidRPr="00FF7A80" w:rsidP="00497F24" w14:paraId="117EFCB6" w14:textId="1B9C8FDF">
      <w:pPr>
        <w:pStyle w:val="NormalHanging12a"/>
      </w:pPr>
      <w:r>
        <w:t>7.</w:t>
      </w:r>
      <w:r>
        <w:tab/>
      </w:r>
      <w:r>
        <w:t>minder om Kommissionens tilsagn om at fremskynde gennemgangen af EPPO's mandat og forventer, at denne gennemgang fører til en udvidelse af EPPO's kompetence;</w:t>
      </w:r>
      <w:r>
        <w:t xml:space="preserve"> </w:t>
      </w:r>
      <w:r>
        <w:t>påpeger sine gentagne opfordringer til at udvide EPPO's jurisdiktion til andre områder af grov kriminalitet, f.eks. til overtrædelser af EU-sanktioner,</w:t>
      </w:r>
      <w:r>
        <w:t xml:space="preserve"> </w:t>
      </w:r>
      <w:r>
        <w:t>men understreger, at der inden en sådan udvidelse skal foretages en fuldstændig konsekvensanalyse og sørges for tilstrækkelige budgetmæssige og menneskelige ressourcer til at sikre operationel effektivitet;</w:t>
      </w:r>
    </w:p>
    <w:p w:rsidR="00B07BC3" w:rsidRPr="00FF7A80" w:rsidP="00B07BC3" w14:paraId="7890E556" w14:textId="3C604C70">
      <w:pPr>
        <w:pStyle w:val="NormalHanging12a"/>
        <w:rPr>
          <w:szCs w:val="24"/>
        </w:rPr>
      </w:pPr>
      <w:r>
        <w:t>8.</w:t>
      </w:r>
      <w:r>
        <w:tab/>
      </w:r>
      <w:r>
        <w:t>erkender behovet for, at EPPO med passende ressourcer udvikler autonome digitale systemer til håndtering af stadig mere kompleks og mere sofistikeret grænseoverskridende økonomisk kriminalitet, der involverer nye digitale teknologier;</w:t>
      </w:r>
      <w:r>
        <w:t xml:space="preserve"> </w:t>
      </w:r>
      <w:r>
        <w:t>giver udtryk for bekymring over forsinkelserne i udviklingen af EPPO's sagsforvaltningssystem;</w:t>
      </w:r>
      <w:r>
        <w:t xml:space="preserve"> </w:t>
      </w:r>
      <w:r>
        <w:t>hæfter sig ved den betydelige mængde data, som EPPO indsamler i forbindelse med undersøgelser, navnlig i komplekse sager om finansiel og organiseret kriminalitet og hvidvask af penge, og som fortsat er underudnyttet på grund af manglen på intern analytisk kapacitet;</w:t>
      </w:r>
      <w:r>
        <w:t xml:space="preserve"> </w:t>
      </w:r>
      <w:r>
        <w:t>glæder sig over vedtagelsen af EPPO's cybersikkerhedsstrategi og ramme for cybersikkerhed og opfordrer til en hurtig og omfattende gennemførelse heraf;</w:t>
      </w:r>
      <w:r>
        <w:t xml:space="preserve"> </w:t>
      </w:r>
      <w:r>
        <w:t>tilskynder EPPO til at prioritere interoperabilitet og datasikkerhed i sin digitale omstilling og tilsikre kompatibilitet med Europols og Eurojusts systemer, samtidig med at de grundlæggende rettigheder beskyttes;</w:t>
      </w:r>
    </w:p>
    <w:p w:rsidR="00B07BC3" w:rsidRPr="00FF7A80" w:rsidP="00B07BC3" w14:paraId="08779B11" w14:textId="317704BB">
      <w:pPr>
        <w:pStyle w:val="NormalHanging12a"/>
        <w:rPr>
          <w:szCs w:val="24"/>
        </w:rPr>
      </w:pPr>
      <w:r>
        <w:t>9.</w:t>
      </w:r>
      <w:r>
        <w:tab/>
      </w:r>
      <w:r>
        <w:t>opfordrer indtrængende de medlemsstater, der endnu ikke har tilsluttet sig EPPO, til at gøre det hurtigst muligt for at sikre et ægte paneuropæisk strafferetligt system, der er i stand til at beskytte Unionens finansielle interesser og reagere effektivt på grænseoverskridende organiseret kriminalitet og korruption;</w:t>
      </w:r>
      <w:r>
        <w:t xml:space="preserve"> </w:t>
      </w:r>
      <w:r>
        <w:t>understreger, at opsplitningen som følge af manglende deltagelse undergraver sammenhængen i og effektiviteten af EU's retslige struktur, og at fuld deltagelse af alle medlemsstater i væsentlig grad vil styrke Unionens kapacitet til at opdage, efterforske og retsforfølge alvorlige lovovertrædelser, der skader EU-budgettet;</w:t>
      </w:r>
      <w:r>
        <w:t xml:space="preserve"> </w:t>
      </w:r>
      <w:r>
        <w:t>minder om, at deltagelse i Den Europæiske Anklagemyndighed (EPPO) udgør en hjørnesten i Unionens fælles retslige struktur og struktur for bekæmpelse af svig og sikrer en effektiv beskyttelse af EU's finansielle interesser og dets institutioners integritet;</w:t>
      </w:r>
      <w:r>
        <w:t xml:space="preserve"> </w:t>
      </w:r>
      <w:r>
        <w:t>opfordrer til, at der stilles krav om deltagelse i EPPO til alle fremtidige medlemsstater som led i EU-tiltrædelsesprocessen for at sikre et ensartet niveau af ansvarlighed, retligt samarbejde og håndhævelse i hele Unionen;</w:t>
      </w:r>
    </w:p>
    <w:p w:rsidR="00497F24" w:rsidRPr="00FF7A80" w:rsidP="00497F24" w14:paraId="2A8BCC76" w14:textId="3DFD36ED">
      <w:pPr>
        <w:pStyle w:val="NormalHanging12a"/>
      </w:pPr>
      <w:r>
        <w:t>10.</w:t>
      </w:r>
      <w:r>
        <w:tab/>
      </w:r>
      <w:r>
        <w:t>fremhæver behovet for en løbende og struktureret dialog med de medlemsstater, der allerede deltager i Den Europæiske Anklagemyndighed (EPPO), med henblik på at tackle de praktiske udfordringer, de står over for i forbindelse med bekæmpelsen af overtrædelser af retsstatsprincippet og korruption;</w:t>
      </w:r>
      <w:r>
        <w:t xml:space="preserve"> </w:t>
      </w:r>
      <w:r>
        <w:t>opfordrer Kommissionen til at støtte disse medlemsstater i den konkrete gennemførelse af henstillingerne i de årlige retsstatsrapporter og til at sikre, at de indhøstede erfaringer inden for EPPO's rammer bidrager til en stærkere og mere sammenhængende EU-dækkende tilgang til retsvæsenets integritet og ansvarlighed.</w:t>
      </w:r>
    </w:p>
    <w:p w:rsidR="00E05697" w:rsidRPr="00FF7A80" w:rsidP="00C11B7F" w14:paraId="1B7E1650" w14:textId="1244BE64">
      <w:pPr>
        <w:pStyle w:val="NormalHanging12a"/>
      </w:pPr>
    </w:p>
    <w:p w:rsidR="00C11B7F" w:rsidRPr="00FF7A80" w:rsidP="00C11B7F" w14:paraId="1EE69143" w14:textId="77777777">
      <w:pPr>
        <w:sectPr w:rsidSect="001E4A59">
          <w:headerReference w:type="even" r:id="rId6"/>
          <w:headerReference w:type="default" r:id="rId7"/>
          <w:footerReference w:type="even" r:id="rId8"/>
          <w:footerReference w:type="default" r:id="rId9"/>
          <w:headerReference w:type="first" r:id="rId10"/>
          <w:footerReference w:type="first" r:id="rId11"/>
          <w:footnotePr>
            <w:numRestart w:val="eachSect"/>
          </w:footnotePr>
          <w:endnotePr>
            <w:numFmt w:val="decimal"/>
          </w:endnotePr>
          <w:pgSz w:w="11906" w:h="16838" w:code="9"/>
          <w:pgMar w:top="1134" w:right="1418" w:bottom="1418" w:left="1418" w:header="1134" w:footer="567" w:gutter="0"/>
          <w:cols w:space="720"/>
          <w:noEndnote/>
          <w:titlePg/>
        </w:sectPr>
      </w:pPr>
    </w:p>
    <w:p w:rsidR="00B31B54" w:rsidRPr="00FF7A80" w:rsidP="00B31B54" w14:paraId="5CE683E8" w14:textId="77777777">
      <w:pPr>
        <w:pStyle w:val="PageHeadingNotTOC"/>
      </w:pPr>
      <w:bookmarkStart w:id="0" w:name="FootprintPageAD"/>
      <w:r>
        <w:t>BILAG:</w:t>
      </w:r>
      <w:r>
        <w:t xml:space="preserve"> </w:t>
      </w:r>
      <w:r>
        <w:t>ERKLÆRING OM INPUT</w:t>
      </w:r>
    </w:p>
    <w:p w:rsidR="00B31B54" w:rsidRPr="00FF7A80" w:rsidP="00B31B54" w14:paraId="125F41C9" w14:textId="77777777">
      <w:pPr>
        <w:pStyle w:val="Normal24a"/>
      </w:pPr>
      <w:r>
        <w:rPr>
          <w:rStyle w:val="HideTWBExt"/>
        </w:rPr>
        <w:t>&lt;FootprintIntro&gt;</w:t>
      </w:r>
      <w:r>
        <w:t>I henhold til artikel 8 i bilag I til forretningsordenen erklærer ordføreren for udtalelsen, at hun i sin udtalelse har medtaget input om forhold, der vedrører sagens emne, som hun har modtaget som led i udarbejdelsen af udtalelsen inden vedtagelsen i udvalget fra følgende interesserepræsentanter, der er omfattet af anvendelsesområdet for den interinstitutionelle aftale om et obligatorisk åbenhedsregister</w:t>
      </w:r>
      <w:r>
        <w:rPr>
          <w:rStyle w:val="FootnoteReference"/>
        </w:rPr>
        <w:footnoteReference w:id="2"/>
      </w:r>
      <w:r>
        <w:t>, eller fra følgende repræsentanter for offentlige myndigheder i tredjelande, herunder deres diplomatiske missioner og ambassader:</w:t>
      </w:r>
      <w:r>
        <w:rPr>
          <w:rStyle w:val="HideTWBExt"/>
        </w:rPr>
        <w:t>&lt;/FootprintIntro&gt;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050"/>
      </w:tblGrid>
      <w:tr w14:paraId="166A0CBD" w14:textId="77777777" w:rsidTr="004A7DA5">
        <w:tblPrEx>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Ex>
        <w:tc>
          <w:tcPr>
            <w:tcW w:w="9050" w:type="dxa"/>
            <w:shd w:val="clear" w:color="auto" w:fill="auto"/>
          </w:tcPr>
          <w:p w:rsidR="00B31B54" w:rsidRPr="00FF7A80" w:rsidP="00A25EF1" w14:paraId="6B6B8213" w14:textId="77777777">
            <w:pPr>
              <w:pStyle w:val="NormalBoldCenter"/>
            </w:pPr>
            <w:r>
              <w:t>1.</w:t>
            </w:r>
            <w:r>
              <w:t xml:space="preserve"> </w:t>
            </w:r>
            <w:r>
              <w:t>Interesserepræsentanter, der er omfattet af anvendelsesområdet for den interinstitutionelle aftale om et obligatorisk åbenhedsregister</w:t>
            </w:r>
          </w:p>
        </w:tc>
      </w:tr>
      <w:tr w14:paraId="6A02131B" w14:textId="77777777" w:rsidTr="004A7DA5">
        <w:tblPrEx>
          <w:tblW w:w="0" w:type="auto"/>
          <w:tblLook w:val="04A0"/>
        </w:tblPrEx>
        <w:tc>
          <w:tcPr>
            <w:tcW w:w="9050" w:type="dxa"/>
            <w:shd w:val="clear" w:color="auto" w:fill="auto"/>
          </w:tcPr>
          <w:p w:rsidR="00B31B54" w:rsidRPr="00FF7A80" w:rsidP="004A7DA5" w14:paraId="7D776F9F" w14:textId="0767FE43">
            <w:pPr>
              <w:pStyle w:val="NormalSingle"/>
            </w:pPr>
            <w:r>
              <w:t>Transparency International EU / EU transparency register:</w:t>
            </w:r>
            <w:r>
              <w:t xml:space="preserve"> </w:t>
            </w:r>
            <w:r>
              <w:t>501222919-71</w:t>
            </w:r>
          </w:p>
        </w:tc>
      </w:tr>
    </w:tbl>
    <w:p w:rsidR="00B31B54" w:rsidRPr="00FF7A80" w:rsidP="00B31B54" w14:paraId="40CCABFC" w14:textId="77777777">
      <w:pPr>
        <w:pStyle w:val="Footprint12b"/>
      </w:pPr>
      <w:r>
        <w:t>Ordføreren for udtalelsen har udarbejdet ovenstående liste på eget ansvar.</w:t>
      </w:r>
    </w:p>
    <w:p w:rsidR="00B31B54" w:rsidRPr="00FF7A80" w:rsidP="00B31B54" w14:paraId="10D4C718" w14:textId="77777777"/>
    <w:bookmarkEnd w:id="0"/>
    <w:p w:rsidR="00B31B54" w:rsidRPr="00FF7A80" w:rsidP="00B31B54" w14:paraId="4DE6AD00" w14:textId="77777777"/>
    <w:p w:rsidR="00B31B54" w:rsidRPr="00FF7A80" w:rsidP="00B31B54" w14:paraId="37C26A95" w14:textId="77777777"/>
    <w:p w:rsidR="00B31B54" w:rsidRPr="00FF7A80" w:rsidP="00B31B54" w14:paraId="1518B412" w14:textId="77777777"/>
    <w:p w:rsidR="00B31B54" w:rsidRPr="00FF7A80" w:rsidP="00B31B54" w14:paraId="54549321" w14:textId="77777777"/>
    <w:p w:rsidR="00B31B54" w:rsidRPr="00FF7A80" w:rsidP="00B31B54" w14:paraId="6AFE264D" w14:textId="77777777"/>
    <w:p w:rsidR="00B31B54" w:rsidRPr="00FF7A80" w:rsidP="00B31B54" w14:paraId="1580C32F" w14:textId="77777777"/>
    <w:p w:rsidR="00B31B54" w:rsidRPr="00FF7A80" w:rsidP="00B31B54" w14:paraId="4F136E13" w14:textId="77777777"/>
    <w:p w:rsidR="00B31B54" w:rsidRPr="00FF7A80" w:rsidP="00B31B54" w14:paraId="45A3687A" w14:textId="77777777"/>
    <w:p w:rsidR="004A7DA5" w:rsidRPr="00FF7A80" w:rsidP="00B31B54" w14:paraId="01F6672D" w14:textId="77777777"/>
    <w:p w:rsidR="004A7DA5" w:rsidRPr="00FF7A80" w:rsidP="00B31B54" w14:paraId="24BA82D8" w14:textId="77777777"/>
    <w:p w:rsidR="004A7DA5" w:rsidRPr="00FF7A80" w:rsidP="00B31B54" w14:paraId="76B8A32A" w14:textId="77777777"/>
    <w:p w:rsidR="004A7DA5" w:rsidRPr="00FF7A80" w:rsidP="00B31B54" w14:paraId="6A4F46F9" w14:textId="77777777"/>
    <w:p w:rsidR="004A7DA5" w:rsidRPr="00FF7A80" w:rsidP="00B31B54" w14:paraId="4E13E5F6" w14:textId="77777777"/>
    <w:p w:rsidR="004A7DA5" w:rsidRPr="00FF7A80" w:rsidP="00B31B54" w14:paraId="088C0934" w14:textId="77777777"/>
    <w:p w:rsidR="004A7DA5" w:rsidRPr="00FF7A80" w:rsidP="00B31B54" w14:paraId="532BE94C" w14:textId="77777777"/>
    <w:p w:rsidR="00B31B54" w:rsidRPr="00FF7A80" w:rsidP="00B31B54" w14:paraId="0065B755" w14:textId="77777777"/>
    <w:p w:rsidR="00B31B54" w:rsidRPr="00FF7A80" w:rsidP="00B31B54" w14:paraId="2D205A84" w14:textId="77777777"/>
    <w:p w:rsidR="00B31B54" w:rsidRPr="00FF7A80" w:rsidP="00B31B54" w14:paraId="4168EB16" w14:textId="77777777"/>
    <w:p w:rsidR="00B31B54" w:rsidRPr="00FF7A80" w:rsidP="00B31B54" w14:paraId="7C05C9EF" w14:textId="77777777"/>
    <w:p w:rsidR="00B31B54" w:rsidRPr="00FF7A80" w:rsidP="00B31B54" w14:paraId="583856DB" w14:textId="77777777"/>
    <w:p w:rsidR="00FF7A80" w:rsidP="00FF7A80" w14:paraId="6E4EF10A" w14:textId="23ACFF9D">
      <w:pPr>
        <w:pStyle w:val="PageHeadingNotTOC"/>
      </w:pPr>
      <w:bookmarkStart w:id="1" w:name="ProcPageAD"/>
      <w:r>
        <w:t>OPLYSNINGER OM VEDTAGELSE I RÅDGIVENDE UDVALG</w:t>
      </w:r>
    </w:p>
    <w:tbl>
      <w:tblPr>
        <w:tblW w:w="0" w:type="auto"/>
        <w:tblInd w:w="-10" w:type="dxa"/>
        <w:tblLayout w:type="fixed"/>
        <w:tblCellMar>
          <w:top w:w="0" w:type="dxa"/>
          <w:left w:w="0" w:type="dxa"/>
          <w:bottom w:w="0" w:type="dxa"/>
          <w:right w:w="0" w:type="dxa"/>
        </w:tblCellMar>
        <w:tblLook w:val="0000"/>
      </w:tblPr>
      <w:tblGrid>
        <w:gridCol w:w="3685"/>
        <w:gridCol w:w="1530"/>
        <w:gridCol w:w="1474"/>
        <w:gridCol w:w="1474"/>
        <w:gridCol w:w="1474"/>
      </w:tblGrid>
      <w:tr w14:paraId="37DA1C3F" w14:textId="77777777">
        <w:tblPrEx>
          <w:tblW w:w="0" w:type="auto"/>
          <w:tblInd w:w="-10" w:type="dxa"/>
          <w:tblLayout w:type="fixed"/>
          <w:tblCellMar>
            <w:top w:w="0" w:type="dxa"/>
            <w:left w:w="0" w:type="dxa"/>
            <w:bottom w:w="0" w:type="dxa"/>
            <w:right w:w="0" w:type="dxa"/>
          </w:tblCellMar>
          <w:tblLook w:val="0000"/>
        </w:tblPrEx>
        <w:tc>
          <w:tcPr>
            <w:tcW w:w="3685" w:type="dxa"/>
            <w:tcBorders>
              <w:top w:val="single" w:sz="8" w:space="0" w:color="000000"/>
              <w:left w:val="single" w:sz="8" w:space="0" w:color="000000"/>
              <w:bottom w:val="single" w:sz="8" w:space="0" w:color="000000"/>
              <w:right w:val="single" w:sz="8" w:space="0" w:color="000000"/>
            </w:tcBorders>
            <w:tcMar>
              <w:top w:w="79" w:type="dxa"/>
              <w:left w:w="79" w:type="dxa"/>
              <w:bottom w:w="79" w:type="dxa"/>
              <w:right w:w="79" w:type="dxa"/>
            </w:tcMar>
          </w:tcPr>
          <w:p w:rsidR="00FF7A80" w14:paraId="65820EA2" w14:textId="77777777">
            <w:pPr>
              <w:autoSpaceDE w:val="0"/>
              <w:autoSpaceDN w:val="0"/>
              <w:adjustRightInd w:val="0"/>
              <w:rPr>
                <w:b/>
                <w:bCs/>
                <w:color w:val="000000"/>
                <w:sz w:val="20"/>
              </w:rPr>
            </w:pPr>
            <w:r>
              <w:rPr>
                <w:b/>
                <w:color w:val="000000"/>
                <w:sz w:val="20"/>
              </w:rPr>
              <w:t>Dato for vedtagelse</w:t>
            </w:r>
          </w:p>
        </w:tc>
        <w:tc>
          <w:tcPr>
            <w:tcW w:w="1530" w:type="dxa"/>
            <w:tcBorders>
              <w:top w:val="single" w:sz="8" w:space="0" w:color="000000"/>
              <w:left w:val="nil"/>
              <w:bottom w:val="single" w:sz="8" w:space="0" w:color="000000"/>
              <w:right w:val="nil"/>
            </w:tcBorders>
            <w:tcMar>
              <w:top w:w="79" w:type="dxa"/>
              <w:left w:w="79" w:type="dxa"/>
              <w:bottom w:w="79" w:type="dxa"/>
              <w:right w:w="79" w:type="dxa"/>
            </w:tcMar>
          </w:tcPr>
          <w:p w:rsidR="00FF7A80" w14:paraId="49783C63" w14:textId="77777777">
            <w:pPr>
              <w:autoSpaceDE w:val="0"/>
              <w:autoSpaceDN w:val="0"/>
              <w:adjustRightInd w:val="0"/>
              <w:rPr>
                <w:color w:val="000000"/>
                <w:sz w:val="20"/>
              </w:rPr>
            </w:pPr>
            <w:r>
              <w:rPr>
                <w:color w:val="000000"/>
                <w:sz w:val="20"/>
              </w:rPr>
              <w:t>3.12.2025</w:t>
            </w:r>
          </w:p>
        </w:tc>
        <w:tc>
          <w:tcPr>
            <w:tcW w:w="1474" w:type="dxa"/>
            <w:tcBorders>
              <w:top w:val="single" w:sz="8" w:space="0" w:color="000000"/>
              <w:left w:val="nil"/>
              <w:bottom w:val="single" w:sz="8" w:space="0" w:color="000000"/>
              <w:right w:val="nil"/>
            </w:tcBorders>
            <w:tcMar>
              <w:top w:w="79" w:type="dxa"/>
              <w:left w:w="79" w:type="dxa"/>
              <w:bottom w:w="79" w:type="dxa"/>
              <w:right w:w="79" w:type="dxa"/>
            </w:tcMar>
          </w:tcPr>
          <w:p w:rsidR="00FF7A80" w14:paraId="24B16C25" w14:textId="77777777">
            <w:pPr>
              <w:autoSpaceDE w:val="0"/>
              <w:autoSpaceDN w:val="0"/>
              <w:adjustRightInd w:val="0"/>
              <w:rPr>
                <w:rFonts w:ascii="sans-serif" w:hAnsi="sans-serif" w:cs="sans-serif"/>
                <w:color w:val="000000"/>
              </w:rPr>
            </w:pPr>
          </w:p>
        </w:tc>
        <w:tc>
          <w:tcPr>
            <w:tcW w:w="1474" w:type="dxa"/>
            <w:tcBorders>
              <w:top w:val="single" w:sz="8" w:space="0" w:color="000000"/>
              <w:left w:val="nil"/>
              <w:bottom w:val="single" w:sz="8" w:space="0" w:color="000000"/>
              <w:right w:val="nil"/>
            </w:tcBorders>
            <w:tcMar>
              <w:top w:w="79" w:type="dxa"/>
              <w:left w:w="79" w:type="dxa"/>
              <w:bottom w:w="79" w:type="dxa"/>
              <w:right w:w="79" w:type="dxa"/>
            </w:tcMar>
          </w:tcPr>
          <w:p w:rsidR="00FF7A80" w14:paraId="458E9A89" w14:textId="77777777">
            <w:pPr>
              <w:autoSpaceDE w:val="0"/>
              <w:autoSpaceDN w:val="0"/>
              <w:adjustRightInd w:val="0"/>
              <w:rPr>
                <w:rFonts w:ascii="sans-serif" w:hAnsi="sans-serif" w:cs="sans-serif"/>
                <w:color w:val="000000"/>
              </w:rPr>
            </w:pPr>
          </w:p>
        </w:tc>
        <w:tc>
          <w:tcPr>
            <w:tcW w:w="1474" w:type="dxa"/>
            <w:tcBorders>
              <w:top w:val="single" w:sz="8" w:space="0" w:color="000000"/>
              <w:left w:val="nil"/>
              <w:bottom w:val="single" w:sz="8" w:space="0" w:color="000000"/>
              <w:right w:val="single" w:sz="8" w:space="0" w:color="000000"/>
            </w:tcBorders>
            <w:tcMar>
              <w:top w:w="79" w:type="dxa"/>
              <w:left w:w="79" w:type="dxa"/>
              <w:bottom w:w="79" w:type="dxa"/>
              <w:right w:w="79" w:type="dxa"/>
            </w:tcMar>
          </w:tcPr>
          <w:p w:rsidR="00FF7A80" w14:paraId="0ACB6479" w14:textId="77777777">
            <w:pPr>
              <w:autoSpaceDE w:val="0"/>
              <w:autoSpaceDN w:val="0"/>
              <w:adjustRightInd w:val="0"/>
              <w:rPr>
                <w:rFonts w:ascii="sans-serif" w:hAnsi="sans-serif" w:cs="sans-serif"/>
                <w:color w:val="000000"/>
              </w:rPr>
            </w:pPr>
          </w:p>
        </w:tc>
      </w:tr>
      <w:tr w14:paraId="3D39CF05" w14:textId="77777777">
        <w:tblPrEx>
          <w:tblW w:w="0" w:type="auto"/>
          <w:tblInd w:w="-10" w:type="dxa"/>
          <w:tblLayout w:type="fixed"/>
          <w:tblCellMar>
            <w:top w:w="0" w:type="dxa"/>
            <w:left w:w="0" w:type="dxa"/>
            <w:bottom w:w="0" w:type="dxa"/>
            <w:right w:w="0" w:type="dxa"/>
          </w:tblCellMar>
          <w:tblLook w:val="0000"/>
        </w:tblPrEx>
        <w:tc>
          <w:tcPr>
            <w:tcW w:w="3685" w:type="dxa"/>
            <w:tcBorders>
              <w:top w:val="single" w:sz="8" w:space="0" w:color="000000"/>
              <w:left w:val="single" w:sz="8" w:space="0" w:color="000000"/>
              <w:bottom w:val="single" w:sz="8" w:space="0" w:color="000000"/>
              <w:right w:val="single" w:sz="8" w:space="0" w:color="000000"/>
            </w:tcBorders>
            <w:tcMar>
              <w:top w:w="79" w:type="dxa"/>
              <w:left w:w="79" w:type="dxa"/>
              <w:bottom w:w="79" w:type="dxa"/>
              <w:right w:w="79" w:type="dxa"/>
            </w:tcMar>
          </w:tcPr>
          <w:p w:rsidR="00FF7A80" w14:paraId="457A6FC2" w14:textId="77777777">
            <w:pPr>
              <w:autoSpaceDE w:val="0"/>
              <w:autoSpaceDN w:val="0"/>
              <w:adjustRightInd w:val="0"/>
              <w:rPr>
                <w:b/>
                <w:bCs/>
                <w:color w:val="000000"/>
                <w:sz w:val="20"/>
              </w:rPr>
            </w:pPr>
            <w:r>
              <w:rPr>
                <w:b/>
                <w:color w:val="000000"/>
                <w:sz w:val="20"/>
              </w:rPr>
              <w:t>Resultat af den endelige afstemning</w:t>
            </w:r>
          </w:p>
        </w:tc>
        <w:tc>
          <w:tcPr>
            <w:tcW w:w="1530" w:type="dxa"/>
            <w:tcBorders>
              <w:top w:val="single" w:sz="8" w:space="0" w:color="000000"/>
              <w:left w:val="nil"/>
              <w:bottom w:val="single" w:sz="8" w:space="0" w:color="000000"/>
              <w:right w:val="nil"/>
            </w:tcBorders>
            <w:tcMar>
              <w:top w:w="79" w:type="dxa"/>
              <w:left w:w="79" w:type="dxa"/>
              <w:bottom w:w="79" w:type="dxa"/>
              <w:right w:w="79" w:type="dxa"/>
            </w:tcMar>
          </w:tcPr>
          <w:p w:rsidR="00FF7A80" w14:paraId="051E3B46" w14:textId="77777777">
            <w:pPr>
              <w:autoSpaceDE w:val="0"/>
              <w:autoSpaceDN w:val="0"/>
              <w:adjustRightInd w:val="0"/>
              <w:rPr>
                <w:color w:val="000000"/>
                <w:sz w:val="20"/>
              </w:rPr>
            </w:pPr>
            <w:r>
              <w:rPr>
                <w:color w:val="000000"/>
                <w:sz w:val="20"/>
              </w:rPr>
              <w:t>+:</w:t>
            </w:r>
          </w:p>
          <w:p w:rsidR="00FF7A80" w14:paraId="73D49F14" w14:textId="77777777">
            <w:pPr>
              <w:autoSpaceDE w:val="0"/>
              <w:autoSpaceDN w:val="0"/>
              <w:adjustRightInd w:val="0"/>
              <w:rPr>
                <w:color w:val="000000"/>
                <w:sz w:val="20"/>
              </w:rPr>
            </w:pPr>
            <w:r>
              <w:rPr>
                <w:color w:val="000000"/>
                <w:sz w:val="20"/>
              </w:rPr>
              <w:t>–:</w:t>
            </w:r>
          </w:p>
          <w:p w:rsidR="00FF7A80" w14:paraId="3EE7BA60" w14:textId="77777777">
            <w:pPr>
              <w:autoSpaceDE w:val="0"/>
              <w:autoSpaceDN w:val="0"/>
              <w:adjustRightInd w:val="0"/>
              <w:rPr>
                <w:color w:val="000000"/>
                <w:sz w:val="20"/>
              </w:rPr>
            </w:pPr>
            <w:r>
              <w:rPr>
                <w:color w:val="000000"/>
                <w:sz w:val="20"/>
              </w:rPr>
              <w:t>0:</w:t>
            </w:r>
          </w:p>
        </w:tc>
        <w:tc>
          <w:tcPr>
            <w:tcW w:w="4422" w:type="dxa"/>
            <w:gridSpan w:val="3"/>
            <w:tcBorders>
              <w:top w:val="single" w:sz="8" w:space="0" w:color="000000"/>
              <w:left w:val="nil"/>
              <w:bottom w:val="single" w:sz="8" w:space="0" w:color="000000"/>
              <w:right w:val="single" w:sz="8" w:space="0" w:color="000000"/>
            </w:tcBorders>
            <w:tcMar>
              <w:top w:w="79" w:type="dxa"/>
              <w:left w:w="79" w:type="dxa"/>
              <w:bottom w:w="79" w:type="dxa"/>
              <w:right w:w="79" w:type="dxa"/>
            </w:tcMar>
          </w:tcPr>
          <w:p w:rsidR="00FF7A80" w14:paraId="5AE5D54E" w14:textId="77777777">
            <w:pPr>
              <w:autoSpaceDE w:val="0"/>
              <w:autoSpaceDN w:val="0"/>
              <w:adjustRightInd w:val="0"/>
              <w:rPr>
                <w:color w:val="000000"/>
                <w:sz w:val="20"/>
              </w:rPr>
            </w:pPr>
            <w:r>
              <w:rPr>
                <w:color w:val="000000"/>
                <w:sz w:val="20"/>
              </w:rPr>
              <w:t>52</w:t>
            </w:r>
          </w:p>
          <w:p w:rsidR="00FF7A80" w14:paraId="3E3508C6" w14:textId="77777777">
            <w:pPr>
              <w:autoSpaceDE w:val="0"/>
              <w:autoSpaceDN w:val="0"/>
              <w:adjustRightInd w:val="0"/>
              <w:rPr>
                <w:color w:val="000000"/>
                <w:sz w:val="20"/>
              </w:rPr>
            </w:pPr>
            <w:r>
              <w:rPr>
                <w:color w:val="000000"/>
                <w:sz w:val="20"/>
              </w:rPr>
              <w:t>12</w:t>
            </w:r>
          </w:p>
          <w:p w:rsidR="00FF7A80" w14:paraId="139E5BF0" w14:textId="77777777">
            <w:pPr>
              <w:autoSpaceDE w:val="0"/>
              <w:autoSpaceDN w:val="0"/>
              <w:adjustRightInd w:val="0"/>
              <w:rPr>
                <w:color w:val="000000"/>
                <w:sz w:val="20"/>
              </w:rPr>
            </w:pPr>
            <w:r>
              <w:rPr>
                <w:color w:val="000000"/>
                <w:sz w:val="20"/>
              </w:rPr>
              <w:t>7</w:t>
            </w:r>
          </w:p>
        </w:tc>
      </w:tr>
      <w:tr w14:paraId="4C6DF5DC" w14:textId="77777777">
        <w:tblPrEx>
          <w:tblW w:w="0" w:type="auto"/>
          <w:tblInd w:w="-10" w:type="dxa"/>
          <w:tblLayout w:type="fixed"/>
          <w:tblCellMar>
            <w:top w:w="0" w:type="dxa"/>
            <w:left w:w="0" w:type="dxa"/>
            <w:bottom w:w="0" w:type="dxa"/>
            <w:right w:w="0" w:type="dxa"/>
          </w:tblCellMar>
          <w:tblLook w:val="0000"/>
        </w:tblPrEx>
        <w:tc>
          <w:tcPr>
            <w:tcW w:w="3685" w:type="dxa"/>
            <w:tcBorders>
              <w:top w:val="single" w:sz="8" w:space="0" w:color="000000"/>
              <w:left w:val="single" w:sz="8" w:space="0" w:color="000000"/>
              <w:bottom w:val="single" w:sz="8" w:space="0" w:color="000000"/>
              <w:right w:val="single" w:sz="8" w:space="0" w:color="000000"/>
            </w:tcBorders>
            <w:tcMar>
              <w:top w:w="79" w:type="dxa"/>
              <w:left w:w="79" w:type="dxa"/>
              <w:bottom w:w="79" w:type="dxa"/>
              <w:right w:w="79" w:type="dxa"/>
            </w:tcMar>
          </w:tcPr>
          <w:p w:rsidR="00FF7A80" w14:paraId="6DC7BB92" w14:textId="77777777">
            <w:pPr>
              <w:autoSpaceDE w:val="0"/>
              <w:autoSpaceDN w:val="0"/>
              <w:adjustRightInd w:val="0"/>
              <w:rPr>
                <w:b/>
                <w:bCs/>
                <w:color w:val="000000"/>
                <w:sz w:val="20"/>
              </w:rPr>
            </w:pPr>
            <w:r>
              <w:rPr>
                <w:b/>
                <w:color w:val="000000"/>
                <w:sz w:val="20"/>
              </w:rPr>
              <w:t>Til stede ved den endelige afstemning – medlemmer</w:t>
            </w:r>
          </w:p>
        </w:tc>
        <w:tc>
          <w:tcPr>
            <w:tcW w:w="5952" w:type="dxa"/>
            <w:gridSpan w:val="4"/>
            <w:tcBorders>
              <w:top w:val="single" w:sz="8" w:space="0" w:color="000000"/>
              <w:left w:val="nil"/>
              <w:bottom w:val="single" w:sz="8" w:space="0" w:color="000000"/>
              <w:right w:val="single" w:sz="8" w:space="0" w:color="000000"/>
            </w:tcBorders>
            <w:tcMar>
              <w:top w:w="79" w:type="dxa"/>
              <w:left w:w="79" w:type="dxa"/>
              <w:bottom w:w="79" w:type="dxa"/>
              <w:right w:w="79" w:type="dxa"/>
            </w:tcMar>
          </w:tcPr>
          <w:p w:rsidR="00FF7A80" w14:paraId="2273B831" w14:textId="77777777">
            <w:pPr>
              <w:autoSpaceDE w:val="0"/>
              <w:autoSpaceDN w:val="0"/>
              <w:adjustRightInd w:val="0"/>
              <w:rPr>
                <w:color w:val="000000"/>
                <w:sz w:val="20"/>
              </w:rPr>
            </w:pPr>
            <w:r>
              <w:rPr>
                <w:color w:val="000000"/>
                <w:sz w:val="20"/>
              </w:rPr>
              <w:t>Magdalena Adamowicz, Abir Al-Sahlani, Giuseppe Antoci, Jaume Asens Llodrà, Pernando Barrena Arza, Nikola Bartůšek, François-Xavier Bellamy, Ioan-Rareş Bogdan, Saskia Bricmont, Jaroslav Bžoch, Damien Carême, Susanna Ceccardi, Caterina Chinnici, Veronika Cifrová Ostrihoňová, Alessandro Ciriani, Lena Düpont, Marieke Ehlers, Estrella Galán, Raquel García Hermida-Van Der Walle, Paolo Inselvini, Irena Joveva, Erik Kaliňák, Marina Kaljurand, Mariusz Kamiński, Fabienne Keller, Mary Khan, Alice Kuhnke, Murielle Laurent, Fabrice Leggeri, Jeroen Lenaers, Lukas Mandl, Michael McNamara, Ana Catarina Mendes, Verena Mertens, Nadine Morano, Matjaž Nemec, Ana Miguel Pedro, Ilaria Salis, Birgit Sippel, Krzysztof Śmiszek, Petra Steger, Cecilia Strada, Alice Teodorescu Måwe, Tomas Tobé, Milan Uhrík, Tom Vandendriessche, Kristian Vigenin, Isabel Wiseler-Lima, Ewa Zajączkowska-Hernik, Alessandro Zan, Javier Zarzalejos, Tomáš Zdechovský</w:t>
            </w:r>
          </w:p>
        </w:tc>
      </w:tr>
      <w:tr w14:paraId="0754D647" w14:textId="77777777">
        <w:tblPrEx>
          <w:tblW w:w="0" w:type="auto"/>
          <w:tblInd w:w="-10" w:type="dxa"/>
          <w:tblLayout w:type="fixed"/>
          <w:tblCellMar>
            <w:top w:w="0" w:type="dxa"/>
            <w:left w:w="0" w:type="dxa"/>
            <w:bottom w:w="0" w:type="dxa"/>
            <w:right w:w="0" w:type="dxa"/>
          </w:tblCellMar>
          <w:tblLook w:val="0000"/>
        </w:tblPrEx>
        <w:tc>
          <w:tcPr>
            <w:tcW w:w="3685" w:type="dxa"/>
            <w:tcBorders>
              <w:top w:val="nil"/>
              <w:left w:val="single" w:sz="8" w:space="0" w:color="000000"/>
              <w:bottom w:val="single" w:sz="8" w:space="0" w:color="000000"/>
              <w:right w:val="single" w:sz="8" w:space="0" w:color="000000"/>
            </w:tcBorders>
            <w:tcMar>
              <w:top w:w="79" w:type="dxa"/>
              <w:left w:w="79" w:type="dxa"/>
              <w:bottom w:w="79" w:type="dxa"/>
              <w:right w:w="79" w:type="dxa"/>
            </w:tcMar>
          </w:tcPr>
          <w:p w:rsidR="00FF7A80" w14:paraId="317DCC65" w14:textId="77777777">
            <w:pPr>
              <w:autoSpaceDE w:val="0"/>
              <w:autoSpaceDN w:val="0"/>
              <w:adjustRightInd w:val="0"/>
              <w:rPr>
                <w:b/>
                <w:bCs/>
                <w:color w:val="000000"/>
                <w:sz w:val="20"/>
              </w:rPr>
            </w:pPr>
            <w:r>
              <w:rPr>
                <w:b/>
                <w:color w:val="000000"/>
                <w:sz w:val="20"/>
              </w:rPr>
              <w:t>Til stede ved den endelige afstemning – stedfortrædere</w:t>
            </w:r>
          </w:p>
        </w:tc>
        <w:tc>
          <w:tcPr>
            <w:tcW w:w="5952" w:type="dxa"/>
            <w:gridSpan w:val="4"/>
            <w:tcBorders>
              <w:top w:val="nil"/>
              <w:left w:val="nil"/>
              <w:bottom w:val="single" w:sz="8" w:space="0" w:color="000000"/>
              <w:right w:val="single" w:sz="8" w:space="0" w:color="000000"/>
            </w:tcBorders>
            <w:tcMar>
              <w:top w:w="79" w:type="dxa"/>
              <w:left w:w="79" w:type="dxa"/>
              <w:bottom w:w="79" w:type="dxa"/>
              <w:right w:w="79" w:type="dxa"/>
            </w:tcMar>
          </w:tcPr>
          <w:p w:rsidR="00FF7A80" w14:paraId="4216FF81" w14:textId="77777777">
            <w:pPr>
              <w:autoSpaceDE w:val="0"/>
              <w:autoSpaceDN w:val="0"/>
              <w:adjustRightInd w:val="0"/>
              <w:rPr>
                <w:color w:val="000000"/>
                <w:sz w:val="20"/>
              </w:rPr>
            </w:pPr>
            <w:r>
              <w:rPr>
                <w:color w:val="000000"/>
                <w:sz w:val="20"/>
              </w:rPr>
              <w:t>Katarina Barley, Anna Maria Cisint, Markéta Gregorová, Monika Hohlmeier, Nikola Minchev, Javier Moreno Sánchez, Jan-Christoph Oetjen, Leoluca Orlando, Oliver Schenk, Sebastian Tynkkynen, Alexandre Varaut, Maciej Wąsik</w:t>
            </w:r>
          </w:p>
        </w:tc>
      </w:tr>
      <w:tr w14:paraId="4F35107C" w14:textId="77777777">
        <w:tblPrEx>
          <w:tblW w:w="0" w:type="auto"/>
          <w:tblInd w:w="-10" w:type="dxa"/>
          <w:tblLayout w:type="fixed"/>
          <w:tblCellMar>
            <w:top w:w="0" w:type="dxa"/>
            <w:left w:w="0" w:type="dxa"/>
            <w:bottom w:w="0" w:type="dxa"/>
            <w:right w:w="0" w:type="dxa"/>
          </w:tblCellMar>
          <w:tblLook w:val="0000"/>
        </w:tblPrEx>
        <w:tc>
          <w:tcPr>
            <w:tcW w:w="3685" w:type="dxa"/>
            <w:tcBorders>
              <w:top w:val="nil"/>
              <w:left w:val="single" w:sz="8" w:space="0" w:color="000000"/>
              <w:bottom w:val="single" w:sz="8" w:space="0" w:color="000000"/>
              <w:right w:val="single" w:sz="8" w:space="0" w:color="000000"/>
            </w:tcBorders>
            <w:tcMar>
              <w:top w:w="79" w:type="dxa"/>
              <w:left w:w="79" w:type="dxa"/>
              <w:bottom w:w="79" w:type="dxa"/>
              <w:right w:w="79" w:type="dxa"/>
            </w:tcMar>
          </w:tcPr>
          <w:p w:rsidR="00FF7A80" w14:paraId="5CAD102C" w14:textId="77777777">
            <w:pPr>
              <w:autoSpaceDE w:val="0"/>
              <w:autoSpaceDN w:val="0"/>
              <w:adjustRightInd w:val="0"/>
              <w:rPr>
                <w:b/>
                <w:bCs/>
                <w:color w:val="000000"/>
                <w:sz w:val="20"/>
              </w:rPr>
            </w:pPr>
            <w:r>
              <w:rPr>
                <w:b/>
                <w:color w:val="000000"/>
                <w:sz w:val="20"/>
              </w:rPr>
              <w:t>Til stede ved den endelige afstemning – medlemmer som omhandlet i forretningsordenens art. 216, stk. 7</w:t>
            </w:r>
          </w:p>
        </w:tc>
        <w:tc>
          <w:tcPr>
            <w:tcW w:w="5952" w:type="dxa"/>
            <w:gridSpan w:val="4"/>
            <w:tcBorders>
              <w:top w:val="nil"/>
              <w:left w:val="nil"/>
              <w:bottom w:val="single" w:sz="8" w:space="0" w:color="000000"/>
              <w:right w:val="single" w:sz="8" w:space="0" w:color="000000"/>
            </w:tcBorders>
            <w:tcMar>
              <w:top w:w="79" w:type="dxa"/>
              <w:left w:w="79" w:type="dxa"/>
              <w:bottom w:w="79" w:type="dxa"/>
              <w:right w:w="79" w:type="dxa"/>
            </w:tcMar>
          </w:tcPr>
          <w:p w:rsidR="00FF7A80" w14:paraId="76525288" w14:textId="77777777">
            <w:pPr>
              <w:autoSpaceDE w:val="0"/>
              <w:autoSpaceDN w:val="0"/>
              <w:adjustRightInd w:val="0"/>
              <w:rPr>
                <w:color w:val="000000"/>
                <w:sz w:val="20"/>
              </w:rPr>
            </w:pPr>
            <w:r>
              <w:rPr>
                <w:color w:val="000000"/>
                <w:sz w:val="20"/>
              </w:rPr>
              <w:t>Stefano Cavedagna, José Cepeda, Pietro Fiocchi, Andrey Kovatchev, Marcos Ros Sempere, Michał Szczerba, Catarina Vieira</w:t>
            </w:r>
          </w:p>
        </w:tc>
      </w:tr>
    </w:tbl>
    <w:p w:rsidR="00FF7A80" w14:paraId="41C6403C" w14:textId="77777777"/>
    <w:p w:rsidR="00B31B54" w:rsidRPr="00FF7A80" w:rsidP="00B31B54" w14:paraId="733B6973" w14:textId="34A471C2"/>
    <w:bookmarkEnd w:id="1"/>
    <w:p w:rsidR="00B31B54" w:rsidRPr="00FF7A80" w:rsidP="00B31B54" w14:paraId="5D25862E" w14:textId="77777777">
      <w:pPr>
        <w:sectPr w:rsidSect="00B31B54">
          <w:pgSz w:w="11894" w:h="15840"/>
          <w:pgMar w:top="1700" w:right="1417" w:bottom="1417" w:left="1417" w:header="720" w:footer="720" w:gutter="0"/>
          <w:cols w:space="720"/>
          <w:noEndnote/>
          <w:docGrid w:linePitch="326"/>
        </w:sectPr>
      </w:pPr>
    </w:p>
    <w:p w:rsidR="00B31B54" w:rsidRPr="00FF7A80" w:rsidP="00C36610" w14:paraId="30C46181" w14:textId="0C424595">
      <w:pPr>
        <w:pStyle w:val="PageHeadingNotTOC"/>
      </w:pPr>
      <w:bookmarkStart w:id="2" w:name="RollCallPageAD"/>
      <w:r>
        <w:t>ENDELIG AFSTEMNING VED NAVNEOPRÅB I RÅDGIVENDE UDVALG</w:t>
      </w:r>
    </w:p>
    <w:tbl>
      <w:tblPr>
        <w:tblW w:w="0" w:type="auto"/>
        <w:tblInd w:w="145" w:type="dxa"/>
        <w:tblBorders>
          <w:top w:val="double" w:sz="2" w:space="0" w:color="000000"/>
          <w:left w:val="double" w:sz="2" w:space="0" w:color="000000"/>
          <w:bottom w:val="double" w:sz="2" w:space="0" w:color="000000"/>
          <w:right w:val="double" w:sz="2" w:space="0" w:color="000000"/>
          <w:insideH w:val="single" w:sz="2" w:space="0" w:color="000000"/>
          <w:insideV w:val="single" w:sz="2" w:space="0" w:color="000000"/>
        </w:tblBorders>
        <w:tblLayout w:type="fixed"/>
        <w:tblCellMar>
          <w:left w:w="145" w:type="dxa"/>
          <w:right w:w="145" w:type="dxa"/>
        </w:tblCellMar>
        <w:tblLook w:val="0000"/>
      </w:tblPr>
      <w:tblGrid>
        <w:gridCol w:w="1701"/>
        <w:gridCol w:w="7371"/>
      </w:tblGrid>
      <w:tr w14:paraId="3CE413FA" w14:textId="77777777" w:rsidTr="008920AC">
        <w:tblPrEx>
          <w:tblW w:w="0" w:type="auto"/>
          <w:tblInd w:w="145" w:type="dxa"/>
          <w:tblBorders>
            <w:top w:val="double" w:sz="2" w:space="0" w:color="000000"/>
            <w:left w:val="double" w:sz="2" w:space="0" w:color="000000"/>
            <w:bottom w:val="double" w:sz="2" w:space="0" w:color="000000"/>
            <w:right w:val="double" w:sz="2" w:space="0" w:color="000000"/>
            <w:insideH w:val="single" w:sz="2" w:space="0" w:color="000000"/>
            <w:insideV w:val="single" w:sz="2" w:space="0" w:color="000000"/>
          </w:tblBorders>
          <w:tblLayout w:type="fixed"/>
          <w:tblCellMar>
            <w:left w:w="145" w:type="dxa"/>
            <w:right w:w="145" w:type="dxa"/>
          </w:tblCellMar>
          <w:tblLook w:val="0000"/>
        </w:tblPrEx>
        <w:trPr>
          <w:cantSplit/>
        </w:trPr>
        <w:tc>
          <w:tcPr>
            <w:tcW w:w="1701" w:type="dxa"/>
            <w:shd w:val="pct10" w:color="000000" w:fill="FFFFFF"/>
            <w:vAlign w:val="center"/>
          </w:tcPr>
          <w:p w:rsidR="00B31B54" w:rsidRPr="00FF7A80" w:rsidP="003858C5" w14:paraId="78DD69E7" w14:textId="2713BA69">
            <w:pPr>
              <w:pStyle w:val="RollCallVotes"/>
            </w:pPr>
            <w:r>
              <w:t>52</w:t>
            </w:r>
          </w:p>
        </w:tc>
        <w:tc>
          <w:tcPr>
            <w:tcW w:w="7371" w:type="dxa"/>
            <w:shd w:val="pct10" w:color="000000" w:fill="FFFFFF"/>
          </w:tcPr>
          <w:p w:rsidR="00B31B54" w:rsidRPr="00FF7A80" w:rsidP="003858C5" w14:paraId="6134AD2A" w14:textId="77777777">
            <w:pPr>
              <w:pStyle w:val="RollCallSymbols14pt"/>
            </w:pPr>
            <w:r>
              <w:t>+</w:t>
            </w:r>
          </w:p>
        </w:tc>
      </w:tr>
      <w:tr w14:paraId="02CB354D" w14:textId="77777777" w:rsidTr="008920AC">
        <w:tblPrEx>
          <w:tblW w:w="0" w:type="auto"/>
          <w:tblInd w:w="145" w:type="dxa"/>
          <w:tblLayout w:type="fixed"/>
          <w:tblCellMar>
            <w:left w:w="145" w:type="dxa"/>
            <w:right w:w="145" w:type="dxa"/>
          </w:tblCellMar>
          <w:tblLook w:val="0000"/>
        </w:tblPrEx>
        <w:trPr>
          <w:cantSplit/>
        </w:trPr>
        <w:tc>
          <w:tcPr>
            <w:tcW w:w="1701" w:type="dxa"/>
            <w:shd w:val="clear" w:color="auto" w:fill="FFFFFF"/>
          </w:tcPr>
          <w:p w:rsidR="00B31B54" w:rsidRPr="00FF7A80" w:rsidP="003858C5" w14:paraId="14DF30FE" w14:textId="41448A1E">
            <w:pPr>
              <w:pStyle w:val="RollCallTable"/>
            </w:pPr>
            <w:r>
              <w:t>EPP</w:t>
            </w:r>
          </w:p>
        </w:tc>
        <w:tc>
          <w:tcPr>
            <w:tcW w:w="7371" w:type="dxa"/>
            <w:shd w:val="clear" w:color="auto" w:fill="FFFFFF"/>
          </w:tcPr>
          <w:p w:rsidR="00B31B54" w:rsidRPr="00FF7A80" w:rsidP="003858C5" w14:paraId="51674B93" w14:textId="3B7B102E">
            <w:pPr>
              <w:pStyle w:val="RollCallTable"/>
            </w:pPr>
            <w:r>
              <w:t>Magdalena Adamowicz, François-Xavier Bellamy, Ioan-RareűBogdan, Caterina Chinnici, Lena Düpont, Monika Hohlmeier, Andrey Kovatchev, Jeroen Lenaers, Lukas Mandl, Verena Mertens, Nadine Morano, Ana Miguel Pedro, Oliver Schenk, Michał Szczerba, Alice Teodorescu Måwe, Tomas Tobé, Isabel Wiseler-Lima, Javier Zarzalejos, Tomáš Zdechovský</w:t>
            </w:r>
          </w:p>
        </w:tc>
      </w:tr>
      <w:tr w14:paraId="0B97F81D" w14:textId="77777777" w:rsidTr="008920AC">
        <w:tblPrEx>
          <w:tblW w:w="0" w:type="auto"/>
          <w:tblInd w:w="145" w:type="dxa"/>
          <w:tblLayout w:type="fixed"/>
          <w:tblCellMar>
            <w:left w:w="145" w:type="dxa"/>
            <w:right w:w="145" w:type="dxa"/>
          </w:tblCellMar>
          <w:tblLook w:val="0000"/>
        </w:tblPrEx>
        <w:trPr>
          <w:cantSplit/>
        </w:trPr>
        <w:tc>
          <w:tcPr>
            <w:tcW w:w="1701" w:type="dxa"/>
            <w:shd w:val="clear" w:color="auto" w:fill="FFFFFF"/>
          </w:tcPr>
          <w:p w:rsidR="00B31B54" w:rsidRPr="00FF7A80" w:rsidP="003858C5" w14:paraId="266CB921" w14:textId="60162A87">
            <w:pPr>
              <w:pStyle w:val="RollCallTable"/>
            </w:pPr>
            <w:r>
              <w:t>PfE</w:t>
            </w:r>
          </w:p>
        </w:tc>
        <w:tc>
          <w:tcPr>
            <w:tcW w:w="7371" w:type="dxa"/>
            <w:shd w:val="clear" w:color="auto" w:fill="FFFFFF"/>
          </w:tcPr>
          <w:p w:rsidR="00B31B54" w:rsidRPr="00FF7A80" w:rsidP="003858C5" w14:paraId="34070001" w14:textId="4D6A6D83">
            <w:pPr>
              <w:pStyle w:val="RollCallTable"/>
            </w:pPr>
            <w:r>
              <w:t>Jaroslav Bžoch</w:t>
            </w:r>
          </w:p>
        </w:tc>
      </w:tr>
      <w:tr w14:paraId="78E109B7" w14:textId="77777777" w:rsidTr="008920AC">
        <w:tblPrEx>
          <w:tblW w:w="0" w:type="auto"/>
          <w:tblInd w:w="145" w:type="dxa"/>
          <w:tblLayout w:type="fixed"/>
          <w:tblCellMar>
            <w:left w:w="145" w:type="dxa"/>
            <w:right w:w="145" w:type="dxa"/>
          </w:tblCellMar>
          <w:tblLook w:val="0000"/>
        </w:tblPrEx>
        <w:trPr>
          <w:cantSplit/>
        </w:trPr>
        <w:tc>
          <w:tcPr>
            <w:tcW w:w="1701" w:type="dxa"/>
            <w:shd w:val="clear" w:color="auto" w:fill="FFFFFF"/>
          </w:tcPr>
          <w:p w:rsidR="00B31B54" w:rsidRPr="00FF7A80" w:rsidP="003858C5" w14:paraId="056E1B41" w14:textId="6C3EA6E4">
            <w:pPr>
              <w:pStyle w:val="RollCallTable"/>
            </w:pPr>
            <w:r>
              <w:t>Renew</w:t>
            </w:r>
          </w:p>
        </w:tc>
        <w:tc>
          <w:tcPr>
            <w:tcW w:w="7371" w:type="dxa"/>
            <w:shd w:val="clear" w:color="auto" w:fill="FFFFFF"/>
          </w:tcPr>
          <w:p w:rsidR="00B31B54" w:rsidRPr="00FF7A80" w:rsidP="003858C5" w14:paraId="6C183CCA" w14:textId="3A956AF2">
            <w:pPr>
              <w:pStyle w:val="RollCallTable"/>
            </w:pPr>
            <w:r>
              <w:t>Abir Al-Sahlani, Veronika Cifrová Ostrihoňová, Raquel García Hermida-Van Der Walle, Irena Joveva, Fabienne Keller, Michael McNamara, Nikola Minchev, Jan-Christoph Oetjen</w:t>
            </w:r>
          </w:p>
        </w:tc>
      </w:tr>
      <w:tr w14:paraId="0596965F" w14:textId="77777777" w:rsidTr="008920AC">
        <w:tblPrEx>
          <w:tblW w:w="0" w:type="auto"/>
          <w:tblInd w:w="145" w:type="dxa"/>
          <w:tblLayout w:type="fixed"/>
          <w:tblCellMar>
            <w:left w:w="145" w:type="dxa"/>
            <w:right w:w="145" w:type="dxa"/>
          </w:tblCellMar>
          <w:tblLook w:val="0000"/>
        </w:tblPrEx>
        <w:trPr>
          <w:cantSplit/>
        </w:trPr>
        <w:tc>
          <w:tcPr>
            <w:tcW w:w="1701" w:type="dxa"/>
            <w:shd w:val="clear" w:color="auto" w:fill="FFFFFF"/>
          </w:tcPr>
          <w:p w:rsidR="00B31B54" w:rsidRPr="00FF7A80" w:rsidP="003858C5" w14:paraId="657A5C86" w14:textId="7D137FE4">
            <w:pPr>
              <w:pStyle w:val="RollCallTable"/>
            </w:pPr>
            <w:r>
              <w:t>S &amp; D</w:t>
            </w:r>
          </w:p>
        </w:tc>
        <w:tc>
          <w:tcPr>
            <w:tcW w:w="7371" w:type="dxa"/>
            <w:shd w:val="clear" w:color="auto" w:fill="FFFFFF"/>
          </w:tcPr>
          <w:p w:rsidR="00B31B54" w:rsidRPr="00FF7A80" w:rsidP="003858C5" w14:paraId="223C7D10" w14:textId="701E55AC">
            <w:pPr>
              <w:pStyle w:val="RollCallTable"/>
            </w:pPr>
            <w:r>
              <w:t>Katarina Barley, José Cepeda, Marina Kaljurand, Murielle Laurent, Ana Catarina Mendes, Javier Moreno Sánchez, Matjaž Nemec, Marcos Ros Sempere, Birgit Sippel, Krzysztof Śmiszek, Cecilia Strada, Kristian Vigenin, Alessandro Zan</w:t>
            </w:r>
          </w:p>
        </w:tc>
      </w:tr>
      <w:tr w14:paraId="5ED3E270" w14:textId="77777777" w:rsidTr="008920AC">
        <w:tblPrEx>
          <w:tblW w:w="0" w:type="auto"/>
          <w:tblInd w:w="145" w:type="dxa"/>
          <w:tblLayout w:type="fixed"/>
          <w:tblCellMar>
            <w:left w:w="145" w:type="dxa"/>
            <w:right w:w="145" w:type="dxa"/>
          </w:tblCellMar>
          <w:tblLook w:val="0000"/>
        </w:tblPrEx>
        <w:trPr>
          <w:cantSplit/>
        </w:trPr>
        <w:tc>
          <w:tcPr>
            <w:tcW w:w="1701" w:type="dxa"/>
            <w:shd w:val="clear" w:color="auto" w:fill="FFFFFF"/>
          </w:tcPr>
          <w:p w:rsidR="00B31B54" w:rsidRPr="00FF7A80" w:rsidP="003858C5" w14:paraId="23044034" w14:textId="01A2D136">
            <w:pPr>
              <w:pStyle w:val="RollCallTable"/>
            </w:pPr>
            <w:r>
              <w:t>The Left</w:t>
            </w:r>
          </w:p>
        </w:tc>
        <w:tc>
          <w:tcPr>
            <w:tcW w:w="7371" w:type="dxa"/>
            <w:shd w:val="clear" w:color="auto" w:fill="FFFFFF"/>
          </w:tcPr>
          <w:p w:rsidR="00B31B54" w:rsidRPr="00FF7A80" w:rsidP="003858C5" w14:paraId="751FC4F5" w14:textId="5E40B505">
            <w:pPr>
              <w:pStyle w:val="RollCallTable"/>
            </w:pPr>
            <w:r>
              <w:t>Giuseppe Antoci, Pernando Barrena Arza, Damien Carême, Estrella Galán, Ilaria Salis</w:t>
            </w:r>
          </w:p>
        </w:tc>
      </w:tr>
      <w:tr w14:paraId="2D49A4FA" w14:textId="77777777" w:rsidTr="008920AC">
        <w:tblPrEx>
          <w:tblW w:w="0" w:type="auto"/>
          <w:tblInd w:w="145" w:type="dxa"/>
          <w:tblLayout w:type="fixed"/>
          <w:tblCellMar>
            <w:left w:w="145" w:type="dxa"/>
            <w:right w:w="145" w:type="dxa"/>
          </w:tblCellMar>
          <w:tblLook w:val="0000"/>
        </w:tblPrEx>
        <w:trPr>
          <w:cantSplit/>
        </w:trPr>
        <w:tc>
          <w:tcPr>
            <w:tcW w:w="1701" w:type="dxa"/>
            <w:shd w:val="clear" w:color="auto" w:fill="FFFFFF"/>
          </w:tcPr>
          <w:p w:rsidR="00B31B54" w:rsidRPr="00FF7A80" w:rsidP="003858C5" w14:paraId="138A880C" w14:textId="7D4AC3EA">
            <w:pPr>
              <w:pStyle w:val="RollCallTable"/>
            </w:pPr>
            <w:r>
              <w:t>Verts/ALE</w:t>
            </w:r>
          </w:p>
        </w:tc>
        <w:tc>
          <w:tcPr>
            <w:tcW w:w="7371" w:type="dxa"/>
            <w:shd w:val="clear" w:color="auto" w:fill="FFFFFF"/>
          </w:tcPr>
          <w:p w:rsidR="00B31B54" w:rsidRPr="00FF7A80" w:rsidP="003858C5" w14:paraId="4491ED4E" w14:textId="384AD195">
            <w:pPr>
              <w:pStyle w:val="RollCallTable"/>
            </w:pPr>
            <w:r>
              <w:t>Jaume Asens Llodrà, Saskia Bricmont, Markéta Gregorová, Alice Kuhnke, Leoluca Orlando, Catarina Vieira</w:t>
            </w:r>
          </w:p>
        </w:tc>
      </w:tr>
    </w:tbl>
    <w:p w:rsidR="00B31B54" w:rsidRPr="00FF7A80" w:rsidP="00147FBF" w14:paraId="48C877DB" w14:textId="77777777"/>
    <w:tbl>
      <w:tblPr>
        <w:tblW w:w="0" w:type="auto"/>
        <w:tblInd w:w="145" w:type="dxa"/>
        <w:tblBorders>
          <w:top w:val="double" w:sz="2" w:space="0" w:color="000000"/>
          <w:left w:val="double" w:sz="2" w:space="0" w:color="000000"/>
          <w:bottom w:val="double" w:sz="2" w:space="0" w:color="000000"/>
          <w:right w:val="double" w:sz="2" w:space="0" w:color="000000"/>
          <w:insideH w:val="single" w:sz="2" w:space="0" w:color="000000"/>
          <w:insideV w:val="single" w:sz="2" w:space="0" w:color="000000"/>
        </w:tblBorders>
        <w:tblLayout w:type="fixed"/>
        <w:tblCellMar>
          <w:left w:w="145" w:type="dxa"/>
          <w:right w:w="145" w:type="dxa"/>
        </w:tblCellMar>
        <w:tblLook w:val="0000"/>
      </w:tblPr>
      <w:tblGrid>
        <w:gridCol w:w="1701"/>
        <w:gridCol w:w="7371"/>
      </w:tblGrid>
      <w:tr w14:paraId="62E1724C" w14:textId="77777777" w:rsidTr="008920AC">
        <w:tblPrEx>
          <w:tblW w:w="0" w:type="auto"/>
          <w:tblInd w:w="145" w:type="dxa"/>
          <w:tblBorders>
            <w:top w:val="double" w:sz="2" w:space="0" w:color="000000"/>
            <w:left w:val="double" w:sz="2" w:space="0" w:color="000000"/>
            <w:bottom w:val="double" w:sz="2" w:space="0" w:color="000000"/>
            <w:right w:val="double" w:sz="2" w:space="0" w:color="000000"/>
            <w:insideH w:val="single" w:sz="2" w:space="0" w:color="000000"/>
            <w:insideV w:val="single" w:sz="2" w:space="0" w:color="000000"/>
          </w:tblBorders>
          <w:tblLayout w:type="fixed"/>
          <w:tblCellMar>
            <w:left w:w="145" w:type="dxa"/>
            <w:right w:w="145" w:type="dxa"/>
          </w:tblCellMar>
          <w:tblLook w:val="0000"/>
        </w:tblPrEx>
        <w:trPr>
          <w:cantSplit/>
        </w:trPr>
        <w:tc>
          <w:tcPr>
            <w:tcW w:w="1701" w:type="dxa"/>
            <w:shd w:val="pct10" w:color="000000" w:fill="FFFFFF"/>
            <w:vAlign w:val="center"/>
          </w:tcPr>
          <w:p w:rsidR="00B31B54" w:rsidRPr="00FF7A80" w:rsidP="003858C5" w14:paraId="4DAADED5" w14:textId="340C680D">
            <w:pPr>
              <w:pStyle w:val="RollCallVotes"/>
            </w:pPr>
            <w:r>
              <w:t>12</w:t>
            </w:r>
          </w:p>
        </w:tc>
        <w:tc>
          <w:tcPr>
            <w:tcW w:w="7371" w:type="dxa"/>
            <w:shd w:val="pct10" w:color="000000" w:fill="FFFFFF"/>
          </w:tcPr>
          <w:p w:rsidR="00B31B54" w:rsidRPr="00FF7A80" w:rsidP="003858C5" w14:paraId="2F336CCB" w14:textId="77777777">
            <w:pPr>
              <w:pStyle w:val="RollCallSymbols14pt"/>
            </w:pPr>
            <w:r>
              <w:t>-</w:t>
            </w:r>
          </w:p>
        </w:tc>
      </w:tr>
      <w:tr w14:paraId="27A40A3E" w14:textId="77777777" w:rsidTr="008920AC">
        <w:tblPrEx>
          <w:tblW w:w="0" w:type="auto"/>
          <w:tblInd w:w="145" w:type="dxa"/>
          <w:tblLayout w:type="fixed"/>
          <w:tblCellMar>
            <w:left w:w="145" w:type="dxa"/>
            <w:right w:w="145" w:type="dxa"/>
          </w:tblCellMar>
          <w:tblLook w:val="0000"/>
        </w:tblPrEx>
        <w:trPr>
          <w:cantSplit/>
        </w:trPr>
        <w:tc>
          <w:tcPr>
            <w:tcW w:w="1701" w:type="dxa"/>
            <w:shd w:val="clear" w:color="auto" w:fill="FFFFFF"/>
          </w:tcPr>
          <w:p w:rsidR="00B31B54" w:rsidRPr="00FF7A80" w:rsidP="003858C5" w14:paraId="7DEAC38B" w14:textId="0D50B22B">
            <w:pPr>
              <w:pStyle w:val="RollCallTable"/>
            </w:pPr>
            <w:r>
              <w:t>ESN</w:t>
            </w:r>
          </w:p>
        </w:tc>
        <w:tc>
          <w:tcPr>
            <w:tcW w:w="7371" w:type="dxa"/>
            <w:shd w:val="clear" w:color="auto" w:fill="FFFFFF"/>
          </w:tcPr>
          <w:p w:rsidR="00B31B54" w:rsidRPr="00FF7A80" w:rsidP="003858C5" w14:paraId="325CA7F4" w14:textId="1C37DB8D">
            <w:pPr>
              <w:pStyle w:val="RollCallTable"/>
            </w:pPr>
            <w:r>
              <w:t>Mary Khan, Milan Uhrík, Ewa Zajączkowska-Hernik</w:t>
            </w:r>
          </w:p>
        </w:tc>
      </w:tr>
      <w:tr w14:paraId="25B72402" w14:textId="77777777" w:rsidTr="008920AC">
        <w:tblPrEx>
          <w:tblW w:w="0" w:type="auto"/>
          <w:tblInd w:w="145" w:type="dxa"/>
          <w:tblLayout w:type="fixed"/>
          <w:tblCellMar>
            <w:left w:w="145" w:type="dxa"/>
            <w:right w:w="145" w:type="dxa"/>
          </w:tblCellMar>
          <w:tblLook w:val="0000"/>
        </w:tblPrEx>
        <w:trPr>
          <w:cantSplit/>
        </w:trPr>
        <w:tc>
          <w:tcPr>
            <w:tcW w:w="1701" w:type="dxa"/>
            <w:shd w:val="clear" w:color="auto" w:fill="FFFFFF"/>
          </w:tcPr>
          <w:p w:rsidR="00B31B54" w:rsidRPr="00FF7A80" w:rsidP="003858C5" w14:paraId="21E178FF" w14:textId="7DED1D6A">
            <w:pPr>
              <w:pStyle w:val="RollCallTable"/>
            </w:pPr>
            <w:r>
              <w:t>NI</w:t>
            </w:r>
          </w:p>
        </w:tc>
        <w:tc>
          <w:tcPr>
            <w:tcW w:w="7371" w:type="dxa"/>
            <w:shd w:val="clear" w:color="auto" w:fill="FFFFFF"/>
          </w:tcPr>
          <w:p w:rsidR="00B31B54" w:rsidRPr="00FF7A80" w:rsidP="003858C5" w14:paraId="61EB94C5" w14:textId="0C8E70A9">
            <w:pPr>
              <w:pStyle w:val="RollCallTable"/>
            </w:pPr>
            <w:r>
              <w:t>Erik Kaliňák</w:t>
            </w:r>
          </w:p>
        </w:tc>
      </w:tr>
      <w:tr w14:paraId="31016BD8" w14:textId="77777777" w:rsidTr="008920AC">
        <w:tblPrEx>
          <w:tblW w:w="0" w:type="auto"/>
          <w:tblInd w:w="145" w:type="dxa"/>
          <w:tblLayout w:type="fixed"/>
          <w:tblCellMar>
            <w:left w:w="145" w:type="dxa"/>
            <w:right w:w="145" w:type="dxa"/>
          </w:tblCellMar>
          <w:tblLook w:val="0000"/>
        </w:tblPrEx>
        <w:trPr>
          <w:cantSplit/>
        </w:trPr>
        <w:tc>
          <w:tcPr>
            <w:tcW w:w="1701" w:type="dxa"/>
            <w:shd w:val="clear" w:color="auto" w:fill="FFFFFF"/>
          </w:tcPr>
          <w:p w:rsidR="00B31B54" w:rsidRPr="00FF7A80" w:rsidP="003858C5" w14:paraId="70109D6D" w14:textId="1E92F9DD">
            <w:pPr>
              <w:pStyle w:val="RollCallTable"/>
            </w:pPr>
            <w:r>
              <w:t>PFE</w:t>
            </w:r>
          </w:p>
        </w:tc>
        <w:tc>
          <w:tcPr>
            <w:tcW w:w="7371" w:type="dxa"/>
            <w:shd w:val="clear" w:color="auto" w:fill="FFFFFF"/>
          </w:tcPr>
          <w:p w:rsidR="00B31B54" w:rsidRPr="00FF7A80" w:rsidP="003858C5" w14:paraId="48744ED7" w14:textId="07885633">
            <w:pPr>
              <w:pStyle w:val="RollCallTable"/>
            </w:pPr>
            <w:r>
              <w:t>Nikola Bartůšek, Susanna Ceccardi, Anna Maria Cisint, Marieke Ehlers, Fabrice Leggeri, Petra Steger, Tom Vandendriessche, Alexandre Varaut</w:t>
            </w:r>
          </w:p>
        </w:tc>
      </w:tr>
    </w:tbl>
    <w:p w:rsidR="00B31B54" w:rsidRPr="00FF7A80" w:rsidP="00147FBF" w14:paraId="5B29B4C1" w14:textId="77777777"/>
    <w:tbl>
      <w:tblPr>
        <w:tblW w:w="0" w:type="auto"/>
        <w:tblInd w:w="145" w:type="dxa"/>
        <w:tblBorders>
          <w:top w:val="double" w:sz="2" w:space="0" w:color="000000"/>
          <w:left w:val="double" w:sz="2" w:space="0" w:color="000000"/>
          <w:bottom w:val="double" w:sz="2" w:space="0" w:color="000000"/>
          <w:right w:val="double" w:sz="2" w:space="0" w:color="000000"/>
          <w:insideH w:val="single" w:sz="2" w:space="0" w:color="000000"/>
          <w:insideV w:val="single" w:sz="2" w:space="0" w:color="000000"/>
        </w:tblBorders>
        <w:tblLayout w:type="fixed"/>
        <w:tblCellMar>
          <w:left w:w="145" w:type="dxa"/>
          <w:right w:w="145" w:type="dxa"/>
        </w:tblCellMar>
        <w:tblLook w:val="0000"/>
      </w:tblPr>
      <w:tblGrid>
        <w:gridCol w:w="1701"/>
        <w:gridCol w:w="7371"/>
      </w:tblGrid>
      <w:tr w14:paraId="149023C5" w14:textId="77777777" w:rsidTr="008920AC">
        <w:tblPrEx>
          <w:tblW w:w="0" w:type="auto"/>
          <w:tblInd w:w="145" w:type="dxa"/>
          <w:tblBorders>
            <w:top w:val="double" w:sz="2" w:space="0" w:color="000000"/>
            <w:left w:val="double" w:sz="2" w:space="0" w:color="000000"/>
            <w:bottom w:val="double" w:sz="2" w:space="0" w:color="000000"/>
            <w:right w:val="double" w:sz="2" w:space="0" w:color="000000"/>
            <w:insideH w:val="single" w:sz="2" w:space="0" w:color="000000"/>
            <w:insideV w:val="single" w:sz="2" w:space="0" w:color="000000"/>
          </w:tblBorders>
          <w:tblLayout w:type="fixed"/>
          <w:tblCellMar>
            <w:left w:w="145" w:type="dxa"/>
            <w:right w:w="145" w:type="dxa"/>
          </w:tblCellMar>
          <w:tblLook w:val="0000"/>
        </w:tblPrEx>
        <w:trPr>
          <w:cantSplit/>
        </w:trPr>
        <w:tc>
          <w:tcPr>
            <w:tcW w:w="1701" w:type="dxa"/>
            <w:shd w:val="pct10" w:color="000000" w:fill="FFFFFF"/>
            <w:vAlign w:val="center"/>
          </w:tcPr>
          <w:p w:rsidR="00B31B54" w:rsidRPr="00FF7A80" w:rsidP="003858C5" w14:paraId="6A082DD9" w14:textId="40BD6512">
            <w:pPr>
              <w:pStyle w:val="RollCallVotes"/>
            </w:pPr>
            <w:r>
              <w:t>7</w:t>
            </w:r>
          </w:p>
        </w:tc>
        <w:tc>
          <w:tcPr>
            <w:tcW w:w="7371" w:type="dxa"/>
            <w:shd w:val="pct10" w:color="000000" w:fill="FFFFFF"/>
          </w:tcPr>
          <w:p w:rsidR="00B31B54" w:rsidRPr="00FF7A80" w:rsidP="003858C5" w14:paraId="56D3C096" w14:textId="77777777">
            <w:pPr>
              <w:pStyle w:val="RollCallSymbols14pt"/>
            </w:pPr>
            <w:r>
              <w:t>0</w:t>
            </w:r>
          </w:p>
        </w:tc>
      </w:tr>
      <w:tr w14:paraId="3257931B" w14:textId="77777777" w:rsidTr="008920AC">
        <w:tblPrEx>
          <w:tblW w:w="0" w:type="auto"/>
          <w:tblInd w:w="145" w:type="dxa"/>
          <w:tblLayout w:type="fixed"/>
          <w:tblCellMar>
            <w:left w:w="145" w:type="dxa"/>
            <w:right w:w="145" w:type="dxa"/>
          </w:tblCellMar>
          <w:tblLook w:val="0000"/>
        </w:tblPrEx>
        <w:trPr>
          <w:cantSplit/>
        </w:trPr>
        <w:tc>
          <w:tcPr>
            <w:tcW w:w="1701" w:type="dxa"/>
            <w:shd w:val="clear" w:color="auto" w:fill="FFFFFF"/>
          </w:tcPr>
          <w:p w:rsidR="00B31B54" w:rsidRPr="00FF7A80" w:rsidP="003858C5" w14:paraId="78B8F7E8" w14:textId="33384875">
            <w:pPr>
              <w:pStyle w:val="RollCallTable"/>
            </w:pPr>
            <w:r>
              <w:t>EKR</w:t>
            </w:r>
          </w:p>
        </w:tc>
        <w:tc>
          <w:tcPr>
            <w:tcW w:w="7371" w:type="dxa"/>
            <w:shd w:val="clear" w:color="auto" w:fill="FFFFFF"/>
          </w:tcPr>
          <w:p w:rsidR="00B31B54" w:rsidRPr="00FF7A80" w:rsidP="003858C5" w14:paraId="6B0B7A16" w14:textId="725BD6E8">
            <w:pPr>
              <w:pStyle w:val="RollCallTable"/>
            </w:pPr>
            <w:r>
              <w:t>Stefano Cavedagna, Alessandro Ciriani, Pietro Fiocchi, Paolo Inselvini, Mariusz Kamiński, Sebastian Tynkkynen, Maciej Wąsik</w:t>
            </w:r>
          </w:p>
        </w:tc>
      </w:tr>
    </w:tbl>
    <w:p w:rsidR="00B31B54" w:rsidRPr="00FF7A80" w:rsidP="00147FBF" w14:paraId="64B3490D" w14:textId="77777777">
      <w:pPr>
        <w:pStyle w:val="Normal12a"/>
      </w:pPr>
    </w:p>
    <w:p w:rsidR="00B31B54" w:rsidRPr="00FF7A80" w:rsidP="00B735E3" w14:paraId="4D06542F" w14:textId="21BF1E56">
      <w:r>
        <w:t>Tegnforklaring:</w:t>
      </w:r>
    </w:p>
    <w:p w:rsidR="00B31B54" w:rsidRPr="00FF7A80" w:rsidP="003858C5" w14:paraId="06D86E76" w14:textId="3A7C2A0D">
      <w:pPr>
        <w:pStyle w:val="RollCallTabs"/>
      </w:pPr>
      <w:r>
        <w:t>+</w:t>
      </w:r>
      <w:r>
        <w:tab/>
      </w:r>
      <w:r>
        <w:t>:</w:t>
      </w:r>
      <w:r>
        <w:tab/>
      </w:r>
      <w:r>
        <w:t>for</w:t>
      </w:r>
    </w:p>
    <w:p w:rsidR="00B31B54" w:rsidRPr="00FF7A80" w:rsidP="003858C5" w14:paraId="3812611C" w14:textId="0C161556">
      <w:pPr>
        <w:pStyle w:val="RollCallTabs"/>
      </w:pPr>
      <w:r>
        <w:t>-</w:t>
      </w:r>
      <w:r>
        <w:tab/>
      </w:r>
      <w:r>
        <w:t>:</w:t>
      </w:r>
      <w:r>
        <w:tab/>
      </w:r>
      <w:r>
        <w:t>imod</w:t>
      </w:r>
    </w:p>
    <w:p w:rsidR="00B31B54" w:rsidRPr="00FF7A80" w:rsidP="003858C5" w14:paraId="34244A83" w14:textId="35CE9CAC">
      <w:pPr>
        <w:pStyle w:val="RollCallTabs"/>
      </w:pPr>
      <w:r>
        <w:t>0</w:t>
      </w:r>
      <w:r>
        <w:tab/>
      </w:r>
      <w:r>
        <w:t>:</w:t>
      </w:r>
      <w:r>
        <w:tab/>
      </w:r>
      <w:r>
        <w:t>hverken/eller</w:t>
      </w:r>
    </w:p>
    <w:p w:rsidR="00B31B54" w:rsidRPr="00FF7A80" w:rsidP="00207509" w14:paraId="6F4B472C" w14:textId="77777777"/>
    <w:bookmarkEnd w:id="2"/>
    <w:p w:rsidR="00B31B54" w:rsidRPr="00FF7A80" w:rsidP="00B31B54" w14:paraId="06C9E081" w14:textId="7F00624E"/>
    <w:sectPr w:rsidSect="00B31B54">
      <w:pgSz w:w="11894" w:h="15840"/>
      <w:pgMar w:top="1700" w:right="1417" w:bottom="1417" w:left="1417" w:header="720" w:footer="720" w:gutter="0"/>
      <w:cols w:space="720"/>
      <w:noEndnote/>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ans-serif">
    <w:altName w:val="Calibri"/>
    <w:panose1 w:val="00000000000000000000"/>
    <w:charset w:val="00"/>
    <w:family w:val="auto"/>
    <w:notTrueType/>
    <w:pitch w:val="default"/>
    <w:sig w:usb0="00000003" w:usb1="00000000" w:usb2="00000000" w:usb3="00000000" w:csb0="00000001"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DokChampa">
    <w:altName w:val="Leelawadee UI"/>
    <w:charset w:val="DE"/>
    <w:family w:val="swiss"/>
    <w:pitch w:val="variable"/>
    <w:sig w:usb0="83000003" w:usb1="00000000" w:usb2="00000000" w:usb3="00000000" w:csb0="00010001" w:csb1="00000000"/>
  </w:font>
  <w:font w:name="Yu Mincho">
    <w:altName w:val="游明朝"/>
    <w:charset w:val="80"/>
    <w:family w:val="roman"/>
    <w:pitch w:val="variable"/>
    <w:sig w:usb0="800002E7" w:usb1="2AC7FCFF" w:usb2="00000012" w:usb3="00000000" w:csb0="000200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1E4A59" w:rsidRPr="001E4A59" w:rsidP="001E4A59" w14:paraId="77F6A2C1" w14:textId="77777777">
    <w:pPr>
      <w:pStyle w:val="EPFooter"/>
      <w:rPr>
        <w:lang w:val="fr-BE"/>
      </w:rPr>
    </w:pPr>
    <w:r w:rsidRPr="001E4A59">
      <w:rPr>
        <w:lang w:val="fr-BE"/>
      </w:rPr>
      <w:t>PE</w:t>
    </w:r>
    <w:r w:rsidRPr="001E4A59">
      <w:rPr>
        <w:rStyle w:val="HideTWBExt"/>
      </w:rPr>
      <w:t>&lt;NoPE&gt;</w:t>
    </w:r>
    <w:r w:rsidRPr="001E4A59">
      <w:rPr>
        <w:lang w:val="fr-BE"/>
      </w:rPr>
      <w:t>778.328</w:t>
    </w:r>
    <w:r w:rsidRPr="001E4A59">
      <w:rPr>
        <w:rStyle w:val="HideTWBExt"/>
      </w:rPr>
      <w:t>&lt;/NoPE&gt;&lt;Version&gt;</w:t>
    </w:r>
    <w:r w:rsidRPr="001E4A59">
      <w:rPr>
        <w:lang w:val="fr-BE"/>
      </w:rPr>
      <w:t>v02-00</w:t>
    </w:r>
    <w:r w:rsidRPr="001E4A59">
      <w:rPr>
        <w:rStyle w:val="HideTWBExt"/>
      </w:rPr>
      <w:t>&lt;/Version&gt;</w:t>
    </w:r>
    <w:r w:rsidRPr="001E4A59">
      <w:rPr>
        <w:lang w:val="fr-BE"/>
      </w:rPr>
      <w:tab/>
    </w:r>
    <w:r w:rsidRPr="001E4A59">
      <w:rPr>
        <w:lang w:val="fr-BE"/>
      </w:rPr>
      <w:fldChar w:fldCharType="begin"/>
    </w:r>
    <w:r w:rsidRPr="001E4A59">
      <w:rPr>
        <w:lang w:val="fr-BE"/>
      </w:rPr>
      <w:instrText xml:space="preserve"> PAGE  \* MERGEFORMAT </w:instrText>
    </w:r>
    <w:r w:rsidRPr="001E4A59">
      <w:rPr>
        <w:lang w:val="fr-BE"/>
      </w:rPr>
      <w:fldChar w:fldCharType="separate"/>
    </w:r>
    <w:r w:rsidRPr="001E4A59">
      <w:rPr>
        <w:noProof/>
        <w:lang w:val="fr-BE"/>
      </w:rPr>
      <w:t>8</w:t>
    </w:r>
    <w:r w:rsidRPr="001E4A59">
      <w:rPr>
        <w:lang w:val="fr-BE"/>
      </w:rPr>
      <w:fldChar w:fldCharType="end"/>
    </w:r>
    <w:r w:rsidRPr="001E4A59">
      <w:rPr>
        <w:lang w:val="fr-BE"/>
      </w:rPr>
      <w:t>/</w:t>
    </w:r>
    <w:r w:rsidRPr="001E4A59">
      <w:rPr>
        <w:lang w:val="fr-BE"/>
      </w:rPr>
      <w:fldChar w:fldCharType="begin"/>
    </w:r>
    <w:r w:rsidRPr="001E4A59">
      <w:rPr>
        <w:lang w:val="fr-BE"/>
      </w:rPr>
      <w:instrText xml:space="preserve"> NUMPAGES  \* MERGEFORMAT </w:instrText>
    </w:r>
    <w:r w:rsidRPr="001E4A59">
      <w:rPr>
        <w:lang w:val="fr-BE"/>
      </w:rPr>
      <w:fldChar w:fldCharType="separate"/>
    </w:r>
    <w:r w:rsidRPr="001E4A59">
      <w:rPr>
        <w:noProof/>
        <w:lang w:val="fr-BE"/>
      </w:rPr>
      <w:t>8</w:t>
    </w:r>
    <w:r w:rsidRPr="001E4A59">
      <w:rPr>
        <w:lang w:val="fr-BE"/>
      </w:rPr>
      <w:fldChar w:fldCharType="end"/>
    </w:r>
    <w:r w:rsidRPr="001E4A59">
      <w:rPr>
        <w:lang w:val="fr-BE"/>
      </w:rPr>
      <w:tab/>
    </w:r>
    <w:r w:rsidRPr="001E4A59">
      <w:rPr>
        <w:rStyle w:val="HideTWBExt"/>
      </w:rPr>
      <w:t>&lt;PathFdR&gt;</w:t>
    </w:r>
    <w:r w:rsidRPr="001E4A59">
      <w:rPr>
        <w:lang w:val="fr-BE"/>
      </w:rPr>
      <w:t>AD\1333300EN.docx</w:t>
    </w:r>
    <w:r w:rsidRPr="001E4A59">
      <w:rPr>
        <w:rStyle w:val="HideTWBExt"/>
      </w:rPr>
      <w:t>&lt;/PathFdR&gt;</w:t>
    </w:r>
  </w:p>
  <w:p w:rsidR="00C75378" w:rsidRPr="001E4A59" w:rsidP="001E4A59" w14:paraId="41BB6D52" w14:textId="4EAF2EF9">
    <w:pPr>
      <w:pStyle w:val="EPFooter2"/>
      <w:rPr>
        <w:lang w:val="fr-BE"/>
      </w:rPr>
    </w:pPr>
    <w:r w:rsidRPr="001E4A59">
      <w:rPr>
        <w:lang w:val="fr-BE"/>
      </w:rPr>
      <w:t>EN</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1E4A59" w:rsidRPr="001E4A59" w:rsidP="001E4A59" w14:paraId="1A228E44" w14:textId="77777777">
    <w:pPr>
      <w:pStyle w:val="EPFooter"/>
    </w:pPr>
    <w:r w:rsidRPr="001E4A59">
      <w:rPr>
        <w:rStyle w:val="HideTWBExt"/>
      </w:rPr>
      <w:t>&lt;PathFdR&gt;</w:t>
    </w:r>
    <w:r w:rsidRPr="001E4A59">
      <w:t>AD\1333300EN.docx</w:t>
    </w:r>
    <w:r w:rsidRPr="001E4A59">
      <w:rPr>
        <w:rStyle w:val="HideTWBExt"/>
      </w:rPr>
      <w:t>&lt;/PathFdR&gt;</w:t>
    </w:r>
    <w:r w:rsidRPr="001E4A59">
      <w:tab/>
    </w:r>
    <w:r w:rsidRPr="001E4A59">
      <w:fldChar w:fldCharType="begin"/>
    </w:r>
    <w:r w:rsidRPr="001E4A59">
      <w:instrText xml:space="preserve"> PAGE  \* MERGEFORMAT </w:instrText>
    </w:r>
    <w:r w:rsidRPr="001E4A59">
      <w:fldChar w:fldCharType="separate"/>
    </w:r>
    <w:r w:rsidRPr="001E4A59">
      <w:rPr>
        <w:noProof/>
      </w:rPr>
      <w:t>7</w:t>
    </w:r>
    <w:r w:rsidRPr="001E4A59">
      <w:fldChar w:fldCharType="end"/>
    </w:r>
    <w:r w:rsidRPr="001E4A59">
      <w:t>/</w:t>
    </w:r>
    <w:r w:rsidRPr="001E4A59">
      <w:fldChar w:fldCharType="begin"/>
    </w:r>
    <w:r w:rsidRPr="001E4A59">
      <w:instrText xml:space="preserve"> NUMPAGES  \* MERGEFORMAT </w:instrText>
    </w:r>
    <w:r w:rsidRPr="001E4A59">
      <w:fldChar w:fldCharType="separate"/>
    </w:r>
    <w:r w:rsidRPr="001E4A59">
      <w:rPr>
        <w:noProof/>
      </w:rPr>
      <w:t>8</w:t>
    </w:r>
    <w:r w:rsidRPr="001E4A59">
      <w:fldChar w:fldCharType="end"/>
    </w:r>
    <w:r w:rsidRPr="001E4A59">
      <w:tab/>
      <w:t>PE</w:t>
    </w:r>
    <w:r w:rsidRPr="001E4A59">
      <w:rPr>
        <w:rStyle w:val="HideTWBExt"/>
      </w:rPr>
      <w:t>&lt;NoPE&gt;</w:t>
    </w:r>
    <w:r w:rsidRPr="001E4A59">
      <w:t>778.328</w:t>
    </w:r>
    <w:r w:rsidRPr="001E4A59">
      <w:rPr>
        <w:rStyle w:val="HideTWBExt"/>
      </w:rPr>
      <w:t>&lt;/NoPE&gt;&lt;Version&gt;</w:t>
    </w:r>
    <w:r w:rsidRPr="001E4A59">
      <w:t>v02-00</w:t>
    </w:r>
    <w:r w:rsidRPr="001E4A59">
      <w:rPr>
        <w:rStyle w:val="HideTWBExt"/>
      </w:rPr>
      <w:t>&lt;/Version&gt;</w:t>
    </w:r>
  </w:p>
  <w:p w:rsidR="00C75378" w:rsidRPr="001E4A59" w:rsidP="001E4A59" w14:paraId="1680EAB8" w14:textId="40A7CBB7">
    <w:pPr>
      <w:pStyle w:val="EPFooter2"/>
    </w:pPr>
    <w:r w:rsidRPr="001E4A59">
      <w:tab/>
    </w:r>
    <w:r w:rsidRPr="001E4A59">
      <w:tab/>
      <w:t>EN</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1E4A59" w:rsidRPr="001E4A59" w:rsidP="001E4A59" w14:paraId="7025A97E" w14:textId="77777777">
    <w:pPr>
      <w:pStyle w:val="EPFooter"/>
    </w:pPr>
    <w:r w:rsidRPr="001E4A59">
      <w:rPr>
        <w:rStyle w:val="HideTWBExt"/>
      </w:rPr>
      <w:t>&lt;PathFdR&gt;</w:t>
    </w:r>
    <w:r w:rsidRPr="001E4A59">
      <w:t>AD\1333300EN.docx</w:t>
    </w:r>
    <w:r w:rsidRPr="001E4A59">
      <w:rPr>
        <w:rStyle w:val="HideTWBExt"/>
      </w:rPr>
      <w:t>&lt;/PathFdR&gt;</w:t>
    </w:r>
    <w:r w:rsidRPr="001E4A59">
      <w:tab/>
    </w:r>
    <w:r w:rsidRPr="001E4A59">
      <w:tab/>
      <w:t>PE</w:t>
    </w:r>
    <w:r w:rsidRPr="001E4A59">
      <w:rPr>
        <w:rStyle w:val="HideTWBExt"/>
      </w:rPr>
      <w:t>&lt;NoPE&gt;</w:t>
    </w:r>
    <w:r w:rsidRPr="001E4A59">
      <w:t>778.328</w:t>
    </w:r>
    <w:r w:rsidRPr="001E4A59">
      <w:rPr>
        <w:rStyle w:val="HideTWBExt"/>
      </w:rPr>
      <w:t>&lt;/NoPE&gt;&lt;Version&gt;</w:t>
    </w:r>
    <w:r w:rsidRPr="001E4A59">
      <w:t>v02-00</w:t>
    </w:r>
    <w:r w:rsidRPr="001E4A59">
      <w:rPr>
        <w:rStyle w:val="HideTWBExt"/>
      </w:rPr>
      <w:t>&lt;/Version&gt;</w:t>
    </w:r>
  </w:p>
  <w:p w:rsidR="00C75378" w:rsidRPr="001E4A59" w:rsidP="001E4A59" w14:paraId="70A3BC4B" w14:textId="74FB879D">
    <w:pPr>
      <w:pStyle w:val="EPFooter2"/>
    </w:pPr>
    <w:r w:rsidRPr="001E4A59">
      <w:t>EN</w:t>
    </w:r>
    <w:r w:rsidRPr="001E4A59">
      <w:tab/>
    </w:r>
    <w:r w:rsidRPr="001E4A59">
      <w:rPr>
        <w:b w:val="0"/>
        <w:i/>
        <w:color w:val="C0C0C0"/>
        <w:sz w:val="22"/>
      </w:rPr>
      <w:t>United in diversity</w:t>
    </w:r>
    <w:r w:rsidRPr="001E4A59">
      <w:tab/>
      <w:t>EN</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footnote w:type="separator" w:id="0">
    <w:p w:rsidR="00E20020" w:rsidRPr="001E4A59" w14:paraId="4DA9976A" w14:textId="77777777">
      <w:r w:rsidRPr="001E4A59">
        <w:separator/>
      </w:r>
    </w:p>
  </w:footnote>
  <w:footnote w:type="continuationSeparator" w:id="1">
    <w:p w:rsidR="00E20020" w:rsidRPr="001E4A59" w14:paraId="12510945" w14:textId="77777777">
      <w:r w:rsidRPr="001E4A59">
        <w:continuationSeparator/>
      </w:r>
    </w:p>
  </w:footnote>
  <w:footnote w:id="2">
    <w:p w:rsidR="00B31B54" w:rsidRPr="001E4A59" w:rsidP="00B31B54" w14:paraId="2587A534" w14:textId="6F338523">
      <w:pPr>
        <w:pStyle w:val="FootnoteText"/>
      </w:pPr>
      <w:r>
        <w:rPr>
          <w:rStyle w:val="FootnoteReference"/>
        </w:rPr>
        <w:footnoteRef/>
      </w:r>
      <w:r>
        <w:t>Interinstitutionel aftale af 20. maj 2021 mellem Europa-Parlamentet, Rådet for Den Europæiske Union og Europa-Kommissionen om et obligatorisk åbenhedsregister (EUT L 207 af 11.6.2021, s. 1, ELI:</w:t>
      </w:r>
      <w:r>
        <w:t xml:space="preserve"> </w:t>
      </w:r>
      <w:hyperlink r:id="rId1" w:history="1">
        <w:r>
          <w:rPr>
            <w:rStyle w:val="Hyperlink"/>
            <w:sz w:val="24"/>
          </w:rPr>
          <w:t>http://data.europa.eu/eli/agree_interinstit/2021/611/oj</w:t>
        </w:r>
      </w:hyperlink>
      <w: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1E4A59" w:rsidRPr="001E4A59" w14:paraId="6EAE298E" w14:textId="7777777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1E4A59" w:rsidRPr="001E4A59" w14:paraId="1B40E058" w14:textId="7777777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1E4A59" w:rsidRPr="001E4A59" w14:paraId="359E6890" w14:textId="7777777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abstractNum w:abstractNumId="0">
    <w:nsid w:val="FFFFFF7C"/>
    <w:multiLevelType w:val="singleLevel"/>
    <w:tmpl w:val="5B22A8A2"/>
    <w:lvl w:ilvl="0">
      <w:start w:val="1"/>
      <w:numFmt w:val="decimal"/>
      <w:lvlText w:val="%1."/>
      <w:lvlJc w:val="left"/>
      <w:pPr>
        <w:tabs>
          <w:tab w:val="num" w:pos="1492"/>
        </w:tabs>
        <w:ind w:left="1492" w:hanging="360"/>
      </w:pPr>
    </w:lvl>
  </w:abstractNum>
  <w:abstractNum w:abstractNumId="1">
    <w:nsid w:val="FFFFFF7D"/>
    <w:multiLevelType w:val="singleLevel"/>
    <w:tmpl w:val="D0C0EE6C"/>
    <w:lvl w:ilvl="0">
      <w:start w:val="1"/>
      <w:numFmt w:val="decimal"/>
      <w:lvlText w:val="%1."/>
      <w:lvlJc w:val="left"/>
      <w:pPr>
        <w:tabs>
          <w:tab w:val="num" w:pos="1209"/>
        </w:tabs>
        <w:ind w:left="1209" w:hanging="360"/>
      </w:pPr>
    </w:lvl>
  </w:abstractNum>
  <w:abstractNum w:abstractNumId="2">
    <w:nsid w:val="FFFFFF7E"/>
    <w:multiLevelType w:val="singleLevel"/>
    <w:tmpl w:val="BFB40F5E"/>
    <w:lvl w:ilvl="0">
      <w:start w:val="1"/>
      <w:numFmt w:val="decimal"/>
      <w:lvlText w:val="%1."/>
      <w:lvlJc w:val="left"/>
      <w:pPr>
        <w:tabs>
          <w:tab w:val="num" w:pos="926"/>
        </w:tabs>
        <w:ind w:left="926" w:hanging="360"/>
      </w:pPr>
    </w:lvl>
  </w:abstractNum>
  <w:abstractNum w:abstractNumId="3">
    <w:nsid w:val="FFFFFF7F"/>
    <w:multiLevelType w:val="singleLevel"/>
    <w:tmpl w:val="BF525DAA"/>
    <w:lvl w:ilvl="0">
      <w:start w:val="1"/>
      <w:numFmt w:val="decimal"/>
      <w:lvlText w:val="%1."/>
      <w:lvlJc w:val="left"/>
      <w:pPr>
        <w:tabs>
          <w:tab w:val="num" w:pos="643"/>
        </w:tabs>
        <w:ind w:left="643" w:hanging="360"/>
      </w:pPr>
    </w:lvl>
  </w:abstractNum>
  <w:abstractNum w:abstractNumId="4">
    <w:nsid w:val="FFFFFF80"/>
    <w:multiLevelType w:val="singleLevel"/>
    <w:tmpl w:val="97309190"/>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8026A280"/>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1CDC9AF0"/>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1E120C2A"/>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D92AAA74"/>
    <w:lvl w:ilvl="0">
      <w:start w:val="1"/>
      <w:numFmt w:val="decimal"/>
      <w:lvlText w:val="%1."/>
      <w:lvlJc w:val="left"/>
      <w:pPr>
        <w:tabs>
          <w:tab w:val="num" w:pos="360"/>
        </w:tabs>
        <w:ind w:left="360" w:hanging="360"/>
      </w:pPr>
    </w:lvl>
  </w:abstractNum>
  <w:abstractNum w:abstractNumId="9">
    <w:nsid w:val="FFFFFF89"/>
    <w:multiLevelType w:val="singleLevel"/>
    <w:tmpl w:val="AB4278A6"/>
    <w:lvl w:ilvl="0">
      <w:start w:val="1"/>
      <w:numFmt w:val="bullet"/>
      <w:lvlText w:val=""/>
      <w:lvlJc w:val="left"/>
      <w:pPr>
        <w:tabs>
          <w:tab w:val="num" w:pos="360"/>
        </w:tabs>
        <w:ind w:left="360" w:hanging="360"/>
      </w:pPr>
      <w:rPr>
        <w:rFonts w:ascii="Symbol" w:hAnsi="Symbol" w:hint="default"/>
      </w:rPr>
    </w:lvl>
  </w:abstractNum>
  <w:abstractNum w:abstractNumId="10">
    <w:nsid w:val="55A568FF"/>
    <w:multiLevelType w:val="hybridMultilevel"/>
    <w:tmpl w:val="CAA8327A"/>
    <w:lvl w:ilvl="0">
      <w:start w:val="1"/>
      <w:numFmt w:val="decimal"/>
      <w:lvlText w:val="%1."/>
      <w:lvlJc w:val="left"/>
      <w:pPr>
        <w:ind w:left="930" w:hanging="570"/>
      </w:pPr>
      <w:rPr>
        <w:rFonts w:hint="default"/>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num w:numId="1" w16cid:durableId="969559243">
    <w:abstractNumId w:val="9"/>
  </w:num>
  <w:num w:numId="2" w16cid:durableId="1391420794">
    <w:abstractNumId w:val="9"/>
  </w:num>
  <w:num w:numId="3" w16cid:durableId="1450856086">
    <w:abstractNumId w:val="7"/>
  </w:num>
  <w:num w:numId="4" w16cid:durableId="596210088">
    <w:abstractNumId w:val="7"/>
  </w:num>
  <w:num w:numId="5" w16cid:durableId="1243565333">
    <w:abstractNumId w:val="6"/>
  </w:num>
  <w:num w:numId="6" w16cid:durableId="749929006">
    <w:abstractNumId w:val="6"/>
  </w:num>
  <w:num w:numId="7" w16cid:durableId="982194687">
    <w:abstractNumId w:val="5"/>
  </w:num>
  <w:num w:numId="8" w16cid:durableId="682828427">
    <w:abstractNumId w:val="5"/>
  </w:num>
  <w:num w:numId="9" w16cid:durableId="694768593">
    <w:abstractNumId w:val="4"/>
  </w:num>
  <w:num w:numId="10" w16cid:durableId="1117140322">
    <w:abstractNumId w:val="4"/>
  </w:num>
  <w:num w:numId="11" w16cid:durableId="1327393397">
    <w:abstractNumId w:val="8"/>
  </w:num>
  <w:num w:numId="12" w16cid:durableId="1400979741">
    <w:abstractNumId w:val="8"/>
  </w:num>
  <w:num w:numId="13" w16cid:durableId="375787219">
    <w:abstractNumId w:val="3"/>
  </w:num>
  <w:num w:numId="14" w16cid:durableId="963386185">
    <w:abstractNumId w:val="3"/>
  </w:num>
  <w:num w:numId="15" w16cid:durableId="1366326407">
    <w:abstractNumId w:val="2"/>
  </w:num>
  <w:num w:numId="16" w16cid:durableId="1170680098">
    <w:abstractNumId w:val="2"/>
  </w:num>
  <w:num w:numId="17" w16cid:durableId="1376470093">
    <w:abstractNumId w:val="1"/>
  </w:num>
  <w:num w:numId="18" w16cid:durableId="1734158877">
    <w:abstractNumId w:val="1"/>
  </w:num>
  <w:num w:numId="19" w16cid:durableId="897327353">
    <w:abstractNumId w:val="0"/>
  </w:num>
  <w:num w:numId="20" w16cid:durableId="1788425826">
    <w:abstractNumId w:val="0"/>
  </w:num>
  <w:num w:numId="21" w16cid:durableId="442307447">
    <w:abstractNumId w:val="9"/>
  </w:num>
  <w:num w:numId="22" w16cid:durableId="1430083622">
    <w:abstractNumId w:val="7"/>
  </w:num>
  <w:num w:numId="23" w16cid:durableId="1894076950">
    <w:abstractNumId w:val="6"/>
  </w:num>
  <w:num w:numId="24" w16cid:durableId="1564174865">
    <w:abstractNumId w:val="5"/>
  </w:num>
  <w:num w:numId="25" w16cid:durableId="1543667083">
    <w:abstractNumId w:val="4"/>
  </w:num>
  <w:num w:numId="26" w16cid:durableId="1659000304">
    <w:abstractNumId w:val="8"/>
  </w:num>
  <w:num w:numId="27" w16cid:durableId="2007199106">
    <w:abstractNumId w:val="3"/>
  </w:num>
  <w:num w:numId="28" w16cid:durableId="438524200">
    <w:abstractNumId w:val="2"/>
  </w:num>
  <w:num w:numId="29" w16cid:durableId="956915476">
    <w:abstractNumId w:val="1"/>
  </w:num>
  <w:num w:numId="30" w16cid:durableId="434134767">
    <w:abstractNumId w:val="0"/>
  </w:num>
  <w:num w:numId="31" w16cid:durableId="187565965">
    <w:abstractNumId w:val="9"/>
  </w:num>
  <w:num w:numId="32" w16cid:durableId="1862209274">
    <w:abstractNumId w:val="7"/>
  </w:num>
  <w:num w:numId="33" w16cid:durableId="1427270400">
    <w:abstractNumId w:val="6"/>
  </w:num>
  <w:num w:numId="34" w16cid:durableId="365760111">
    <w:abstractNumId w:val="5"/>
  </w:num>
  <w:num w:numId="35" w16cid:durableId="189223308">
    <w:abstractNumId w:val="4"/>
  </w:num>
  <w:num w:numId="36" w16cid:durableId="228196601">
    <w:abstractNumId w:val="8"/>
  </w:num>
  <w:num w:numId="37" w16cid:durableId="1954942581">
    <w:abstractNumId w:val="3"/>
  </w:num>
  <w:num w:numId="38" w16cid:durableId="525631020">
    <w:abstractNumId w:val="2"/>
  </w:num>
  <w:num w:numId="39" w16cid:durableId="84963136">
    <w:abstractNumId w:val="1"/>
  </w:num>
  <w:num w:numId="40" w16cid:durableId="1105660229">
    <w:abstractNumId w:val="0"/>
  </w:num>
  <w:num w:numId="41" w16cid:durableId="148878700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mirrorMargins/>
  <w:bordersDoNotSurroundHeader/>
  <w:bordersDoNotSurroundFooter/>
  <w:stylePaneFormatFilter w:val="3F01" w:allStyles="1" w:alternateStyleNames="0" w:clearFormatting="1" w:customStyles="0" w:directFormattingOnNumbering="1" w:directFormattingOnParagraphs="1" w:directFormattingOnRuns="1" w:directFormattingOnTables="1" w:headingStyles="0" w:latentStyles="0" w:numberingStyles="0" w:stylesInUse="0" w:tableStyles="0" w:top3HeadingStyles="1" w:visibleStyles="0"/>
  <w:defaultTabStop w:val="720"/>
  <w:hyphenationZone w:val="425"/>
  <w:doNotHyphenateCaps/>
  <w:evenAndOddHeader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footnotePr>
    <w:numRestart w:val="eachSect"/>
    <w:footnote w:id="0"/>
    <w:footnote w:id="1"/>
  </w:footnotePr>
  <w:endnotePr>
    <w:numFmt w:val="decimal"/>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20020"/>
    <w:rsid w:val="000048A8"/>
    <w:rsid w:val="00007A18"/>
    <w:rsid w:val="00014CA3"/>
    <w:rsid w:val="00051ABC"/>
    <w:rsid w:val="00062634"/>
    <w:rsid w:val="00072F8F"/>
    <w:rsid w:val="00073983"/>
    <w:rsid w:val="000A05CA"/>
    <w:rsid w:val="000B6C4B"/>
    <w:rsid w:val="000D001F"/>
    <w:rsid w:val="000D099F"/>
    <w:rsid w:val="000E6813"/>
    <w:rsid w:val="000F07FE"/>
    <w:rsid w:val="001275F4"/>
    <w:rsid w:val="00147FBF"/>
    <w:rsid w:val="001A455F"/>
    <w:rsid w:val="001E4A59"/>
    <w:rsid w:val="001E4DB5"/>
    <w:rsid w:val="001F2766"/>
    <w:rsid w:val="001F6ED8"/>
    <w:rsid w:val="00207509"/>
    <w:rsid w:val="00212D35"/>
    <w:rsid w:val="00245C7F"/>
    <w:rsid w:val="00255AEC"/>
    <w:rsid w:val="00271180"/>
    <w:rsid w:val="002A4AC9"/>
    <w:rsid w:val="002A5AEC"/>
    <w:rsid w:val="002B2892"/>
    <w:rsid w:val="002C0EE6"/>
    <w:rsid w:val="002C1842"/>
    <w:rsid w:val="002C34AE"/>
    <w:rsid w:val="002E2F2E"/>
    <w:rsid w:val="002F4232"/>
    <w:rsid w:val="00300F69"/>
    <w:rsid w:val="00307C14"/>
    <w:rsid w:val="0032301F"/>
    <w:rsid w:val="003707A7"/>
    <w:rsid w:val="003858C5"/>
    <w:rsid w:val="00385BAB"/>
    <w:rsid w:val="0039003E"/>
    <w:rsid w:val="00396FA9"/>
    <w:rsid w:val="003B341D"/>
    <w:rsid w:val="003B72FC"/>
    <w:rsid w:val="003D684B"/>
    <w:rsid w:val="003E06CF"/>
    <w:rsid w:val="003E35FB"/>
    <w:rsid w:val="003F3B83"/>
    <w:rsid w:val="00430738"/>
    <w:rsid w:val="00431E30"/>
    <w:rsid w:val="004514CC"/>
    <w:rsid w:val="00453DCE"/>
    <w:rsid w:val="00481D5D"/>
    <w:rsid w:val="00487232"/>
    <w:rsid w:val="00495CA4"/>
    <w:rsid w:val="00497F24"/>
    <w:rsid w:val="004A34E6"/>
    <w:rsid w:val="004A7DA5"/>
    <w:rsid w:val="004B2E19"/>
    <w:rsid w:val="004C28FB"/>
    <w:rsid w:val="004E150F"/>
    <w:rsid w:val="004E54DC"/>
    <w:rsid w:val="004F48ED"/>
    <w:rsid w:val="00505966"/>
    <w:rsid w:val="00514664"/>
    <w:rsid w:val="005375D9"/>
    <w:rsid w:val="0055017A"/>
    <w:rsid w:val="00577018"/>
    <w:rsid w:val="005779E7"/>
    <w:rsid w:val="005D0786"/>
    <w:rsid w:val="005E3670"/>
    <w:rsid w:val="006006C3"/>
    <w:rsid w:val="00600DC9"/>
    <w:rsid w:val="00643F39"/>
    <w:rsid w:val="0066728C"/>
    <w:rsid w:val="006819E0"/>
    <w:rsid w:val="006D6CF6"/>
    <w:rsid w:val="006F3A85"/>
    <w:rsid w:val="00701063"/>
    <w:rsid w:val="0071319E"/>
    <w:rsid w:val="00722749"/>
    <w:rsid w:val="00776FF5"/>
    <w:rsid w:val="007F1328"/>
    <w:rsid w:val="00806587"/>
    <w:rsid w:val="008818A9"/>
    <w:rsid w:val="00897E28"/>
    <w:rsid w:val="008B2505"/>
    <w:rsid w:val="008C6240"/>
    <w:rsid w:val="008D55C8"/>
    <w:rsid w:val="008E7494"/>
    <w:rsid w:val="008F36CD"/>
    <w:rsid w:val="008F7002"/>
    <w:rsid w:val="00902F3E"/>
    <w:rsid w:val="00923BFA"/>
    <w:rsid w:val="00931257"/>
    <w:rsid w:val="0095301E"/>
    <w:rsid w:val="0095497D"/>
    <w:rsid w:val="009669A8"/>
    <w:rsid w:val="00972FD8"/>
    <w:rsid w:val="00977F76"/>
    <w:rsid w:val="0098140C"/>
    <w:rsid w:val="00995E28"/>
    <w:rsid w:val="009A33F4"/>
    <w:rsid w:val="009A403C"/>
    <w:rsid w:val="009B33EE"/>
    <w:rsid w:val="009B5265"/>
    <w:rsid w:val="00A2041C"/>
    <w:rsid w:val="00A25EF1"/>
    <w:rsid w:val="00A26B87"/>
    <w:rsid w:val="00A347D7"/>
    <w:rsid w:val="00A722B1"/>
    <w:rsid w:val="00A8267E"/>
    <w:rsid w:val="00A93570"/>
    <w:rsid w:val="00A9617A"/>
    <w:rsid w:val="00AA1A2C"/>
    <w:rsid w:val="00AA223C"/>
    <w:rsid w:val="00AE2548"/>
    <w:rsid w:val="00AF77DA"/>
    <w:rsid w:val="00B07BC3"/>
    <w:rsid w:val="00B107A4"/>
    <w:rsid w:val="00B1441B"/>
    <w:rsid w:val="00B31B54"/>
    <w:rsid w:val="00B362F7"/>
    <w:rsid w:val="00B4311E"/>
    <w:rsid w:val="00B735E3"/>
    <w:rsid w:val="00B96CD5"/>
    <w:rsid w:val="00BB2AC1"/>
    <w:rsid w:val="00C04938"/>
    <w:rsid w:val="00C11B7F"/>
    <w:rsid w:val="00C175C0"/>
    <w:rsid w:val="00C248FE"/>
    <w:rsid w:val="00C36610"/>
    <w:rsid w:val="00C47E30"/>
    <w:rsid w:val="00C54F53"/>
    <w:rsid w:val="00C5720F"/>
    <w:rsid w:val="00C6598C"/>
    <w:rsid w:val="00C75378"/>
    <w:rsid w:val="00C85D0F"/>
    <w:rsid w:val="00CA0D01"/>
    <w:rsid w:val="00CD32E1"/>
    <w:rsid w:val="00CF7076"/>
    <w:rsid w:val="00D25055"/>
    <w:rsid w:val="00D41244"/>
    <w:rsid w:val="00D438D0"/>
    <w:rsid w:val="00D44697"/>
    <w:rsid w:val="00D47632"/>
    <w:rsid w:val="00D625A2"/>
    <w:rsid w:val="00D71751"/>
    <w:rsid w:val="00D759AA"/>
    <w:rsid w:val="00DA7632"/>
    <w:rsid w:val="00DE0317"/>
    <w:rsid w:val="00E01434"/>
    <w:rsid w:val="00E05697"/>
    <w:rsid w:val="00E12435"/>
    <w:rsid w:val="00E20020"/>
    <w:rsid w:val="00E25797"/>
    <w:rsid w:val="00E3462E"/>
    <w:rsid w:val="00E424B4"/>
    <w:rsid w:val="00E506E4"/>
    <w:rsid w:val="00E729C7"/>
    <w:rsid w:val="00E83B40"/>
    <w:rsid w:val="00E9601C"/>
    <w:rsid w:val="00EA78B3"/>
    <w:rsid w:val="00EB19AA"/>
    <w:rsid w:val="00EC2C85"/>
    <w:rsid w:val="00EC40C9"/>
    <w:rsid w:val="00F036E0"/>
    <w:rsid w:val="00F129D0"/>
    <w:rsid w:val="00F46E44"/>
    <w:rsid w:val="00F611FC"/>
    <w:rsid w:val="00F61E8C"/>
    <w:rsid w:val="00F66D58"/>
    <w:rsid w:val="00F707AB"/>
    <w:rsid w:val="00F96D53"/>
    <w:rsid w:val="00FB459D"/>
    <w:rsid w:val="00FC00B4"/>
    <w:rsid w:val="00FC1E24"/>
    <w:rsid w:val="00FF00D4"/>
    <w:rsid w:val="00FF158E"/>
    <w:rsid w:val="00FF204C"/>
    <w:rsid w:val="00FF7A80"/>
  </w:rsids>
  <w:docVars>
    <w:docVar w:name="ADOPTIONMNU" w:val=" 1"/>
    <w:docVar w:name="AUTHORMFMNU" w:val=" 2"/>
    <w:docVar w:name="COMKEY" w:val="LIBE"/>
    <w:docVar w:name="CONTRIBUTIONMNU" w:val=" 1"/>
    <w:docVar w:name="CopyToNetwork" w:val="-1"/>
    <w:docVar w:name="DOCDT" w:val="14/10/2025"/>
    <w:docVar w:name="FONCTIONMNU" w:val=" 1"/>
    <w:docVar w:name="LastAMInserted" w:val="7"/>
    <w:docVar w:name="NumberAMInserted" w:val="7"/>
    <w:docVar w:name="OTHERHEADINGMNU" w:val=" 2"/>
    <w:docVar w:name="PARTCOUNT" w:val="6"/>
    <w:docVar w:name="strDocTypeID" w:val="PA_NonLegDec"/>
    <w:docVar w:name="strSubDir" w:val="1333"/>
    <w:docVar w:name="TITLEMNU" w:val=" 3"/>
    <w:docVar w:name="TXTAUTHOR" w:val="Evin Incir"/>
    <w:docVar w:name="TXTLANGUE" w:val="EN"/>
    <w:docVar w:name="TXTLANGUEMIN" w:val="en"/>
    <w:docVar w:name="TXTNRPE" w:val="778.328"/>
    <w:docVar w:name="TXTNRPROC" w:val="2025/2155"/>
    <w:docVar w:name="TXTPEorAP" w:val="PE"/>
    <w:docVar w:name="TXTROUTE" w:val="AD\1333300EN.docx"/>
    <w:docVar w:name="TXTTITLE" w:val="Discharge 2024: General budget of the EU - European Public Prosecutors Office (the ‘EPPO’)&#13;"/>
    <w:docVar w:name="TXTVERSION" w:val="02-00"/>
  </w:docVars>
  <m:mathPr>
    <m:mathFont m:val="Cambria Math"/>
  </m:mathPr>
  <w:themeFontLang w:val="en-GB" w:eastAsia="ja-JP" w:bidi="lo-LA"/>
  <w:clrSchemeMapping w:bg1="light1" w:t1="dark1" w:bg2="light2" w:t2="dark2" w:accent1="accent1" w:accent2="accent2" w:accent3="accent3" w:accent4="accent4" w:accent5="accent5" w:accent6="accent6" w:hyperlink="hyperlink" w:followedHyperlink="followedHyperlink"/>
  <w:doNotIncludeSubdocsInStats/>
  <w14:docId w14:val="2CE8E464"/>
  <w15:chartTrackingRefBased/>
  <w15:docId w15:val="{66D8D432-A6C0-4353-A731-089D0BC0F0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da-DK"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semiHidden="1"/>
    <w:lsdException w:name="caption" w:semiHidden="1" w:unhideWhenUsed="1" w:qFormat="1"/>
    <w:lsdException w:name="Title"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Smart Link" w:semiHidden="1" w:uiPriority="99" w:unhideWhenUsed="1"/>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062634"/>
    <w:pPr>
      <w:widowControl w:val="0"/>
    </w:pPr>
    <w:rPr>
      <w:sz w:val="24"/>
    </w:rPr>
  </w:style>
  <w:style w:type="paragraph" w:styleId="Heading1">
    <w:name w:val="heading 1"/>
    <w:basedOn w:val="Normal"/>
    <w:next w:val="Normal"/>
    <w:semiHidden/>
    <w:qFormat/>
    <w:pPr>
      <w:keepNext/>
      <w:spacing w:before="240" w:after="60"/>
      <w:outlineLvl w:val="0"/>
    </w:pPr>
    <w:rPr>
      <w:rFonts w:ascii="Arial" w:hAnsi="Arial"/>
      <w:b/>
      <w:kern w:val="28"/>
      <w:sz w:val="28"/>
    </w:rPr>
  </w:style>
  <w:style w:type="paragraph" w:styleId="Heading2">
    <w:name w:val="heading 2"/>
    <w:basedOn w:val="Normal"/>
    <w:next w:val="Normal"/>
    <w:semiHidden/>
    <w:qFormat/>
    <w:pPr>
      <w:keepNext/>
      <w:spacing w:before="240" w:after="60"/>
      <w:outlineLvl w:val="1"/>
    </w:pPr>
    <w:rPr>
      <w:rFonts w:ascii="Arial" w:hAnsi="Arial"/>
      <w:b/>
      <w:i/>
    </w:rPr>
  </w:style>
  <w:style w:type="paragraph" w:styleId="Heading3">
    <w:name w:val="heading 3"/>
    <w:basedOn w:val="Normal"/>
    <w:next w:val="Normal"/>
    <w:semiHidden/>
    <w:qFormat/>
    <w:pPr>
      <w:keepNext/>
      <w:spacing w:before="240" w:after="60"/>
      <w:outlineLvl w:val="2"/>
    </w:pPr>
    <w:rPr>
      <w:rFonts w:ascii="Arial" w:hAnsi="Arial"/>
    </w:rPr>
  </w:style>
  <w:style w:type="paragraph" w:styleId="Heading4">
    <w:name w:val="heading 4"/>
    <w:basedOn w:val="Normal"/>
    <w:next w:val="Normal"/>
    <w:semiHidden/>
    <w:qFormat/>
    <w:pPr>
      <w:keepNext/>
      <w:spacing w:before="240" w:after="60"/>
      <w:outlineLvl w:val="3"/>
    </w:pPr>
    <w:rPr>
      <w:rFonts w:ascii="Arial" w:hAnsi="Arial"/>
      <w:b/>
    </w:rPr>
  </w:style>
  <w:style w:type="paragraph" w:styleId="Heading5">
    <w:name w:val="heading 5"/>
    <w:basedOn w:val="Normal"/>
    <w:next w:val="Normal"/>
    <w:semiHidden/>
    <w:qFormat/>
    <w:pPr>
      <w:spacing w:before="240" w:after="60"/>
      <w:outlineLvl w:val="4"/>
    </w:pPr>
    <w:rPr>
      <w:sz w:val="22"/>
    </w:rPr>
  </w:style>
  <w:style w:type="paragraph" w:styleId="Heading6">
    <w:name w:val="heading 6"/>
    <w:basedOn w:val="Normal"/>
    <w:next w:val="Normal"/>
    <w:semiHidden/>
    <w:qFormat/>
    <w:pPr>
      <w:spacing w:before="240" w:after="60"/>
      <w:outlineLvl w:val="5"/>
    </w:pPr>
    <w:rPr>
      <w:i/>
      <w:sz w:val="22"/>
    </w:rPr>
  </w:style>
  <w:style w:type="paragraph" w:styleId="Heading7">
    <w:name w:val="heading 7"/>
    <w:basedOn w:val="Normal"/>
    <w:next w:val="Normal"/>
    <w:semiHidden/>
    <w:qFormat/>
    <w:pPr>
      <w:spacing w:before="240" w:after="60"/>
      <w:outlineLvl w:val="6"/>
    </w:pPr>
    <w:rPr>
      <w:rFonts w:ascii="Arial" w:hAnsi="Arial"/>
    </w:rPr>
  </w:style>
  <w:style w:type="paragraph" w:styleId="Heading8">
    <w:name w:val="heading 8"/>
    <w:basedOn w:val="Normal"/>
    <w:next w:val="Normal"/>
    <w:semiHidden/>
    <w:qFormat/>
    <w:pPr>
      <w:spacing w:before="240" w:after="60"/>
      <w:outlineLvl w:val="7"/>
    </w:pPr>
    <w:rPr>
      <w:rFonts w:ascii="Arial" w:hAnsi="Arial"/>
      <w:i/>
    </w:rPr>
  </w:style>
  <w:style w:type="paragraph" w:styleId="Heading9">
    <w:name w:val="heading 9"/>
    <w:basedOn w:val="Normal"/>
    <w:next w:val="Normal"/>
    <w:semiHidden/>
    <w:qFormat/>
    <w:pPr>
      <w:spacing w:before="240" w:after="60"/>
      <w:outlineLvl w:val="8"/>
    </w:pPr>
    <w:rPr>
      <w:rFonts w:ascii="Arial" w:hAnsi="Arial"/>
      <w:b/>
      <w:i/>
      <w:sz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ideTWBExt">
    <w:name w:val="HideTWBExt"/>
    <w:basedOn w:val="DefaultParagraphFont"/>
    <w:rsid w:val="00DA7632"/>
    <w:rPr>
      <w:rFonts w:ascii="Arial" w:hAnsi="Arial" w:cs="Arial"/>
      <w:noProof/>
      <w:vanish/>
      <w:color w:val="000080"/>
      <w:sz w:val="20"/>
    </w:rPr>
  </w:style>
  <w:style w:type="paragraph" w:customStyle="1" w:styleId="EPFooter2">
    <w:name w:val="EPFooter2"/>
    <w:basedOn w:val="Normal"/>
    <w:next w:val="Normal"/>
    <w:rsid w:val="00DA7632"/>
    <w:pPr>
      <w:widowControl/>
      <w:tabs>
        <w:tab w:val="center" w:pos="4535"/>
        <w:tab w:val="right" w:pos="9921"/>
      </w:tabs>
      <w:ind w:left="-850" w:right="-850"/>
    </w:pPr>
    <w:rPr>
      <w:rFonts w:ascii="Arial" w:hAnsi="Arial" w:cs="Arial"/>
      <w:b/>
      <w:sz w:val="48"/>
    </w:rPr>
  </w:style>
  <w:style w:type="paragraph" w:customStyle="1" w:styleId="Normal12a">
    <w:name w:val="Normal12a"/>
    <w:basedOn w:val="Normal"/>
    <w:rsid w:val="00DA7632"/>
    <w:pPr>
      <w:spacing w:after="240"/>
    </w:pPr>
  </w:style>
  <w:style w:type="paragraph" w:styleId="TOC1">
    <w:name w:val="toc 1"/>
    <w:basedOn w:val="Normal12a"/>
    <w:next w:val="Normal12a"/>
    <w:autoRedefine/>
    <w:semiHidden/>
  </w:style>
  <w:style w:type="paragraph" w:styleId="TOCHeading">
    <w:name w:val="TOC Heading"/>
    <w:basedOn w:val="Normal"/>
    <w:next w:val="Normal"/>
    <w:semiHidden/>
    <w:qFormat/>
    <w:pPr>
      <w:keepNext/>
      <w:spacing w:before="240" w:after="240"/>
      <w:jc w:val="center"/>
    </w:pPr>
    <w:rPr>
      <w:rFonts w:ascii="Arial" w:hAnsi="Arial"/>
      <w:b/>
    </w:rPr>
  </w:style>
  <w:style w:type="character" w:customStyle="1" w:styleId="HideTWBInt">
    <w:name w:val="HideTWBInt"/>
    <w:rsid w:val="00DA7632"/>
    <w:rPr>
      <w:rFonts w:ascii="Arial" w:hAnsi="Arial"/>
      <w:vanish/>
      <w:color w:val="808080"/>
      <w:sz w:val="20"/>
    </w:rPr>
  </w:style>
  <w:style w:type="paragraph" w:customStyle="1" w:styleId="PageHeadingNotTOC">
    <w:name w:val="PageHeadingNotTOC"/>
    <w:basedOn w:val="Normal"/>
    <w:rsid w:val="00DA7632"/>
    <w:pPr>
      <w:keepNext/>
      <w:spacing w:after="480"/>
      <w:jc w:val="center"/>
    </w:pPr>
    <w:rPr>
      <w:rFonts w:ascii="Arial" w:hAnsi="Arial" w:cs="Arial"/>
      <w:b/>
    </w:rPr>
  </w:style>
  <w:style w:type="paragraph" w:customStyle="1" w:styleId="EPName">
    <w:name w:val="EPName"/>
    <w:basedOn w:val="Normal"/>
    <w:rsid w:val="00DA7632"/>
    <w:pPr>
      <w:spacing w:before="80" w:after="80"/>
    </w:pPr>
    <w:rPr>
      <w:rFonts w:ascii="Arial Narrow" w:hAnsi="Arial Narrow" w:cs="Arial"/>
      <w:b/>
      <w:sz w:val="32"/>
      <w:szCs w:val="22"/>
    </w:rPr>
  </w:style>
  <w:style w:type="paragraph" w:customStyle="1" w:styleId="CoverNormal24a">
    <w:name w:val="CoverNormal24a"/>
    <w:basedOn w:val="Normal"/>
    <w:rsid w:val="00DA7632"/>
    <w:pPr>
      <w:spacing w:after="480"/>
      <w:ind w:left="1417"/>
    </w:pPr>
  </w:style>
  <w:style w:type="paragraph" w:customStyle="1" w:styleId="CoverNormal">
    <w:name w:val="CoverNormal"/>
    <w:basedOn w:val="Normal"/>
    <w:rsid w:val="00DA7632"/>
    <w:pPr>
      <w:ind w:left="1418"/>
    </w:pPr>
  </w:style>
  <w:style w:type="paragraph" w:styleId="Header">
    <w:name w:val="header"/>
    <w:basedOn w:val="Normal"/>
    <w:link w:val="HeaderChar"/>
    <w:semiHidden/>
    <w:rsid w:val="00FF158E"/>
    <w:pPr>
      <w:tabs>
        <w:tab w:val="center" w:pos="4513"/>
        <w:tab w:val="right" w:pos="9026"/>
      </w:tabs>
    </w:pPr>
  </w:style>
  <w:style w:type="paragraph" w:customStyle="1" w:styleId="CoverReference">
    <w:name w:val="CoverReference"/>
    <w:basedOn w:val="Normal"/>
    <w:rsid w:val="00DA7632"/>
    <w:pPr>
      <w:spacing w:before="1080"/>
      <w:jc w:val="right"/>
    </w:pPr>
    <w:rPr>
      <w:rFonts w:ascii="Arial" w:hAnsi="Arial"/>
      <w:b/>
    </w:rPr>
  </w:style>
  <w:style w:type="paragraph" w:customStyle="1" w:styleId="CoverDocType24a">
    <w:name w:val="CoverDocType24a"/>
    <w:basedOn w:val="Normal"/>
    <w:rsid w:val="00DA7632"/>
    <w:pPr>
      <w:spacing w:after="480"/>
      <w:ind w:left="1417"/>
    </w:pPr>
    <w:rPr>
      <w:rFonts w:ascii="Arial" w:hAnsi="Arial" w:cs="Arial"/>
      <w:b/>
      <w:sz w:val="48"/>
    </w:rPr>
  </w:style>
  <w:style w:type="paragraph" w:customStyle="1" w:styleId="CoverDate">
    <w:name w:val="CoverDate"/>
    <w:basedOn w:val="Normal"/>
    <w:rsid w:val="00DA7632"/>
    <w:pPr>
      <w:spacing w:before="240" w:after="1200"/>
    </w:pPr>
  </w:style>
  <w:style w:type="paragraph" w:customStyle="1" w:styleId="NormalHanging12a">
    <w:name w:val="NormalHanging12a"/>
    <w:basedOn w:val="Normal"/>
    <w:link w:val="NormalHanging12aChar"/>
    <w:rsid w:val="00DA7632"/>
    <w:pPr>
      <w:spacing w:after="240"/>
      <w:ind w:left="567" w:hanging="567"/>
    </w:pPr>
  </w:style>
  <w:style w:type="paragraph" w:customStyle="1" w:styleId="Subheading">
    <w:name w:val="Subheading"/>
    <w:basedOn w:val="Normal"/>
    <w:rsid w:val="00DA7632"/>
    <w:pPr>
      <w:spacing w:before="480" w:after="240"/>
    </w:pPr>
    <w:rPr>
      <w:b/>
      <w:i/>
      <w:szCs w:val="24"/>
    </w:rPr>
  </w:style>
  <w:style w:type="table" w:styleId="TableGrid">
    <w:name w:val="Table Grid"/>
    <w:basedOn w:val="TableNormal"/>
    <w:rsid w:val="00E9601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PBody">
    <w:name w:val="EPBody"/>
    <w:basedOn w:val="Normal"/>
    <w:rsid w:val="00DA7632"/>
    <w:pPr>
      <w:jc w:val="center"/>
    </w:pPr>
    <w:rPr>
      <w:rFonts w:ascii="Arial" w:hAnsi="Arial" w:cs="Arial"/>
      <w:i/>
      <w:sz w:val="22"/>
      <w:szCs w:val="22"/>
    </w:rPr>
  </w:style>
  <w:style w:type="paragraph" w:customStyle="1" w:styleId="LineTop">
    <w:name w:val="LineTop"/>
    <w:basedOn w:val="Normal"/>
    <w:next w:val="Normal"/>
    <w:rsid w:val="00DA7632"/>
    <w:pPr>
      <w:pBdr>
        <w:top w:val="single" w:sz="4" w:space="1" w:color="auto"/>
      </w:pBdr>
      <w:jc w:val="center"/>
    </w:pPr>
    <w:rPr>
      <w:rFonts w:ascii="Arial" w:hAnsi="Arial"/>
      <w:sz w:val="16"/>
      <w:szCs w:val="16"/>
    </w:rPr>
  </w:style>
  <w:style w:type="paragraph" w:customStyle="1" w:styleId="LineBottom">
    <w:name w:val="LineBottom"/>
    <w:basedOn w:val="Normal"/>
    <w:next w:val="Normal"/>
    <w:rsid w:val="00DA7632"/>
    <w:pPr>
      <w:pBdr>
        <w:bottom w:val="single" w:sz="4" w:space="1" w:color="auto"/>
      </w:pBdr>
      <w:spacing w:after="240"/>
      <w:jc w:val="center"/>
    </w:pPr>
    <w:rPr>
      <w:rFonts w:ascii="Arial" w:hAnsi="Arial"/>
      <w:sz w:val="16"/>
      <w:szCs w:val="16"/>
    </w:rPr>
  </w:style>
  <w:style w:type="paragraph" w:customStyle="1" w:styleId="EPTerm">
    <w:name w:val="EPTerm"/>
    <w:basedOn w:val="Normal"/>
    <w:next w:val="Normal"/>
    <w:rsid w:val="00DA7632"/>
    <w:pPr>
      <w:spacing w:after="80"/>
    </w:pPr>
    <w:rPr>
      <w:rFonts w:ascii="Arial" w:hAnsi="Arial" w:cs="Arial"/>
      <w:sz w:val="20"/>
      <w:szCs w:val="22"/>
    </w:rPr>
  </w:style>
  <w:style w:type="paragraph" w:customStyle="1" w:styleId="EPLogo">
    <w:name w:val="EPLogo"/>
    <w:basedOn w:val="Normal"/>
    <w:qFormat/>
    <w:rsid w:val="00DA7632"/>
    <w:pPr>
      <w:jc w:val="right"/>
    </w:pPr>
  </w:style>
  <w:style w:type="paragraph" w:customStyle="1" w:styleId="EPFooter">
    <w:name w:val="EPFooter"/>
    <w:basedOn w:val="Normal"/>
    <w:rsid w:val="00DA7632"/>
    <w:pPr>
      <w:tabs>
        <w:tab w:val="center" w:pos="4535"/>
        <w:tab w:val="right" w:pos="9071"/>
      </w:tabs>
      <w:spacing w:before="240" w:after="240"/>
    </w:pPr>
    <w:rPr>
      <w:color w:val="010000"/>
      <w:sz w:val="22"/>
    </w:rPr>
  </w:style>
  <w:style w:type="character" w:customStyle="1" w:styleId="HeaderChar">
    <w:name w:val="Header Char"/>
    <w:basedOn w:val="DefaultParagraphFont"/>
    <w:link w:val="Header"/>
    <w:semiHidden/>
    <w:rsid w:val="00FF158E"/>
    <w:rPr>
      <w:sz w:val="24"/>
    </w:rPr>
  </w:style>
  <w:style w:type="character" w:styleId="CommentReference">
    <w:name w:val="annotation reference"/>
    <w:basedOn w:val="DefaultParagraphFont"/>
    <w:rsid w:val="00A347D7"/>
    <w:rPr>
      <w:sz w:val="16"/>
      <w:szCs w:val="16"/>
    </w:rPr>
  </w:style>
  <w:style w:type="paragraph" w:styleId="CommentText">
    <w:name w:val="annotation text"/>
    <w:basedOn w:val="Normal"/>
    <w:link w:val="CommentTextChar"/>
    <w:rsid w:val="00A347D7"/>
    <w:rPr>
      <w:sz w:val="20"/>
    </w:rPr>
  </w:style>
  <w:style w:type="character" w:customStyle="1" w:styleId="CommentTextChar">
    <w:name w:val="Comment Text Char"/>
    <w:basedOn w:val="DefaultParagraphFont"/>
    <w:link w:val="CommentText"/>
    <w:rsid w:val="00A347D7"/>
  </w:style>
  <w:style w:type="paragraph" w:styleId="CommentSubject">
    <w:name w:val="annotation subject"/>
    <w:basedOn w:val="CommentText"/>
    <w:next w:val="CommentText"/>
    <w:link w:val="CommentSubjectChar"/>
    <w:semiHidden/>
    <w:unhideWhenUsed/>
    <w:rsid w:val="00A347D7"/>
    <w:rPr>
      <w:b/>
      <w:bCs/>
    </w:rPr>
  </w:style>
  <w:style w:type="character" w:customStyle="1" w:styleId="CommentSubjectChar">
    <w:name w:val="Comment Subject Char"/>
    <w:basedOn w:val="CommentTextChar"/>
    <w:link w:val="CommentSubject"/>
    <w:semiHidden/>
    <w:rsid w:val="00A347D7"/>
    <w:rPr>
      <w:b/>
      <w:bCs/>
    </w:rPr>
  </w:style>
  <w:style w:type="paragraph" w:styleId="Footer">
    <w:name w:val="footer"/>
    <w:basedOn w:val="Normal"/>
    <w:link w:val="FooterChar"/>
    <w:semiHidden/>
    <w:rsid w:val="00A347D7"/>
    <w:pPr>
      <w:tabs>
        <w:tab w:val="center" w:pos="4513"/>
        <w:tab w:val="right" w:pos="9026"/>
      </w:tabs>
    </w:pPr>
  </w:style>
  <w:style w:type="character" w:customStyle="1" w:styleId="FooterChar">
    <w:name w:val="Footer Char"/>
    <w:basedOn w:val="DefaultParagraphFont"/>
    <w:link w:val="Footer"/>
    <w:semiHidden/>
    <w:rsid w:val="00A347D7"/>
    <w:rPr>
      <w:sz w:val="24"/>
    </w:rPr>
  </w:style>
  <w:style w:type="paragraph" w:styleId="Revision">
    <w:name w:val="Revision"/>
    <w:hidden/>
    <w:uiPriority w:val="99"/>
    <w:semiHidden/>
    <w:rsid w:val="00C5720F"/>
    <w:rPr>
      <w:sz w:val="24"/>
    </w:rPr>
  </w:style>
  <w:style w:type="paragraph" w:customStyle="1" w:styleId="Normal24a">
    <w:name w:val="Normal24a"/>
    <w:basedOn w:val="Normal"/>
    <w:rsid w:val="00B31B54"/>
    <w:pPr>
      <w:spacing w:after="480"/>
    </w:pPr>
    <w:rPr>
      <w:szCs w:val="24"/>
    </w:rPr>
  </w:style>
  <w:style w:type="paragraph" w:customStyle="1" w:styleId="NormalBoldCenter">
    <w:name w:val="NormalBoldCenter"/>
    <w:basedOn w:val="Normal"/>
    <w:rsid w:val="00B31B54"/>
    <w:pPr>
      <w:jc w:val="center"/>
    </w:pPr>
    <w:rPr>
      <w:b/>
      <w:szCs w:val="24"/>
    </w:rPr>
  </w:style>
  <w:style w:type="paragraph" w:customStyle="1" w:styleId="Footprint12b">
    <w:name w:val="Footprint12b"/>
    <w:basedOn w:val="Normal"/>
    <w:rsid w:val="00B31B54"/>
    <w:pPr>
      <w:spacing w:before="240"/>
    </w:pPr>
    <w:rPr>
      <w:szCs w:val="24"/>
    </w:rPr>
  </w:style>
  <w:style w:type="paragraph" w:customStyle="1" w:styleId="NormalSingle">
    <w:name w:val="NormalSingle"/>
    <w:basedOn w:val="Normal"/>
    <w:qFormat/>
    <w:rsid w:val="00B31B54"/>
    <w:rPr>
      <w:szCs w:val="24"/>
    </w:rPr>
  </w:style>
  <w:style w:type="paragraph" w:styleId="FootnoteText">
    <w:name w:val="footnote text"/>
    <w:basedOn w:val="Normal"/>
    <w:link w:val="FootnoteTextChar"/>
    <w:rsid w:val="00B31B54"/>
    <w:rPr>
      <w:sz w:val="20"/>
    </w:rPr>
  </w:style>
  <w:style w:type="character" w:customStyle="1" w:styleId="FootnoteTextChar">
    <w:name w:val="Footnote Text Char"/>
    <w:basedOn w:val="DefaultParagraphFont"/>
    <w:link w:val="FootnoteText"/>
    <w:rsid w:val="00B31B54"/>
  </w:style>
  <w:style w:type="character" w:styleId="FootnoteReference">
    <w:name w:val="footnote reference"/>
    <w:basedOn w:val="DefaultParagraphFont"/>
    <w:rsid w:val="00B31B54"/>
    <w:rPr>
      <w:vertAlign w:val="superscript"/>
    </w:rPr>
  </w:style>
  <w:style w:type="character" w:styleId="Hyperlink">
    <w:name w:val="Hyperlink"/>
    <w:basedOn w:val="DefaultParagraphFont"/>
    <w:rsid w:val="00B31B54"/>
    <w:rPr>
      <w:color w:val="0563C1" w:themeColor="hyperlink"/>
      <w:u w:val="single"/>
    </w:rPr>
  </w:style>
  <w:style w:type="character" w:styleId="UnresolvedMention">
    <w:name w:val="Unresolved Mention"/>
    <w:basedOn w:val="DefaultParagraphFont"/>
    <w:uiPriority w:val="99"/>
    <w:semiHidden/>
    <w:unhideWhenUsed/>
    <w:rsid w:val="00B31B54"/>
    <w:rPr>
      <w:color w:val="605E5C"/>
      <w:shd w:val="clear" w:color="auto" w:fill="E1DFDD"/>
    </w:rPr>
  </w:style>
  <w:style w:type="paragraph" w:customStyle="1" w:styleId="RollCallSymbols14pt">
    <w:name w:val="RollCallSymbols14pt"/>
    <w:basedOn w:val="Normal"/>
    <w:rsid w:val="00B31B54"/>
    <w:pPr>
      <w:spacing w:before="120" w:after="120"/>
      <w:jc w:val="center"/>
    </w:pPr>
    <w:rPr>
      <w:rFonts w:ascii="Arial" w:hAnsi="Arial"/>
      <w:b/>
      <w:bCs/>
      <w:snapToGrid w:val="0"/>
      <w:sz w:val="28"/>
      <w:lang w:eastAsia="en-US"/>
    </w:rPr>
  </w:style>
  <w:style w:type="paragraph" w:customStyle="1" w:styleId="RollCallTabs">
    <w:name w:val="RollCallTabs"/>
    <w:basedOn w:val="Normal"/>
    <w:qFormat/>
    <w:rsid w:val="00B31B54"/>
    <w:pPr>
      <w:tabs>
        <w:tab w:val="center" w:pos="284"/>
        <w:tab w:val="left" w:pos="426"/>
      </w:tabs>
    </w:pPr>
    <w:rPr>
      <w:snapToGrid w:val="0"/>
      <w:lang w:eastAsia="en-US"/>
    </w:rPr>
  </w:style>
  <w:style w:type="paragraph" w:customStyle="1" w:styleId="RollCallVotes">
    <w:name w:val="RollCallVotes"/>
    <w:basedOn w:val="Normal"/>
    <w:rsid w:val="00B31B54"/>
    <w:pPr>
      <w:spacing w:before="120" w:after="120"/>
      <w:jc w:val="center"/>
    </w:pPr>
    <w:rPr>
      <w:b/>
      <w:bCs/>
      <w:snapToGrid w:val="0"/>
      <w:sz w:val="16"/>
      <w:lang w:eastAsia="en-US"/>
    </w:rPr>
  </w:style>
  <w:style w:type="paragraph" w:customStyle="1" w:styleId="RollCallTable">
    <w:name w:val="RollCallTable"/>
    <w:basedOn w:val="Normal"/>
    <w:rsid w:val="00B31B54"/>
    <w:pPr>
      <w:spacing w:before="120" w:after="120"/>
    </w:pPr>
    <w:rPr>
      <w:snapToGrid w:val="0"/>
      <w:sz w:val="16"/>
      <w:lang w:eastAsia="en-US"/>
    </w:rPr>
  </w:style>
  <w:style w:type="character" w:customStyle="1" w:styleId="NormalHanging12aChar">
    <w:name w:val="NormalHanging12a Char"/>
    <w:basedOn w:val="DefaultParagraphFont"/>
    <w:link w:val="NormalHanging12a"/>
    <w:rsid w:val="00B07BC3"/>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Relationships xmlns="http://schemas.openxmlformats.org/package/2006/relationships"><Relationship Id="rId1" Type="http://schemas.openxmlformats.org/officeDocument/2006/relationships/footnotes" Target="footnotes.xml" /><Relationship Id="rId10" Type="http://schemas.openxmlformats.org/officeDocument/2006/relationships/header" Target="header3.xml" /><Relationship Id="rId11" Type="http://schemas.openxmlformats.org/officeDocument/2006/relationships/footer" Target="footer3.xml" /><Relationship Id="rId12" Type="http://schemas.openxmlformats.org/officeDocument/2006/relationships/theme" Target="theme/theme1.xml" /><Relationship Id="rId13" Type="http://schemas.openxmlformats.org/officeDocument/2006/relationships/numbering" Target="numbering.xml" /><Relationship Id="rId14"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image" Target="media/image1.png" /><Relationship Id="rId6" Type="http://schemas.openxmlformats.org/officeDocument/2006/relationships/header" Target="header1.xml" /><Relationship Id="rId7" Type="http://schemas.openxmlformats.org/officeDocument/2006/relationships/header" Target="header2.xml" /><Relationship Id="rId8" Type="http://schemas.openxmlformats.org/officeDocument/2006/relationships/footer" Target="footer1.xml" /><Relationship Id="rId9" Type="http://schemas.openxmlformats.org/officeDocument/2006/relationships/footer" Target="footer2.xml" /></Relationships>
</file>

<file path=word/_rels/footnotes.xml.rels><?xml version="1.0" encoding="utf-8" standalone="yes"?><Relationships xmlns="http://schemas.openxmlformats.org/package/2006/relationships"><Relationship Id="rId1" Type="http://schemas.openxmlformats.org/officeDocument/2006/relationships/hyperlink" Target="http://data.europa.eu/eli/agree_interinstit/2021/611/oj"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7</Pages>
  <Words>1574</Words>
  <Characters>9492</Characters>
  <Application>Microsoft Office Word</Application>
  <DocSecurity>0</DocSecurity>
  <Lines>231</Lines>
  <Paragraphs>90</Paragraphs>
  <ScaleCrop>false</ScaleCrop>
  <HeadingPairs>
    <vt:vector size="2" baseType="variant">
      <vt:variant>
        <vt:lpstr>Title</vt:lpstr>
      </vt:variant>
      <vt:variant>
        <vt:i4>1</vt:i4>
      </vt:variant>
    </vt:vector>
  </HeadingPairs>
  <TitlesOfParts>
    <vt:vector size="1" baseType="lpstr">
      <vt:lpstr>PA_NonLegDec</vt:lpstr>
    </vt:vector>
  </TitlesOfParts>
  <Company/>
  <LinksUpToDate>false</LinksUpToDate>
  <CharactersWithSpaces>10976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PA_NonLegDec</dc:title>
  <dc:creator>European Parliament</dc:creator>
  <cp:lastModifiedBy>European Parliament</cp:lastModifiedBy>
  <cp:revision>2</cp:revision>
  <cp:lastPrinted>2004-10-28T10:33:00Z</cp:lastPrinted>
  <dcterms:created xsi:type="dcterms:W3CDTF">2025-12-09T09:31:00Z</dcterms:created>
  <dcterms:modified xsi:type="dcterms:W3CDTF">2025-12-09T09:31:00Z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t;Extension&gt;">
    <vt:lpwstr>DA</vt:lpwstr>
  </property>
  <property fmtid="{D5CDD505-2E9C-101B-9397-08002B2CF9AE}" pid="3" name="&lt;FdR&gt;">
    <vt:lpwstr>1333300</vt:lpwstr>
  </property>
  <property fmtid="{D5CDD505-2E9C-101B-9397-08002B2CF9AE}" pid="4" name="&lt;Model&gt;">
    <vt:lpwstr>PA_NonLegDec</vt:lpwstr>
  </property>
  <property fmtid="{D5CDD505-2E9C-101B-9397-08002B2CF9AE}" pid="5" name="&lt;ModelCod&gt;">
    <vt:lpwstr>\\eiciBRUpr1\pdocep$\DocEP\DOCS\General\PA\PA_NonLeg\PA_NonLegDec.dotx(08/11/2024 10:44:10)</vt:lpwstr>
  </property>
  <property fmtid="{D5CDD505-2E9C-101B-9397-08002B2CF9AE}" pid="6" name="&lt;ModelTra&gt;">
    <vt:lpwstr>\\eiciBRUpr1\pdocep$\DocEP\TRANSFIL\EN\PA_NonLegDec.EN(21/01/2025 15:39:00)</vt:lpwstr>
  </property>
  <property fmtid="{D5CDD505-2E9C-101B-9397-08002B2CF9AE}" pid="7" name="&lt;Type&gt;">
    <vt:lpwstr>AD</vt:lpwstr>
  </property>
  <property fmtid="{D5CDD505-2E9C-101B-9397-08002B2CF9AE}" pid="8" name="Created with">
    <vt:lpwstr>10.1.2 Build [20250817]</vt:lpwstr>
  </property>
  <property fmtid="{D5CDD505-2E9C-101B-9397-08002B2CF9AE}" pid="9" name="FooterPath">
    <vt:lpwstr>AD\1333300EN.docx</vt:lpwstr>
  </property>
  <property fmtid="{D5CDD505-2E9C-101B-9397-08002B2CF9AE}" pid="10" name="LastEdited with">
    <vt:lpwstr>10.2.0 Build [20251118]</vt:lpwstr>
  </property>
  <property fmtid="{D5CDD505-2E9C-101B-9397-08002B2CF9AE}" pid="11" name="PE number">
    <vt:lpwstr>778.328</vt:lpwstr>
  </property>
  <property fmtid="{D5CDD505-2E9C-101B-9397-08002B2CF9AE}" pid="12" name="SDLStudio">
    <vt:lpwstr>YES</vt:lpwstr>
  </property>
  <property fmtid="{D5CDD505-2E9C-101B-9397-08002B2CF9AE}" pid="13" name="SendToEpades">
    <vt:lpwstr>OK - 2025/12/09 10:30</vt:lpwstr>
  </property>
</Properties>
</file>