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5A1A" w14:paraId="292BEB27" w14:textId="77777777" w:rsidTr="00C85D0F">
        <w:trPr>
          <w:trHeight w:hRule="exact" w:val="1418"/>
        </w:trPr>
        <w:tc>
          <w:tcPr>
            <w:tcW w:w="6804" w:type="dxa"/>
            <w:shd w:val="clear" w:color="auto" w:fill="auto"/>
            <w:vAlign w:val="center"/>
          </w:tcPr>
          <w:p w14:paraId="67240F50" w14:textId="77777777" w:rsidR="004F48ED" w:rsidRPr="00685604" w:rsidRDefault="00BE2B2B" w:rsidP="00C85D0F">
            <w:pPr>
              <w:pStyle w:val="EPName"/>
            </w:pPr>
            <w:r>
              <w:t>Parlament Ewropew</w:t>
            </w:r>
          </w:p>
          <w:p w14:paraId="6D6C5716" w14:textId="77777777" w:rsidR="004F48ED" w:rsidRPr="00685604" w:rsidRDefault="00BE2B2B" w:rsidP="00C85D0F">
            <w:pPr>
              <w:pStyle w:val="EPTerm"/>
            </w:pPr>
            <w:r>
              <w:t>2024-2029</w:t>
            </w:r>
          </w:p>
        </w:tc>
        <w:tc>
          <w:tcPr>
            <w:tcW w:w="2268" w:type="dxa"/>
            <w:shd w:val="clear" w:color="auto" w:fill="auto"/>
          </w:tcPr>
          <w:p w14:paraId="7055DDD3" w14:textId="77777777" w:rsidR="004F48ED" w:rsidRPr="00685604" w:rsidRDefault="00BE2B2B" w:rsidP="00C85D0F">
            <w:pPr>
              <w:pStyle w:val="EPLogo"/>
            </w:pPr>
            <w:r w:rsidRPr="00685604">
              <w:rPr>
                <w:noProof/>
                <w:lang w:eastAsia="ja-JP"/>
              </w:rPr>
              <w:drawing>
                <wp:inline distT="0" distB="0" distL="0" distR="0" wp14:anchorId="09ED836B" wp14:editId="77D759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4E9089E" w14:textId="77777777" w:rsidR="00E9601C" w:rsidRPr="00685604" w:rsidRDefault="00E9601C" w:rsidP="00E9601C">
      <w:pPr>
        <w:pStyle w:val="LineTop"/>
      </w:pPr>
    </w:p>
    <w:p w14:paraId="4AFC59E2" w14:textId="77777777" w:rsidR="00E9601C" w:rsidRPr="00685604" w:rsidRDefault="00BE2B2B" w:rsidP="00E9601C">
      <w:pPr>
        <w:pStyle w:val="EPBody"/>
      </w:pPr>
      <w:r>
        <w:rPr>
          <w:rStyle w:val="HideTWBExt"/>
        </w:rPr>
        <w:t>&lt;</w:t>
      </w:r>
      <w:r>
        <w:rPr>
          <w:rStyle w:val="HideTWBExt"/>
          <w:i w:val="0"/>
        </w:rPr>
        <w:t>Commission</w:t>
      </w:r>
      <w:r>
        <w:rPr>
          <w:rStyle w:val="HideTWBExt"/>
        </w:rPr>
        <w:t>&gt;</w:t>
      </w:r>
      <w:r>
        <w:rPr>
          <w:rStyle w:val="HideTWBInt"/>
          <w:color w:val="auto"/>
        </w:rPr>
        <w:t>{LIBE}</w:t>
      </w:r>
      <w:r>
        <w:t>Kumitat għal-Libertajiet Ċivili, il-Ġustizzja u l-Intern</w:t>
      </w:r>
      <w:r>
        <w:rPr>
          <w:rStyle w:val="HideTWBExt"/>
        </w:rPr>
        <w:t>&lt;/</w:t>
      </w:r>
      <w:r>
        <w:rPr>
          <w:rStyle w:val="HideTWBExt"/>
          <w:i w:val="0"/>
        </w:rPr>
        <w:t>Commission</w:t>
      </w:r>
      <w:r>
        <w:rPr>
          <w:rStyle w:val="HideTWBExt"/>
        </w:rPr>
        <w:t>&gt;</w:t>
      </w:r>
    </w:p>
    <w:p w14:paraId="4E110DB0" w14:textId="77777777" w:rsidR="00E9601C" w:rsidRPr="00685604" w:rsidRDefault="00E9601C" w:rsidP="00E9601C">
      <w:pPr>
        <w:pStyle w:val="LineBottom"/>
      </w:pPr>
    </w:p>
    <w:p w14:paraId="7F4709ED" w14:textId="77777777" w:rsidR="004E54DC" w:rsidRPr="00685604" w:rsidRDefault="00BE2B2B" w:rsidP="004E54DC">
      <w:pPr>
        <w:pStyle w:val="CoverReference"/>
      </w:pPr>
      <w:r>
        <w:rPr>
          <w:rStyle w:val="HideTWBExt"/>
          <w:b w:val="0"/>
        </w:rPr>
        <w:t>&lt;RefProc&gt;</w:t>
      </w:r>
      <w:r>
        <w:t>2025/2155</w:t>
      </w:r>
      <w:r>
        <w:rPr>
          <w:rStyle w:val="HideTWBExt"/>
          <w:b w:val="0"/>
        </w:rPr>
        <w:t>&lt;/RefProc&gt;&lt;RefTypeProc&gt;</w:t>
      </w:r>
      <w:r>
        <w:t>(DEC)</w:t>
      </w:r>
      <w:r>
        <w:rPr>
          <w:rStyle w:val="HideTWBExt"/>
          <w:b w:val="0"/>
        </w:rPr>
        <w:t>&lt;/RefTypeProc&gt;</w:t>
      </w:r>
    </w:p>
    <w:p w14:paraId="6354C600" w14:textId="77777777" w:rsidR="002E2F2E" w:rsidRPr="00685604" w:rsidRDefault="00BE2B2B">
      <w:pPr>
        <w:pStyle w:val="CoverDate"/>
      </w:pPr>
      <w:r>
        <w:rPr>
          <w:rStyle w:val="HideTWBExt"/>
        </w:rPr>
        <w:t>&lt;Date&gt;</w:t>
      </w:r>
      <w:r>
        <w:rPr>
          <w:rStyle w:val="HideTWBInt"/>
          <w:color w:val="auto"/>
        </w:rPr>
        <w:t>{05/12/2025}</w:t>
      </w:r>
      <w:r>
        <w:t>5.12.2025</w:t>
      </w:r>
      <w:r>
        <w:rPr>
          <w:rStyle w:val="HideTWBExt"/>
        </w:rPr>
        <w:t>&lt;/Date&gt;</w:t>
      </w:r>
    </w:p>
    <w:p w14:paraId="463CE669" w14:textId="77777777" w:rsidR="002E2F2E" w:rsidRPr="00685604" w:rsidRDefault="00BE2B2B">
      <w:pPr>
        <w:pStyle w:val="CoverDocType24a"/>
      </w:pPr>
      <w:r>
        <w:rPr>
          <w:rStyle w:val="HideTWBExt"/>
          <w:b w:val="0"/>
        </w:rPr>
        <w:t>&lt;TitreType&gt;</w:t>
      </w:r>
      <w:r>
        <w:t>OPINJONI</w:t>
      </w:r>
      <w:r>
        <w:rPr>
          <w:rStyle w:val="HideTWBExt"/>
          <w:b w:val="0"/>
        </w:rPr>
        <w:t>&lt;/TitreType&gt;</w:t>
      </w:r>
    </w:p>
    <w:p w14:paraId="29602004" w14:textId="77777777" w:rsidR="002E2F2E" w:rsidRPr="00685604" w:rsidRDefault="00BE2B2B">
      <w:pPr>
        <w:pStyle w:val="CoverNormal24a"/>
      </w:pPr>
      <w:r>
        <w:rPr>
          <w:rStyle w:val="HideTWBExt"/>
        </w:rPr>
        <w:t>&lt;CommissionResp&gt;</w:t>
      </w:r>
      <w:r>
        <w:t>tal-Kumitat għal-Libertajiet Ċivili, il-Ġustizzja u l-Intern</w:t>
      </w:r>
      <w:r>
        <w:rPr>
          <w:rStyle w:val="HideTWBExt"/>
        </w:rPr>
        <w:t>&lt;/CommissionResp&gt;</w:t>
      </w:r>
    </w:p>
    <w:p w14:paraId="67B8F312" w14:textId="77777777" w:rsidR="002E2F2E" w:rsidRPr="00685604" w:rsidRDefault="00BE2B2B" w:rsidP="0095497D">
      <w:pPr>
        <w:pStyle w:val="CoverNormal24a"/>
      </w:pPr>
      <w:r>
        <w:rPr>
          <w:rStyle w:val="HideTWBExt"/>
        </w:rPr>
        <w:t>&lt;CommissionInt&gt;</w:t>
      </w:r>
      <w:r>
        <w:t>għall-Kumitat għall-Kontroll tal-Baġit</w:t>
      </w:r>
      <w:r>
        <w:rPr>
          <w:rStyle w:val="HideTWBExt"/>
        </w:rPr>
        <w:t>&lt;/CommissionInt&gt;</w:t>
      </w:r>
    </w:p>
    <w:p w14:paraId="3D51ED87" w14:textId="77777777" w:rsidR="00685604" w:rsidRPr="00685604" w:rsidRDefault="00BE2B2B" w:rsidP="00685604">
      <w:pPr>
        <w:pStyle w:val="CoverNormal"/>
      </w:pPr>
      <w:r>
        <w:rPr>
          <w:rStyle w:val="HideTWBExt"/>
        </w:rPr>
        <w:t>&lt;Titre&gt;</w:t>
      </w:r>
      <w:r>
        <w:t>dwar il-kwittanza għall-implimentazzjoni tal-baġit tal-Uffiċċju tal-Prosekutur Pubbliku Ewropew għas-sena finanzjarja 2024</w:t>
      </w:r>
      <w:r>
        <w:rPr>
          <w:rStyle w:val="HideTWBExt"/>
        </w:rPr>
        <w:t>&lt;/Titre&gt;</w:t>
      </w:r>
    </w:p>
    <w:p w14:paraId="0B1234C7" w14:textId="77777777" w:rsidR="002E2F2E" w:rsidRPr="00685604" w:rsidRDefault="00BE2B2B" w:rsidP="00685604">
      <w:pPr>
        <w:pStyle w:val="CoverNormal24a"/>
      </w:pPr>
      <w:r>
        <w:rPr>
          <w:rStyle w:val="HideTWBExt"/>
        </w:rPr>
        <w:t>&lt;DocRef&gt;</w:t>
      </w:r>
      <w:r>
        <w:t>(2025/2155(DEC))</w:t>
      </w:r>
      <w:r>
        <w:rPr>
          <w:rStyle w:val="HideTWBExt"/>
        </w:rPr>
        <w:t>&lt;/DocRef&gt;</w:t>
      </w:r>
    </w:p>
    <w:p w14:paraId="547F7CE0" w14:textId="77777777" w:rsidR="002E2F2E" w:rsidRPr="00685604" w:rsidRDefault="00BE2B2B">
      <w:pPr>
        <w:pStyle w:val="CoverNormal24a"/>
      </w:pPr>
      <w:r>
        <w:t xml:space="preserve">Rapporteur għal opinjoni: </w:t>
      </w:r>
      <w:r>
        <w:rPr>
          <w:rStyle w:val="HideTWBExt"/>
        </w:rPr>
        <w:t>&lt;Depute&gt;</w:t>
      </w:r>
      <w:r>
        <w:t>Evin Incir</w:t>
      </w:r>
      <w:r>
        <w:rPr>
          <w:rStyle w:val="HideTWBExt"/>
        </w:rPr>
        <w:t>&lt;/Depute&gt;</w:t>
      </w:r>
    </w:p>
    <w:p w14:paraId="39E67B43" w14:textId="77777777" w:rsidR="00977F76" w:rsidRPr="00685604" w:rsidRDefault="00977F76" w:rsidP="00977F76">
      <w:pPr>
        <w:pStyle w:val="CoverNormal"/>
      </w:pPr>
    </w:p>
    <w:p w14:paraId="5A1383AB" w14:textId="77777777" w:rsidR="002E2F2E" w:rsidRPr="00685604" w:rsidRDefault="00BE2B2B" w:rsidP="00BB2AC1">
      <w:pPr>
        <w:widowControl/>
        <w:tabs>
          <w:tab w:val="center" w:pos="4677"/>
        </w:tabs>
      </w:pPr>
      <w:r>
        <w:br w:type="page"/>
      </w:r>
      <w:r>
        <w:lastRenderedPageBreak/>
        <w:t>PA_NonLegDec</w:t>
      </w:r>
    </w:p>
    <w:p w14:paraId="39AF1827" w14:textId="77777777" w:rsidR="003E06CF" w:rsidRPr="00685604" w:rsidRDefault="00BE2B2B" w:rsidP="003E06CF">
      <w:pPr>
        <w:pStyle w:val="PageHeadingNotTOC"/>
      </w:pPr>
      <w:r>
        <w:br w:type="page"/>
      </w:r>
      <w:r>
        <w:lastRenderedPageBreak/>
        <w:t>OPINJONI</w:t>
      </w:r>
    </w:p>
    <w:p w14:paraId="0D3E72A1" w14:textId="77777777" w:rsidR="00685604" w:rsidRPr="00685604" w:rsidRDefault="00BE2B2B" w:rsidP="00685604">
      <w:pPr>
        <w:pStyle w:val="Normal12a"/>
      </w:pPr>
      <w:r>
        <w:t xml:space="preserve">Il-Kumitat għal-Libertajiet Ċivili, il-Ġustizzja u l-Intern jistieden </w:t>
      </w:r>
      <w:r>
        <w:t>lill-Kumitat għall-Kontroll tal-Baġit, bħala l-kumitat responsabbli, biex jinkorpora dan li ġej fil-mozzjoni għal riżoluzzjoni tiegħu:</w:t>
      </w:r>
    </w:p>
    <w:p w14:paraId="2FC03187" w14:textId="77777777" w:rsidR="00685604" w:rsidRPr="00685604" w:rsidRDefault="00BE2B2B" w:rsidP="00685604">
      <w:pPr>
        <w:pStyle w:val="NormalHanging12a"/>
      </w:pPr>
      <w:r>
        <w:t>1. Jinnota żieda konsegwenzjali fil-volum ta’ każijiet tal-Uffiċċju tal-Prosekutur Pubbliku Ewropew (UPPE), li laħaq 2 666 investigazzjoni attiva fl-2024, li minnhom kważi 30 % kellhom dimensjoni transfruntiera, u l-kisba ta’ żieda sostanzjali fir-rati ta’ akkużi (47 %) u l-miżuri ta’ ffriżar tal-assi miksuba mill-Prosekuturi Delegati Ewropej;</w:t>
      </w:r>
    </w:p>
    <w:p w14:paraId="7B38D3DE" w14:textId="77777777" w:rsidR="00685604" w:rsidRPr="00685604" w:rsidRDefault="00BE2B2B" w:rsidP="00685604">
      <w:pPr>
        <w:pStyle w:val="NormalHanging12a"/>
        <w:rPr>
          <w:b/>
          <w:i/>
          <w:szCs w:val="24"/>
        </w:rPr>
      </w:pPr>
      <w:r>
        <w:t>2</w:t>
      </w:r>
      <w:r>
        <w:rPr>
          <w:b/>
          <w:i/>
        </w:rPr>
        <w:t>.</w:t>
      </w:r>
      <w:r>
        <w:rPr>
          <w:b/>
          <w:i/>
        </w:rPr>
        <w:tab/>
      </w:r>
      <w:r>
        <w:t xml:space="preserve">Jinnota li fl-2024 </w:t>
      </w:r>
      <w:r>
        <w:t>l-UPPE pproċessa 6 547 rapport ta’ kriminalità, liema ċifra tirrappreżenta żieda ta’ 56 % meta mqabbla mal-2023, u dan huwa prinċipalment xprunat minn żieda sinifikanti fir-rapporti minn partijiet privati (żieda ta’ 85 %) u minn awtoritajiet nazzjonali (żieda ta’ 12 %) u juri individwar imtejjeb ta’ frodi li taffettwa l-interessi finanzjarji tal-Unjoni fl-Istati Membri parteċipanti u għarfien pubbliku akbar dwar ir-rwol tal-UPPE;</w:t>
      </w:r>
      <w:r>
        <w:rPr>
          <w:b/>
          <w:i/>
        </w:rPr>
        <w:t xml:space="preserve"> </w:t>
      </w:r>
    </w:p>
    <w:p w14:paraId="4E24E4F5" w14:textId="77777777" w:rsidR="00685604" w:rsidRPr="00685604" w:rsidRDefault="00BE2B2B" w:rsidP="00685604">
      <w:pPr>
        <w:pStyle w:val="NormalHanging12a"/>
      </w:pPr>
      <w:r>
        <w:t>3.</w:t>
      </w:r>
      <w:r>
        <w:tab/>
        <w:t xml:space="preserve">Jindika l-għadd dejjem jikber ta’ każijiet relatati mal-frodi transfruntiera tal-VAT, li jammontaw għal aktar minn nofs il-ħsara stmata fil-każijiet tal-UPPE; jinnota, barra minn hekk, żieda sostanzjali fl-investigazzjonijiet relatati mal-implimentazzjoni tal-finanzjament tan-NextGenerationEU (żieda ta’ 25 %); </w:t>
      </w:r>
    </w:p>
    <w:p w14:paraId="787067D6" w14:textId="77777777" w:rsidR="00685604" w:rsidRPr="00685604" w:rsidRDefault="00BE2B2B" w:rsidP="00685604">
      <w:pPr>
        <w:pStyle w:val="NormalHanging12a"/>
      </w:pPr>
      <w:r>
        <w:t xml:space="preserve">4. </w:t>
      </w:r>
      <w:r>
        <w:tab/>
        <w:t>Jenfasizza li l-maġġoranza l-kbira tal-investigazzjonijiet dwar il-frodi u reati oħra kontra l-baġit tal-UE għadhom imfixkla minn leġiżlazzjoni nazzjonali diverġenti u sforzi ta’ infurzar mhux uniformi mill-Istati Membri;</w:t>
      </w:r>
    </w:p>
    <w:p w14:paraId="0B4C7EF9" w14:textId="77777777" w:rsidR="00685604" w:rsidRPr="00685604" w:rsidRDefault="00BE2B2B" w:rsidP="00685604">
      <w:pPr>
        <w:pStyle w:val="NormalHanging12a"/>
        <w:rPr>
          <w:bCs/>
          <w:iCs/>
          <w:szCs w:val="24"/>
        </w:rPr>
      </w:pPr>
      <w:r>
        <w:t>5.</w:t>
      </w:r>
      <w:r>
        <w:tab/>
        <w:t>Jisħaq li l-ammont tax-xogħol tiegħu kien sottovalutat b’mod konsiderevoli fil-qafas baġitarju inizjali, u dan ħalla lill-UPPE strutturalment sottofinanzjat u mingħajr persunal biżżejjed; jissottolinja li l-volum dejjem jikber ta’ investigazzjonijiet ma jistax jiġi ġestit mingħajr persunal u riżorsi proprji adegwati sabiex jiġi żgurat li l-finanzjament ikun akkumpanjat minn mekkaniżmi ta’ obbligu ta’ rendikont aktar b’saħħithom u minn rieżamijiet perjodiċi tal-prestazzjoni u b’hekk jiġi ggarantit l-użu eff</w:t>
      </w:r>
      <w:r>
        <w:t>iċjenti tal-flus tal-kontribwenti tal-UE; jistieden lill-Kummissjoni tinvolvi ruħha mal-UPPE u tipprovdi valutazzjoni aġġornata tal-ħtiġijiet tal-UPPE bil-ħsieb tal-qafas finanzjarju pluriennali li jmiss, li għandu jqis ukoll l-estensjoni tal-kompetenza territorjali tal-UPPE għall-Iżvezja u l-Polonja; ifakkar li l-UPPE huwa wieħed mill-ftit korpi tal-UE li jġibu riżorsi għall-baġit tal-UE fil-kuntest tal-protezzjoni tal-interessi finanzjarji tal-UE;</w:t>
      </w:r>
    </w:p>
    <w:p w14:paraId="10AFBE3F" w14:textId="77777777" w:rsidR="00685604" w:rsidRPr="00685604" w:rsidRDefault="00BE2B2B" w:rsidP="00685604">
      <w:pPr>
        <w:pStyle w:val="NormalHanging12a"/>
        <w:rPr>
          <w:szCs w:val="24"/>
        </w:rPr>
      </w:pPr>
      <w:r>
        <w:t>6.</w:t>
      </w:r>
      <w:r>
        <w:tab/>
        <w:t>Jenfasizza li r-rieżami tal-qafas leġiżlattiv li jirregola lill-Europol, lill-Eurojust, lill-OLAF u lill-UPPE għandu joffri opportunitajiet biex tiġi massimizzata l-effiċjenza fl-insegwiment ta’ objettivi komuni b’mod partikolari fil-ġlieda kontra l-frodi, il-kriminalità finanzjarja, il-korruzzjoni u ħsara kriminali oħra għall-interess finanzjarju tal-UE, filwaqt li tiġi evitata d-duplikazzjoni tal-isforzi; jenfasizza li kooperazzjoni operattiva aktar mill-qrib u kapaċitajiet analitiċi kondiviżi ma’ aġenzi</w:t>
      </w:r>
      <w:r>
        <w:t xml:space="preserve">ji oħra tal-UE bħall-Europol, l-Eurojust u l-OLAF jistgħu jiġġeneraw ekonomiji ta’ skala importanti u jtejbu l-effiċjenza ġenerali; jistieden lill-UPPE jistabbilixxi kooperazzjoni soda ma’ aġenziji oħra li jsegwu objettivi kondiviżi u li joffru potenzjal għoli ta’ </w:t>
      </w:r>
      <w:r>
        <w:lastRenderedPageBreak/>
        <w:t>komplementarjetà; jindika f’dan ir-rigward, b’mod partikolari, l-Awtorità għall-Ġlieda Kontra l-Ħasil tal-Flus (AMLA) li għadha kif ġiet stabbilita u l-Awtorità Doganali Ewropea futura; jisħaq li l-individwar effettiv tal-frodi u tal-kriminalità f</w:t>
      </w:r>
      <w:r>
        <w:t>inanzjarja jiddependi minn kooperazzjoni ġenwina mmexxija mid-data u minn kondiviżjoni ġenwina tal-informazzjoni fost l-atturi kollha fi ħdan l-arkitettura tal-UE kontra l-frodi; jisħaq li din il-kooperazzjoni jeħtieġ li topera f’konformità sħiħa mar-regoli dwar il-protezzjoni tad-data u s-salvagwardji proċedurali;</w:t>
      </w:r>
    </w:p>
    <w:p w14:paraId="41223BAC" w14:textId="77777777" w:rsidR="00685604" w:rsidRPr="00685604" w:rsidRDefault="00BE2B2B" w:rsidP="00685604">
      <w:pPr>
        <w:pStyle w:val="NormalHanging12a"/>
      </w:pPr>
      <w:r>
        <w:t>7.</w:t>
      </w:r>
      <w:r>
        <w:tab/>
        <w:t>Ifakkar fl-impenn tal-Kummissjoni li taċċelera r-rieżami tal-mandat tal-UPPE u jistenna li tali rieżami jwassal għall-estensjoni tal-kompetenza tiegħu; jenfasizza t-talbiet ripetuti tiegħu għall-espansjoni tal-ġuriżdizzjoni tal-UPPE għal oqsma oħra ta’ kriminalità serja, bħall-ksur tas-sanzjonijiet tal-UE; jisħaq, madankollu, li tali espansjoni trid tkun preċeduta minn valutazzjoni tal-impatt sħiħa u minn riżorsi baġitarji u umani suffiċjenti biex tiġi żgurata l-effettività operattiva;</w:t>
      </w:r>
    </w:p>
    <w:p w14:paraId="59580595" w14:textId="77777777" w:rsidR="00685604" w:rsidRPr="00685604" w:rsidRDefault="00BE2B2B" w:rsidP="00685604">
      <w:pPr>
        <w:pStyle w:val="NormalHanging12a"/>
        <w:rPr>
          <w:szCs w:val="24"/>
        </w:rPr>
      </w:pPr>
      <w:r>
        <w:t>8.</w:t>
      </w:r>
      <w:r>
        <w:tab/>
        <w:t xml:space="preserve">Jirrikonoxxi l-ħtieġa li l-UPPE jiżviluppa, b’riżorsi xierqa, sistemi diġitali awtonomi li jgħinuh jindirizza reati finanzjarji transfruntiera dejjem aktar kumplessi, li jkunu aktar sofistikati u li jkunu jinvolvu teknoloġiji diġitali emerġenti; jesprimi tħassib dwar id-dewmien fl-iżvilupp tas-Sistema ta’ Ġestjoni tal-Każijiet tiegħu; jinnota l-ammont importanti ta’ data li l-UPPE jiġbor matul l-investigazzjonijiet b’mod partikolari f’każijiet kumplessi finanzjarji, ta’ kriminalità organizzata u ta’ ħasil </w:t>
      </w:r>
      <w:r>
        <w:t>tal-flus, u li għadu mhux utilizzat biżżejjed minħabba n-nuqqas ta’ kapaċità analitika interna; jilqa’ l-adozzjoni tal-istrateġija dwar iċ-ċibersigurtà u tal-qafas għaċ-ċibersigurtà tal-UPPE, u jappella biex dawn jiġu implimentati malajr u b’mod komprensiv; iħeġġeġ lill-UPPE jagħti prijorità lill-interoperabbiltà u lis-sigurtà tad-data fit-trasformazzjoni diġitali tiegħu, filwaqt li jiżgura l-kompatibbiltà mas-sistemi tal-Europol u tal-Eurojust u fl-istess ħin jipproteġi d-drittijiet fundamentali;</w:t>
      </w:r>
    </w:p>
    <w:p w14:paraId="20DB05A4" w14:textId="77777777" w:rsidR="00685604" w:rsidRPr="00685604" w:rsidRDefault="00BE2B2B" w:rsidP="00685604">
      <w:pPr>
        <w:pStyle w:val="NormalHanging12a"/>
        <w:rPr>
          <w:szCs w:val="24"/>
        </w:rPr>
      </w:pPr>
      <w:r>
        <w:t>9.</w:t>
      </w:r>
      <w:r>
        <w:tab/>
        <w:t>Iħeġġeġ lill-Istati Membri li għadhom ma ngħaqdux mal-UPPE jagħmlu dan mingħajr dewmien, sabiex jiżguraw sistema verament pan-Ewropea ta’ ġustizzja kriminali li tkun kapaċi tipproteġi l-interessi finanzjarji tal-Unjoni u tirrispondi b’mod effettiv għall-kriminalità organizzata u għall-korruzzjoni; jisħaq li l-frammentazzjoni li tirriżulta min-nonparteċipazzjoni timmina l-koerenza u l-effiċjenza tal-arkitettura ġudizzjarja tal-UE, u li l-parteċipazzjoni sħiħa tal-Istati Membri kollha kieku ssaħħaħ b’mod sin</w:t>
      </w:r>
      <w:r>
        <w:t>ifikanti l-kapaċità tal-Unjoni li tindividwa, tinvestiga u ġġib quddiem il-ġustizzja reati serji li jaffettwaw il-baġit tal-UE; ifakkar li l-parteċipazzjoni fl-UPPE tirrappreżenta pedament tal-arkitettura ġudizzjarja u kontra l-frodi komuni tal-Unjoni, filwaqt li tiżgura l-protezzjoni effettiva tal-interessi finanzjarji tal-UE u l-integrità tal-istituzzjonijiet tagħha; jappella biex il-parteċipazzjoni fl-UPPE tkun rekwiżit għall-Istati Membri futuri kollha bħala parti mill-proċess ta’ adeżjoni mal-UE, sabie</w:t>
      </w:r>
      <w:r>
        <w:t>x jiġi żgurat livell uniformi ta’ obbligu ta’ rendikont, ta’ kooperazzjoni ġudizzjarja u ta’ infurzar madwar l-Unjoni;</w:t>
      </w:r>
    </w:p>
    <w:p w14:paraId="0D741642" w14:textId="77777777" w:rsidR="00685604" w:rsidRPr="00685604" w:rsidRDefault="00BE2B2B" w:rsidP="00685604">
      <w:pPr>
        <w:pStyle w:val="NormalHanging12a"/>
      </w:pPr>
      <w:r>
        <w:t>10.</w:t>
      </w:r>
      <w:r>
        <w:tab/>
        <w:t xml:space="preserve">Jisħaq fuq il-ħtieġa ta’ djalogu kontinwu u strutturat mal-Istati Membri li diġà jipparteċipaw fl-UPPE sabiex jiġu indirizzati l-isfidi prattiċi li jiffaċċjaw fil-ġlieda kontra l-ksur tal-istat tad-dritt u l-korruzzjoni; jistieden lill-Kummissjoni Ewropea tappoġġja lil dawn l-Istati Membri fl-implimentazzjoni konkreta tar-rakkomandazzjonijiet li jinsabu fir-Rapporti annwali dwar l-Istat tad-Dritt u tiżgura li t-tagħlimiet meħuda fil-qafas tal-UPPE jikkontribwixxu għal approċċ aktar b’saħħtu u </w:t>
      </w:r>
      <w:r>
        <w:lastRenderedPageBreak/>
        <w:t>koerenti fil-</w:t>
      </w:r>
      <w:r>
        <w:t>livell tal-Unjoni għall-integrità ġudizzjarja u l-obbligu ta’ rendikont.</w:t>
      </w:r>
    </w:p>
    <w:p w14:paraId="3986A5DD" w14:textId="77777777" w:rsidR="00685604" w:rsidRPr="00685604" w:rsidRDefault="00685604" w:rsidP="00685604">
      <w:pPr>
        <w:pStyle w:val="NormalHanging12a"/>
      </w:pPr>
    </w:p>
    <w:p w14:paraId="7D95D87D" w14:textId="77777777" w:rsidR="00685604" w:rsidRPr="00685604" w:rsidRDefault="00685604" w:rsidP="00685604">
      <w:pPr>
        <w:sectPr w:rsidR="00685604" w:rsidRPr="00685604" w:rsidSect="0068560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89F1F01" w14:textId="77777777" w:rsidR="00685604" w:rsidRPr="00685604" w:rsidRDefault="00BE2B2B" w:rsidP="00685604">
      <w:pPr>
        <w:pStyle w:val="PageHeadingNotTOC"/>
      </w:pPr>
      <w:bookmarkStart w:id="0" w:name="FootprintPageAD"/>
      <w:r>
        <w:lastRenderedPageBreak/>
        <w:t>ANNESS: DIKJARAZZJONI TAL-KONTRIBUT</w:t>
      </w:r>
    </w:p>
    <w:p w14:paraId="0B756346" w14:textId="77777777" w:rsidR="00685604" w:rsidRPr="00685604" w:rsidRDefault="00BE2B2B" w:rsidP="00685604">
      <w:pPr>
        <w:pStyle w:val="Normal24a"/>
      </w:pPr>
      <w:r>
        <w:rPr>
          <w:rStyle w:val="HideTWBExt"/>
        </w:rPr>
        <w:t>&lt;FootprintIntro&gt;</w:t>
      </w:r>
      <w:r>
        <w:t>F’konformità mal-Artikolu 8 tal-Anness I tar-Regoli ta’ Proċedura, ir-rapporteur għal opinjoni tiddikjara li fl-opinjoni tagħha inkludiet kontribut dwar kwistjonijiet li għandhom x’jaqsmu mas-suġġett tal-fajl li rċeviet, għat-tħejjija tal-opinjoni, sal-adozzjoni tagħha fil-kumitat, mingħand ir-rappreżentanti ta’ gruppi ta’ interess li jaqgħu fil-kamp ta’ applikazzjoni tal-Ftehim Interistituzzjonali dwar Reġistru Obbligatorju ta’ Trasparenza</w:t>
      </w:r>
      <w:r>
        <w:rPr>
          <w:rStyle w:val="FootnoteReference"/>
        </w:rPr>
        <w:footnoteReference w:id="1"/>
      </w:r>
      <w:r>
        <w:t xml:space="preserve"> li ġejjin, jew mingħand ir-rappreżentanti ta’ awtoritajiet pubbliċi ta’ pajjiżi terzi, inklużi l-missjonijiet diplomatiċi u l-ambaxxati tagħhom, li ġejjin: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C5A1A" w14:paraId="6D0B9DC6" w14:textId="77777777" w:rsidTr="00FB6F13">
        <w:tc>
          <w:tcPr>
            <w:tcW w:w="9050" w:type="dxa"/>
            <w:shd w:val="clear" w:color="auto" w:fill="auto"/>
          </w:tcPr>
          <w:p w14:paraId="316E3C4A" w14:textId="77777777" w:rsidR="00685604" w:rsidRPr="00685604" w:rsidRDefault="00BE2B2B" w:rsidP="00FB6F13">
            <w:pPr>
              <w:pStyle w:val="NormalBoldCenter"/>
            </w:pPr>
            <w:r>
              <w:t>1. Rappreżentanti ta’ gruppi ta’ interess li jaqgħu fil-kamp ta’ applikazzjoni tal-Ftehim Interistituzzjonali dwar Reġistru Obbligatorju ta’ Trasparenza</w:t>
            </w:r>
          </w:p>
        </w:tc>
      </w:tr>
      <w:tr w:rsidR="005C5A1A" w14:paraId="21CE7A5C" w14:textId="77777777" w:rsidTr="00FB6F13">
        <w:tc>
          <w:tcPr>
            <w:tcW w:w="9050" w:type="dxa"/>
            <w:shd w:val="clear" w:color="auto" w:fill="auto"/>
          </w:tcPr>
          <w:p w14:paraId="71B0AC4A" w14:textId="77777777" w:rsidR="00685604" w:rsidRPr="00685604" w:rsidRDefault="00BE2B2B" w:rsidP="00FB6F13">
            <w:pPr>
              <w:pStyle w:val="NormalSingle"/>
            </w:pPr>
            <w:r>
              <w:t xml:space="preserve">Transparency International EU / EU transparency </w:t>
            </w:r>
            <w:r>
              <w:t>register: 501222919-71</w:t>
            </w:r>
          </w:p>
        </w:tc>
      </w:tr>
    </w:tbl>
    <w:p w14:paraId="0938EF6C" w14:textId="77777777" w:rsidR="00685604" w:rsidRPr="00685604" w:rsidRDefault="00BE2B2B" w:rsidP="00685604">
      <w:pPr>
        <w:pStyle w:val="Footprint12b"/>
      </w:pPr>
      <w:r>
        <w:t>Il-lista ta’ hawn fuq hija mfassla taħt ir-responsabbiltà esklużiva tar-rapporteur għal opinjoni.</w:t>
      </w:r>
    </w:p>
    <w:p w14:paraId="6845A719" w14:textId="77777777" w:rsidR="00685604" w:rsidRPr="00685604" w:rsidRDefault="00685604" w:rsidP="00685604"/>
    <w:bookmarkEnd w:id="0"/>
    <w:p w14:paraId="53285202" w14:textId="77777777" w:rsidR="00685604" w:rsidRPr="00685604" w:rsidRDefault="00685604" w:rsidP="00685604"/>
    <w:p w14:paraId="4CDEEE18" w14:textId="77777777" w:rsidR="00685604" w:rsidRPr="00685604" w:rsidRDefault="00685604" w:rsidP="00685604"/>
    <w:p w14:paraId="1F60E09E" w14:textId="77777777" w:rsidR="00685604" w:rsidRPr="00685604" w:rsidRDefault="00685604" w:rsidP="00685604"/>
    <w:p w14:paraId="6295D554" w14:textId="77777777" w:rsidR="00685604" w:rsidRPr="00685604" w:rsidRDefault="00685604" w:rsidP="00685604"/>
    <w:p w14:paraId="2925DFBE" w14:textId="77777777" w:rsidR="00685604" w:rsidRPr="00685604" w:rsidRDefault="00685604" w:rsidP="00685604"/>
    <w:p w14:paraId="2D0548E7" w14:textId="77777777" w:rsidR="00685604" w:rsidRPr="00685604" w:rsidRDefault="00685604" w:rsidP="00685604"/>
    <w:p w14:paraId="3ECA8755" w14:textId="77777777" w:rsidR="00685604" w:rsidRPr="00685604" w:rsidRDefault="00685604" w:rsidP="00685604"/>
    <w:p w14:paraId="7AB6914E" w14:textId="77777777" w:rsidR="00685604" w:rsidRPr="00685604" w:rsidRDefault="00685604" w:rsidP="00685604"/>
    <w:p w14:paraId="48F15DD6" w14:textId="77777777" w:rsidR="00685604" w:rsidRPr="00685604" w:rsidRDefault="00685604" w:rsidP="00685604"/>
    <w:p w14:paraId="6EA9C85C" w14:textId="77777777" w:rsidR="00685604" w:rsidRPr="00685604" w:rsidRDefault="00685604" w:rsidP="00685604"/>
    <w:p w14:paraId="027867AA" w14:textId="77777777" w:rsidR="00685604" w:rsidRPr="00685604" w:rsidRDefault="00685604" w:rsidP="00685604"/>
    <w:p w14:paraId="602D8A25" w14:textId="77777777" w:rsidR="00685604" w:rsidRPr="00685604" w:rsidRDefault="00685604" w:rsidP="00685604"/>
    <w:p w14:paraId="4E199FC9" w14:textId="77777777" w:rsidR="00685604" w:rsidRPr="00685604" w:rsidRDefault="00685604" w:rsidP="00685604"/>
    <w:p w14:paraId="4813B38B" w14:textId="77777777" w:rsidR="00685604" w:rsidRPr="00685604" w:rsidRDefault="00685604" w:rsidP="00685604"/>
    <w:p w14:paraId="36DBA6F3" w14:textId="77777777" w:rsidR="00685604" w:rsidRPr="00685604" w:rsidRDefault="00685604" w:rsidP="00685604"/>
    <w:p w14:paraId="23A08EBF" w14:textId="77777777" w:rsidR="00685604" w:rsidRPr="00685604" w:rsidRDefault="00685604" w:rsidP="00685604"/>
    <w:p w14:paraId="61910063" w14:textId="77777777" w:rsidR="00685604" w:rsidRPr="00685604" w:rsidRDefault="00685604" w:rsidP="00685604"/>
    <w:p w14:paraId="12C8CF5A" w14:textId="77777777" w:rsidR="00685604" w:rsidRPr="00685604" w:rsidRDefault="00685604" w:rsidP="00685604"/>
    <w:p w14:paraId="3CC76D10" w14:textId="77777777" w:rsidR="00685604" w:rsidRPr="00685604" w:rsidRDefault="00685604" w:rsidP="00685604"/>
    <w:p w14:paraId="49AFCF96" w14:textId="77777777" w:rsidR="00685604" w:rsidRPr="00685604" w:rsidRDefault="00685604" w:rsidP="00685604"/>
    <w:p w14:paraId="78BB7FFC" w14:textId="77777777" w:rsidR="002411ED" w:rsidRPr="00685604" w:rsidRDefault="002411ED" w:rsidP="002411ED">
      <w:pPr>
        <w:sectPr w:rsidR="002411ED" w:rsidRPr="00685604" w:rsidSect="00685604">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29E639" w14:textId="77777777" w:rsidR="002411ED" w:rsidRPr="00685604" w:rsidRDefault="00BE2B2B" w:rsidP="002411ED">
      <w:pPr>
        <w:pStyle w:val="PageHeadingNotTOC"/>
      </w:pPr>
      <w:bookmarkStart w:id="1" w:name="ProcPageAD"/>
      <w:r>
        <w:lastRenderedPageBreak/>
        <w:t>INFORMAZZJONI DWAR L-ADOZZJONI</w:t>
      </w:r>
      <w:r>
        <w:br/>
        <w:t>MILL-KUMITAT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5A1A" w14:paraId="20745A3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720653" w14:textId="77777777" w:rsidR="002411ED" w:rsidRPr="00685604" w:rsidRDefault="00BE2B2B">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699463" w14:textId="77777777" w:rsidR="002411ED" w:rsidRPr="00685604" w:rsidRDefault="00BE2B2B">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6E8C15" w14:textId="77777777" w:rsidR="002411ED" w:rsidRPr="00685604" w:rsidRDefault="002411E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00CDAF" w14:textId="77777777" w:rsidR="002411ED" w:rsidRPr="00685604" w:rsidRDefault="002411E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DF7410" w14:textId="77777777" w:rsidR="002411ED" w:rsidRPr="00685604" w:rsidRDefault="002411ED">
            <w:pPr>
              <w:autoSpaceDE w:val="0"/>
              <w:autoSpaceDN w:val="0"/>
              <w:adjustRightInd w:val="0"/>
              <w:rPr>
                <w:rFonts w:ascii="sans-serif" w:hAnsi="sans-serif" w:cs="sans-serif"/>
                <w:color w:val="000000"/>
              </w:rPr>
            </w:pPr>
          </w:p>
        </w:tc>
      </w:tr>
      <w:tr w:rsidR="005C5A1A" w14:paraId="6BA83D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B59FA3" w14:textId="77777777" w:rsidR="002411ED" w:rsidRPr="00685604" w:rsidRDefault="00BE2B2B">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B9F7C6" w14:textId="77777777" w:rsidR="002411ED" w:rsidRPr="00685604" w:rsidRDefault="00BE2B2B">
            <w:pPr>
              <w:autoSpaceDE w:val="0"/>
              <w:autoSpaceDN w:val="0"/>
              <w:adjustRightInd w:val="0"/>
              <w:rPr>
                <w:color w:val="000000"/>
                <w:sz w:val="20"/>
              </w:rPr>
            </w:pPr>
            <w:r>
              <w:rPr>
                <w:color w:val="000000"/>
                <w:sz w:val="20"/>
              </w:rPr>
              <w:t>+:</w:t>
            </w:r>
          </w:p>
          <w:p w14:paraId="3D632C50" w14:textId="77777777" w:rsidR="002411ED" w:rsidRPr="00685604" w:rsidRDefault="00BE2B2B">
            <w:pPr>
              <w:autoSpaceDE w:val="0"/>
              <w:autoSpaceDN w:val="0"/>
              <w:adjustRightInd w:val="0"/>
              <w:rPr>
                <w:color w:val="000000"/>
                <w:sz w:val="20"/>
              </w:rPr>
            </w:pPr>
            <w:r>
              <w:rPr>
                <w:color w:val="000000"/>
                <w:sz w:val="20"/>
              </w:rPr>
              <w:t>–:</w:t>
            </w:r>
          </w:p>
          <w:p w14:paraId="20A7DA8C" w14:textId="77777777" w:rsidR="002411ED" w:rsidRPr="00685604" w:rsidRDefault="00BE2B2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77EC66" w14:textId="77777777" w:rsidR="002411ED" w:rsidRPr="00685604" w:rsidRDefault="00BE2B2B">
            <w:pPr>
              <w:autoSpaceDE w:val="0"/>
              <w:autoSpaceDN w:val="0"/>
              <w:adjustRightInd w:val="0"/>
              <w:rPr>
                <w:color w:val="000000"/>
                <w:sz w:val="20"/>
              </w:rPr>
            </w:pPr>
            <w:r>
              <w:rPr>
                <w:color w:val="000000"/>
                <w:sz w:val="20"/>
              </w:rPr>
              <w:t>52</w:t>
            </w:r>
          </w:p>
          <w:p w14:paraId="2DB4E018" w14:textId="77777777" w:rsidR="002411ED" w:rsidRPr="00685604" w:rsidRDefault="00BE2B2B">
            <w:pPr>
              <w:autoSpaceDE w:val="0"/>
              <w:autoSpaceDN w:val="0"/>
              <w:adjustRightInd w:val="0"/>
              <w:rPr>
                <w:color w:val="000000"/>
                <w:sz w:val="20"/>
              </w:rPr>
            </w:pPr>
            <w:r>
              <w:rPr>
                <w:color w:val="000000"/>
                <w:sz w:val="20"/>
              </w:rPr>
              <w:t>12</w:t>
            </w:r>
          </w:p>
          <w:p w14:paraId="0F05C6CC" w14:textId="77777777" w:rsidR="002411ED" w:rsidRPr="00685604" w:rsidRDefault="00BE2B2B">
            <w:pPr>
              <w:autoSpaceDE w:val="0"/>
              <w:autoSpaceDN w:val="0"/>
              <w:adjustRightInd w:val="0"/>
              <w:rPr>
                <w:color w:val="000000"/>
                <w:sz w:val="20"/>
              </w:rPr>
            </w:pPr>
            <w:r>
              <w:rPr>
                <w:color w:val="000000"/>
                <w:sz w:val="20"/>
              </w:rPr>
              <w:t>7</w:t>
            </w:r>
          </w:p>
        </w:tc>
      </w:tr>
      <w:tr w:rsidR="005C5A1A" w14:paraId="2C88A98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5C8151" w14:textId="77777777" w:rsidR="002411ED" w:rsidRPr="00685604" w:rsidRDefault="00BE2B2B">
            <w:pPr>
              <w:autoSpaceDE w:val="0"/>
              <w:autoSpaceDN w:val="0"/>
              <w:adjustRightInd w:val="0"/>
              <w:rPr>
                <w:b/>
                <w:bCs/>
                <w:color w:val="000000"/>
                <w:sz w:val="20"/>
              </w:rPr>
            </w:pPr>
            <w:r>
              <w:rPr>
                <w:b/>
                <w:color w:val="000000"/>
                <w:sz w:val="20"/>
              </w:rPr>
              <w:t xml:space="preserve">Membri preżenti </w:t>
            </w:r>
            <w:r>
              <w:rPr>
                <w:b/>
                <w:color w:val="000000"/>
                <w:sz w:val="20"/>
              </w:rPr>
              <w:t>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D9E08F" w14:textId="77777777" w:rsidR="002411ED" w:rsidRPr="00685604" w:rsidRDefault="00BE2B2B">
            <w:pPr>
              <w:autoSpaceDE w:val="0"/>
              <w:autoSpaceDN w:val="0"/>
              <w:adjustRightInd w:val="0"/>
              <w:rPr>
                <w:color w:val="000000"/>
                <w:sz w:val="20"/>
              </w:rPr>
            </w:pPr>
            <w:r>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w:t>
            </w:r>
            <w:r>
              <w:rPr>
                <w:color w:val="000000"/>
                <w:sz w:val="20"/>
              </w:rPr>
              <w:t>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Isabel Wiseler-Lima, Ewa Zajączkowska-Hernik, Alessandro Zan, Javier Zarzalejos, Tomáš Zdechovský</w:t>
            </w:r>
          </w:p>
        </w:tc>
      </w:tr>
      <w:tr w:rsidR="005C5A1A" w14:paraId="0747873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1DBDF15" w14:textId="77777777" w:rsidR="002411ED" w:rsidRPr="00685604" w:rsidRDefault="00BE2B2B">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B09EFF6" w14:textId="77777777" w:rsidR="002411ED" w:rsidRPr="00685604" w:rsidRDefault="00BE2B2B">
            <w:pPr>
              <w:autoSpaceDE w:val="0"/>
              <w:autoSpaceDN w:val="0"/>
              <w:adjustRightInd w:val="0"/>
              <w:rPr>
                <w:color w:val="000000"/>
                <w:sz w:val="20"/>
              </w:rPr>
            </w:pPr>
            <w:r>
              <w:rPr>
                <w:color w:val="000000"/>
                <w:sz w:val="20"/>
              </w:rPr>
              <w:t>Katarina Barley, Anna Maria Cisint, Markéta Gregorová, Monika Hohlmeier, Nikola Minchev, Javier Moreno Sánchez, Jan-Christoph Oetjen, Leoluca Orlando, Oliver Schenk, Sebastian Tynkkynen, Alexandre Varaut, Maciej Wąsik</w:t>
            </w:r>
          </w:p>
        </w:tc>
      </w:tr>
      <w:tr w:rsidR="005C5A1A" w14:paraId="404ECE8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E1AEA19" w14:textId="77777777" w:rsidR="002411ED" w:rsidRPr="00685604" w:rsidRDefault="00BE2B2B">
            <w:pPr>
              <w:autoSpaceDE w:val="0"/>
              <w:autoSpaceDN w:val="0"/>
              <w:adjustRightInd w:val="0"/>
              <w:rPr>
                <w:b/>
                <w:bCs/>
                <w:color w:val="000000"/>
                <w:sz w:val="20"/>
              </w:rPr>
            </w:pPr>
            <w:r>
              <w:rPr>
                <w:b/>
                <w:color w:val="000000"/>
                <w:sz w:val="20"/>
              </w:rPr>
              <w:t xml:space="preserve">Membri skont l-Artikolu 216(7) tar-Regoli ta’ Proċedura </w:t>
            </w:r>
            <w:r>
              <w:rPr>
                <w:b/>
                <w:color w:val="000000"/>
                <w:sz w:val="20"/>
              </w:rPr>
              <w:t>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993A5DC" w14:textId="77777777" w:rsidR="002411ED" w:rsidRPr="00685604" w:rsidRDefault="00BE2B2B">
            <w:pPr>
              <w:autoSpaceDE w:val="0"/>
              <w:autoSpaceDN w:val="0"/>
              <w:adjustRightInd w:val="0"/>
              <w:rPr>
                <w:color w:val="000000"/>
                <w:sz w:val="20"/>
              </w:rPr>
            </w:pPr>
            <w:r>
              <w:rPr>
                <w:color w:val="000000"/>
                <w:sz w:val="20"/>
              </w:rPr>
              <w:t>Stefano Cavedagna, José Cepeda, Pietro Fiocchi, Andrey Kovatchev, Marcos Ros Sempere, Michał Szczerba, Catarina Vieira</w:t>
            </w:r>
          </w:p>
        </w:tc>
      </w:tr>
    </w:tbl>
    <w:p w14:paraId="2A55D036" w14:textId="77777777" w:rsidR="002411ED" w:rsidRPr="00685604" w:rsidRDefault="002411ED" w:rsidP="00685604"/>
    <w:bookmarkEnd w:id="1"/>
    <w:p w14:paraId="39215FD0" w14:textId="77777777" w:rsidR="00685604" w:rsidRPr="00685604" w:rsidRDefault="00685604" w:rsidP="002411ED">
      <w:pPr>
        <w:sectPr w:rsidR="00685604" w:rsidRPr="00685604" w:rsidSect="00685604">
          <w:pgSz w:w="11894" w:h="15840"/>
          <w:pgMar w:top="1700" w:right="1417" w:bottom="1417" w:left="1417" w:header="720" w:footer="720" w:gutter="0"/>
          <w:cols w:space="720"/>
          <w:noEndnote/>
          <w:docGrid w:linePitch="326"/>
        </w:sectPr>
      </w:pPr>
    </w:p>
    <w:p w14:paraId="5065913E" w14:textId="77777777" w:rsidR="00685604" w:rsidRPr="00685604" w:rsidRDefault="00BE2B2B" w:rsidP="00C36610">
      <w:pPr>
        <w:pStyle w:val="PageHeadingNotTOC"/>
      </w:pPr>
      <w:bookmarkStart w:id="2" w:name="RollCallPageAD"/>
      <w:r>
        <w:lastRenderedPageBreak/>
        <w:t>VOTAZZJONI FINALI B’SEJĦA TAL-ISMIJIET</w:t>
      </w:r>
      <w:r>
        <w:br/>
        <w:t>MILL-KUMITAT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A1A" w14:paraId="00CB558B" w14:textId="77777777" w:rsidTr="00FB6F13">
        <w:trPr>
          <w:cantSplit/>
        </w:trPr>
        <w:tc>
          <w:tcPr>
            <w:tcW w:w="1701" w:type="dxa"/>
            <w:shd w:val="pct10" w:color="000000" w:fill="FFFFFF"/>
            <w:vAlign w:val="center"/>
          </w:tcPr>
          <w:p w14:paraId="6381D9D4" w14:textId="77777777" w:rsidR="00685604" w:rsidRPr="00685604" w:rsidRDefault="00BE2B2B" w:rsidP="00FB6F13">
            <w:pPr>
              <w:pStyle w:val="RollCallVotes"/>
            </w:pPr>
            <w:r>
              <w:t>52</w:t>
            </w:r>
          </w:p>
        </w:tc>
        <w:tc>
          <w:tcPr>
            <w:tcW w:w="7371" w:type="dxa"/>
            <w:shd w:val="pct10" w:color="000000" w:fill="FFFFFF"/>
          </w:tcPr>
          <w:p w14:paraId="078E7FD9" w14:textId="77777777" w:rsidR="00685604" w:rsidRPr="00685604" w:rsidRDefault="00BE2B2B" w:rsidP="00FB6F13">
            <w:pPr>
              <w:pStyle w:val="RollCallSymbols14pt"/>
            </w:pPr>
            <w:r>
              <w:t>+</w:t>
            </w:r>
          </w:p>
        </w:tc>
      </w:tr>
      <w:tr w:rsidR="005C5A1A" w14:paraId="31A4A808" w14:textId="77777777" w:rsidTr="00FB6F13">
        <w:trPr>
          <w:cantSplit/>
        </w:trPr>
        <w:tc>
          <w:tcPr>
            <w:tcW w:w="1701" w:type="dxa"/>
            <w:shd w:val="clear" w:color="auto" w:fill="FFFFFF"/>
          </w:tcPr>
          <w:p w14:paraId="139D6155" w14:textId="77777777" w:rsidR="00685604" w:rsidRPr="00685604" w:rsidRDefault="00BE2B2B" w:rsidP="00FB6F13">
            <w:pPr>
              <w:pStyle w:val="RollCallTable"/>
            </w:pPr>
            <w:r>
              <w:t>PPE</w:t>
            </w:r>
          </w:p>
        </w:tc>
        <w:tc>
          <w:tcPr>
            <w:tcW w:w="7371" w:type="dxa"/>
            <w:shd w:val="clear" w:color="auto" w:fill="FFFFFF"/>
          </w:tcPr>
          <w:p w14:paraId="17ABB753" w14:textId="77777777" w:rsidR="00685604" w:rsidRPr="00685604" w:rsidRDefault="00BE2B2B" w:rsidP="00FB6F13">
            <w:pPr>
              <w:pStyle w:val="RollCallTable"/>
            </w:pPr>
            <w:r>
              <w:t xml:space="preserve">Magdalena Adamowicz, François-Xavier Bellamy, Ioan-Rareş Bogdan, Caterina Chinnici, Lena Düpont, Monika Hohlmeier, Andrey Kovatchev, Jeroen Lenaers, Lukas Mandl, Verena Mertens, Nadine Morano, Ana Miguel Pedro, Oliver Schenk, Michał </w:t>
            </w:r>
            <w:r>
              <w:t>Szczerba, Alice Teodorescu Måwe, Tomas Tobé, Isabel Wiseler-Lima, Javier Zarzalejos, Tomáš Zdechovský</w:t>
            </w:r>
          </w:p>
        </w:tc>
      </w:tr>
      <w:tr w:rsidR="005C5A1A" w14:paraId="12EE6E32" w14:textId="77777777" w:rsidTr="00FB6F13">
        <w:trPr>
          <w:cantSplit/>
        </w:trPr>
        <w:tc>
          <w:tcPr>
            <w:tcW w:w="1701" w:type="dxa"/>
            <w:shd w:val="clear" w:color="auto" w:fill="FFFFFF"/>
          </w:tcPr>
          <w:p w14:paraId="14CF17EF" w14:textId="77777777" w:rsidR="00685604" w:rsidRPr="00685604" w:rsidRDefault="00BE2B2B" w:rsidP="00FB6F13">
            <w:pPr>
              <w:pStyle w:val="RollCallTable"/>
            </w:pPr>
            <w:r>
              <w:t>PfE</w:t>
            </w:r>
          </w:p>
        </w:tc>
        <w:tc>
          <w:tcPr>
            <w:tcW w:w="7371" w:type="dxa"/>
            <w:shd w:val="clear" w:color="auto" w:fill="FFFFFF"/>
          </w:tcPr>
          <w:p w14:paraId="67D5DF8F" w14:textId="77777777" w:rsidR="00685604" w:rsidRPr="00685604" w:rsidRDefault="00BE2B2B" w:rsidP="00FB6F13">
            <w:pPr>
              <w:pStyle w:val="RollCallTable"/>
            </w:pPr>
            <w:r>
              <w:t>Jaroslav Bžoch</w:t>
            </w:r>
          </w:p>
        </w:tc>
      </w:tr>
      <w:tr w:rsidR="005C5A1A" w14:paraId="1AF75469" w14:textId="77777777" w:rsidTr="00FB6F13">
        <w:trPr>
          <w:cantSplit/>
        </w:trPr>
        <w:tc>
          <w:tcPr>
            <w:tcW w:w="1701" w:type="dxa"/>
            <w:shd w:val="clear" w:color="auto" w:fill="FFFFFF"/>
          </w:tcPr>
          <w:p w14:paraId="60062BE9" w14:textId="77777777" w:rsidR="00685604" w:rsidRPr="00685604" w:rsidRDefault="00BE2B2B" w:rsidP="00FB6F13">
            <w:pPr>
              <w:pStyle w:val="RollCallTable"/>
            </w:pPr>
            <w:r>
              <w:t>Renew</w:t>
            </w:r>
          </w:p>
        </w:tc>
        <w:tc>
          <w:tcPr>
            <w:tcW w:w="7371" w:type="dxa"/>
            <w:shd w:val="clear" w:color="auto" w:fill="FFFFFF"/>
          </w:tcPr>
          <w:p w14:paraId="67CF68E0" w14:textId="77777777" w:rsidR="00685604" w:rsidRPr="00685604" w:rsidRDefault="00BE2B2B" w:rsidP="00FB6F13">
            <w:pPr>
              <w:pStyle w:val="RollCallTable"/>
            </w:pPr>
            <w:r>
              <w:t xml:space="preserve">Abir Al-Sahlani, Veronika Cifrová Ostrihoňová, Raquel García Hermida-Van Der Walle, Irena Joveva, Fabienne Keller, </w:t>
            </w:r>
            <w:r>
              <w:t>Michael McNamara, Nikola Minchev, Jan-Christoph Oetjen</w:t>
            </w:r>
          </w:p>
        </w:tc>
      </w:tr>
      <w:tr w:rsidR="005C5A1A" w14:paraId="7C67FD7F" w14:textId="77777777" w:rsidTr="00FB6F13">
        <w:trPr>
          <w:cantSplit/>
        </w:trPr>
        <w:tc>
          <w:tcPr>
            <w:tcW w:w="1701" w:type="dxa"/>
            <w:shd w:val="clear" w:color="auto" w:fill="FFFFFF"/>
          </w:tcPr>
          <w:p w14:paraId="1D6DFD5D" w14:textId="77777777" w:rsidR="00685604" w:rsidRPr="00685604" w:rsidRDefault="00BE2B2B" w:rsidP="00FB6F13">
            <w:pPr>
              <w:pStyle w:val="RollCallTable"/>
            </w:pPr>
            <w:r>
              <w:t>S&amp;D</w:t>
            </w:r>
          </w:p>
        </w:tc>
        <w:tc>
          <w:tcPr>
            <w:tcW w:w="7371" w:type="dxa"/>
            <w:shd w:val="clear" w:color="auto" w:fill="FFFFFF"/>
          </w:tcPr>
          <w:p w14:paraId="1F9D9BA0" w14:textId="77777777" w:rsidR="00685604" w:rsidRPr="00685604" w:rsidRDefault="00BE2B2B" w:rsidP="00FB6F13">
            <w:pPr>
              <w:pStyle w:val="RollCallTable"/>
            </w:pPr>
            <w:r>
              <w:t>Katarina Barley, José Cepeda, Marina Kaljurand, Murielle Laurent, Ana Catarina Mendes, Javier Moreno Sánchez, Matjaž Nemec, Marcos Ros Sempere, Birgit Sippel, Krzysztof Śmiszek, Cecilia Strada, Kristian Vigenin, Alessandro Zan</w:t>
            </w:r>
          </w:p>
        </w:tc>
      </w:tr>
      <w:tr w:rsidR="005C5A1A" w14:paraId="1414FCC9" w14:textId="77777777" w:rsidTr="00FB6F13">
        <w:trPr>
          <w:cantSplit/>
        </w:trPr>
        <w:tc>
          <w:tcPr>
            <w:tcW w:w="1701" w:type="dxa"/>
            <w:shd w:val="clear" w:color="auto" w:fill="FFFFFF"/>
          </w:tcPr>
          <w:p w14:paraId="3C74F011" w14:textId="77777777" w:rsidR="00685604" w:rsidRPr="00685604" w:rsidRDefault="00BE2B2B" w:rsidP="00FB6F13">
            <w:pPr>
              <w:pStyle w:val="RollCallTable"/>
            </w:pPr>
            <w:r>
              <w:t>The Left</w:t>
            </w:r>
          </w:p>
        </w:tc>
        <w:tc>
          <w:tcPr>
            <w:tcW w:w="7371" w:type="dxa"/>
            <w:shd w:val="clear" w:color="auto" w:fill="FFFFFF"/>
          </w:tcPr>
          <w:p w14:paraId="6D2A8AA0" w14:textId="77777777" w:rsidR="00685604" w:rsidRPr="00685604" w:rsidRDefault="00BE2B2B" w:rsidP="00FB6F13">
            <w:pPr>
              <w:pStyle w:val="RollCallTable"/>
            </w:pPr>
            <w:r>
              <w:t>Giuseppe Antoci, Pernando Barrena Arza, Damien Carême, Estrella Galán, Ilaria Salis</w:t>
            </w:r>
          </w:p>
        </w:tc>
      </w:tr>
      <w:tr w:rsidR="005C5A1A" w14:paraId="720157A8" w14:textId="77777777" w:rsidTr="00FB6F13">
        <w:trPr>
          <w:cantSplit/>
        </w:trPr>
        <w:tc>
          <w:tcPr>
            <w:tcW w:w="1701" w:type="dxa"/>
            <w:shd w:val="clear" w:color="auto" w:fill="FFFFFF"/>
          </w:tcPr>
          <w:p w14:paraId="04326ACA" w14:textId="77777777" w:rsidR="00685604" w:rsidRPr="00685604" w:rsidRDefault="00BE2B2B" w:rsidP="00FB6F13">
            <w:pPr>
              <w:pStyle w:val="RollCallTable"/>
            </w:pPr>
            <w:r>
              <w:t>Verts/ALE</w:t>
            </w:r>
          </w:p>
        </w:tc>
        <w:tc>
          <w:tcPr>
            <w:tcW w:w="7371" w:type="dxa"/>
            <w:shd w:val="clear" w:color="auto" w:fill="FFFFFF"/>
          </w:tcPr>
          <w:p w14:paraId="1D376A9A" w14:textId="77777777" w:rsidR="00685604" w:rsidRPr="00685604" w:rsidRDefault="00BE2B2B" w:rsidP="00FB6F13">
            <w:pPr>
              <w:pStyle w:val="RollCallTable"/>
            </w:pPr>
            <w:r>
              <w:t>Jaume Asens Llodrà, Saskia Bricmont, Markéta Gregorová, Alice Kuhnke, Leoluca Orlando, Catarina Vieira</w:t>
            </w:r>
          </w:p>
        </w:tc>
      </w:tr>
    </w:tbl>
    <w:p w14:paraId="388CAD56" w14:textId="77777777" w:rsidR="00685604" w:rsidRPr="00685604" w:rsidRDefault="00685604" w:rsidP="006856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A1A" w14:paraId="26CB8BFB" w14:textId="77777777" w:rsidTr="00FB6F13">
        <w:trPr>
          <w:cantSplit/>
        </w:trPr>
        <w:tc>
          <w:tcPr>
            <w:tcW w:w="1701" w:type="dxa"/>
            <w:shd w:val="pct10" w:color="000000" w:fill="FFFFFF"/>
            <w:vAlign w:val="center"/>
          </w:tcPr>
          <w:p w14:paraId="07E285E7" w14:textId="77777777" w:rsidR="00685604" w:rsidRPr="00685604" w:rsidRDefault="00BE2B2B" w:rsidP="00FB6F13">
            <w:pPr>
              <w:pStyle w:val="RollCallVotes"/>
            </w:pPr>
            <w:r>
              <w:t>12</w:t>
            </w:r>
          </w:p>
        </w:tc>
        <w:tc>
          <w:tcPr>
            <w:tcW w:w="7371" w:type="dxa"/>
            <w:shd w:val="pct10" w:color="000000" w:fill="FFFFFF"/>
          </w:tcPr>
          <w:p w14:paraId="1837913D" w14:textId="77777777" w:rsidR="00685604" w:rsidRPr="00685604" w:rsidRDefault="00BE2B2B" w:rsidP="00FB6F13">
            <w:pPr>
              <w:pStyle w:val="RollCallSymbols14pt"/>
            </w:pPr>
            <w:r>
              <w:t>-</w:t>
            </w:r>
          </w:p>
        </w:tc>
      </w:tr>
      <w:tr w:rsidR="005C5A1A" w14:paraId="5155DEA7" w14:textId="77777777" w:rsidTr="00FB6F13">
        <w:trPr>
          <w:cantSplit/>
        </w:trPr>
        <w:tc>
          <w:tcPr>
            <w:tcW w:w="1701" w:type="dxa"/>
            <w:shd w:val="clear" w:color="auto" w:fill="FFFFFF"/>
          </w:tcPr>
          <w:p w14:paraId="69C5E636" w14:textId="77777777" w:rsidR="00685604" w:rsidRPr="00685604" w:rsidRDefault="00BE2B2B" w:rsidP="00FB6F13">
            <w:pPr>
              <w:pStyle w:val="RollCallTable"/>
            </w:pPr>
            <w:r>
              <w:t>ESN</w:t>
            </w:r>
          </w:p>
        </w:tc>
        <w:tc>
          <w:tcPr>
            <w:tcW w:w="7371" w:type="dxa"/>
            <w:shd w:val="clear" w:color="auto" w:fill="FFFFFF"/>
          </w:tcPr>
          <w:p w14:paraId="681D9123" w14:textId="77777777" w:rsidR="00685604" w:rsidRPr="00685604" w:rsidRDefault="00BE2B2B" w:rsidP="00FB6F13">
            <w:pPr>
              <w:pStyle w:val="RollCallTable"/>
            </w:pPr>
            <w:r>
              <w:t>Mary Khan, Milan Uhrík, Ewa Zajączkowska-Hernik</w:t>
            </w:r>
          </w:p>
        </w:tc>
      </w:tr>
      <w:tr w:rsidR="005C5A1A" w14:paraId="3C17FB4D" w14:textId="77777777" w:rsidTr="00FB6F13">
        <w:trPr>
          <w:cantSplit/>
        </w:trPr>
        <w:tc>
          <w:tcPr>
            <w:tcW w:w="1701" w:type="dxa"/>
            <w:shd w:val="clear" w:color="auto" w:fill="FFFFFF"/>
          </w:tcPr>
          <w:p w14:paraId="664B9EEE" w14:textId="77777777" w:rsidR="00685604" w:rsidRPr="00685604" w:rsidRDefault="00BE2B2B" w:rsidP="00FB6F13">
            <w:pPr>
              <w:pStyle w:val="RollCallTable"/>
            </w:pPr>
            <w:r>
              <w:t>NI</w:t>
            </w:r>
          </w:p>
        </w:tc>
        <w:tc>
          <w:tcPr>
            <w:tcW w:w="7371" w:type="dxa"/>
            <w:shd w:val="clear" w:color="auto" w:fill="FFFFFF"/>
          </w:tcPr>
          <w:p w14:paraId="7E1D10BC" w14:textId="77777777" w:rsidR="00685604" w:rsidRPr="00685604" w:rsidRDefault="00BE2B2B" w:rsidP="00FB6F13">
            <w:pPr>
              <w:pStyle w:val="RollCallTable"/>
            </w:pPr>
            <w:r>
              <w:t>Erik Kaliňák</w:t>
            </w:r>
          </w:p>
        </w:tc>
      </w:tr>
      <w:tr w:rsidR="005C5A1A" w14:paraId="16EA90E6" w14:textId="77777777" w:rsidTr="00FB6F13">
        <w:trPr>
          <w:cantSplit/>
        </w:trPr>
        <w:tc>
          <w:tcPr>
            <w:tcW w:w="1701" w:type="dxa"/>
            <w:shd w:val="clear" w:color="auto" w:fill="FFFFFF"/>
          </w:tcPr>
          <w:p w14:paraId="7F108E50" w14:textId="77777777" w:rsidR="00685604" w:rsidRPr="00685604" w:rsidRDefault="00BE2B2B" w:rsidP="00FB6F13">
            <w:pPr>
              <w:pStyle w:val="RollCallTable"/>
            </w:pPr>
            <w:r>
              <w:t>PfE</w:t>
            </w:r>
          </w:p>
        </w:tc>
        <w:tc>
          <w:tcPr>
            <w:tcW w:w="7371" w:type="dxa"/>
            <w:shd w:val="clear" w:color="auto" w:fill="FFFFFF"/>
          </w:tcPr>
          <w:p w14:paraId="39308EFF" w14:textId="77777777" w:rsidR="00685604" w:rsidRPr="00685604" w:rsidRDefault="00BE2B2B" w:rsidP="00FB6F13">
            <w:pPr>
              <w:pStyle w:val="RollCallTable"/>
            </w:pPr>
            <w:r>
              <w:t>Nikola Bartůšek, Susanna Ceccardi, Anna Maria Cisint, Marieke Ehlers, Fabrice Leggeri, Petra Steger, Tom Vandendriessche, Alexandre Varaut</w:t>
            </w:r>
          </w:p>
        </w:tc>
      </w:tr>
    </w:tbl>
    <w:p w14:paraId="3FC58D3D" w14:textId="77777777" w:rsidR="00685604" w:rsidRPr="00685604" w:rsidRDefault="00685604" w:rsidP="006856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A1A" w14:paraId="462F0407" w14:textId="77777777" w:rsidTr="00FB6F13">
        <w:trPr>
          <w:cantSplit/>
        </w:trPr>
        <w:tc>
          <w:tcPr>
            <w:tcW w:w="1701" w:type="dxa"/>
            <w:shd w:val="pct10" w:color="000000" w:fill="FFFFFF"/>
            <w:vAlign w:val="center"/>
          </w:tcPr>
          <w:p w14:paraId="18C83428" w14:textId="77777777" w:rsidR="00685604" w:rsidRPr="00685604" w:rsidRDefault="00BE2B2B" w:rsidP="00FB6F13">
            <w:pPr>
              <w:pStyle w:val="RollCallVotes"/>
            </w:pPr>
            <w:r>
              <w:t>7</w:t>
            </w:r>
          </w:p>
        </w:tc>
        <w:tc>
          <w:tcPr>
            <w:tcW w:w="7371" w:type="dxa"/>
            <w:shd w:val="pct10" w:color="000000" w:fill="FFFFFF"/>
          </w:tcPr>
          <w:p w14:paraId="53859196" w14:textId="77777777" w:rsidR="00685604" w:rsidRPr="00685604" w:rsidRDefault="00BE2B2B" w:rsidP="00FB6F13">
            <w:pPr>
              <w:pStyle w:val="RollCallSymbols14pt"/>
            </w:pPr>
            <w:r>
              <w:t>0</w:t>
            </w:r>
          </w:p>
        </w:tc>
      </w:tr>
      <w:tr w:rsidR="005C5A1A" w14:paraId="79ECF18F" w14:textId="77777777" w:rsidTr="00FB6F13">
        <w:trPr>
          <w:cantSplit/>
        </w:trPr>
        <w:tc>
          <w:tcPr>
            <w:tcW w:w="1701" w:type="dxa"/>
            <w:shd w:val="clear" w:color="auto" w:fill="FFFFFF"/>
          </w:tcPr>
          <w:p w14:paraId="14BA66E6" w14:textId="77777777" w:rsidR="00685604" w:rsidRPr="00685604" w:rsidRDefault="00BE2B2B" w:rsidP="00FB6F13">
            <w:pPr>
              <w:pStyle w:val="RollCallTable"/>
            </w:pPr>
            <w:r>
              <w:t>ECR</w:t>
            </w:r>
          </w:p>
        </w:tc>
        <w:tc>
          <w:tcPr>
            <w:tcW w:w="7371" w:type="dxa"/>
            <w:shd w:val="clear" w:color="auto" w:fill="FFFFFF"/>
          </w:tcPr>
          <w:p w14:paraId="4E0A3DAD" w14:textId="77777777" w:rsidR="00685604" w:rsidRPr="00685604" w:rsidRDefault="00BE2B2B" w:rsidP="00FB6F13">
            <w:pPr>
              <w:pStyle w:val="RollCallTable"/>
            </w:pPr>
            <w:r>
              <w:t xml:space="preserve">Stefano Cavedagna, </w:t>
            </w:r>
            <w:r>
              <w:t>Alessandro Ciriani, Pietro Fiocchi, Paolo Inselvini, Mariusz Kamiński, Sebastian Tynkkynen, Maciej Wąsik</w:t>
            </w:r>
          </w:p>
        </w:tc>
      </w:tr>
    </w:tbl>
    <w:p w14:paraId="11FBE161" w14:textId="77777777" w:rsidR="00685604" w:rsidRPr="00685604" w:rsidRDefault="00685604" w:rsidP="00147FBF">
      <w:pPr>
        <w:pStyle w:val="Normal12a"/>
      </w:pPr>
    </w:p>
    <w:p w14:paraId="07020568" w14:textId="77777777" w:rsidR="00685604" w:rsidRPr="00685604" w:rsidRDefault="00BE2B2B" w:rsidP="00B735E3">
      <w:r>
        <w:t>Tifsira tas-simboli użati:</w:t>
      </w:r>
    </w:p>
    <w:p w14:paraId="73961EFA" w14:textId="77777777" w:rsidR="00685604" w:rsidRPr="00685604" w:rsidRDefault="00BE2B2B" w:rsidP="003858C5">
      <w:pPr>
        <w:pStyle w:val="RollCallTabs"/>
      </w:pPr>
      <w:r>
        <w:t>+</w:t>
      </w:r>
      <w:r>
        <w:tab/>
        <w:t>:</w:t>
      </w:r>
      <w:r>
        <w:tab/>
        <w:t>favur</w:t>
      </w:r>
    </w:p>
    <w:p w14:paraId="612F3F80" w14:textId="77777777" w:rsidR="00685604" w:rsidRPr="00685604" w:rsidRDefault="00BE2B2B" w:rsidP="003858C5">
      <w:pPr>
        <w:pStyle w:val="RollCallTabs"/>
      </w:pPr>
      <w:r>
        <w:t>-</w:t>
      </w:r>
      <w:r>
        <w:tab/>
        <w:t>:</w:t>
      </w:r>
      <w:r>
        <w:tab/>
        <w:t>kontra</w:t>
      </w:r>
    </w:p>
    <w:p w14:paraId="6CA3F3E1" w14:textId="77777777" w:rsidR="00685604" w:rsidRPr="00685604" w:rsidRDefault="00BE2B2B" w:rsidP="003858C5">
      <w:pPr>
        <w:pStyle w:val="RollCallTabs"/>
      </w:pPr>
      <w:r>
        <w:t>0</w:t>
      </w:r>
      <w:r>
        <w:tab/>
        <w:t>:</w:t>
      </w:r>
      <w:r>
        <w:tab/>
        <w:t>astensjoni</w:t>
      </w:r>
    </w:p>
    <w:p w14:paraId="68CFEB88" w14:textId="77777777" w:rsidR="00685604" w:rsidRPr="00685604" w:rsidRDefault="00685604" w:rsidP="00207509"/>
    <w:bookmarkEnd w:id="2"/>
    <w:p w14:paraId="0B8BB6B9" w14:textId="77777777" w:rsidR="002411ED" w:rsidRPr="00685604" w:rsidRDefault="002411ED" w:rsidP="002411ED"/>
    <w:sectPr w:rsidR="002411ED" w:rsidRPr="00685604" w:rsidSect="0068560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80938" w14:textId="77777777" w:rsidR="00BE2B2B" w:rsidRDefault="00BE2B2B">
      <w:r>
        <w:separator/>
      </w:r>
    </w:p>
  </w:endnote>
  <w:endnote w:type="continuationSeparator" w:id="0">
    <w:p w14:paraId="6AEF9103" w14:textId="77777777" w:rsidR="00BE2B2B" w:rsidRDefault="00BE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F788" w14:textId="77777777" w:rsidR="00685604" w:rsidRPr="00685604" w:rsidRDefault="00BE2B2B" w:rsidP="00685604">
    <w:pPr>
      <w:pStyle w:val="EPFooter"/>
    </w:pPr>
    <w:r w:rsidRPr="00685604">
      <w:t>PE</w:t>
    </w:r>
    <w:r w:rsidRPr="00685604">
      <w:rPr>
        <w:rStyle w:val="HideTWBExt"/>
      </w:rPr>
      <w:t>&lt;NoPE&gt;</w:t>
    </w:r>
    <w:r w:rsidRPr="00685604">
      <w:t>778.328</w:t>
    </w:r>
    <w:r w:rsidRPr="00685604">
      <w:rPr>
        <w:rStyle w:val="HideTWBExt"/>
      </w:rPr>
      <w:t>&lt;/NoPE&gt;&lt;Version&gt;</w:t>
    </w:r>
    <w:r w:rsidRPr="00685604">
      <w:t>v02-00</w:t>
    </w:r>
    <w:r w:rsidRPr="00685604">
      <w:rPr>
        <w:rStyle w:val="HideTWBExt"/>
      </w:rPr>
      <w:t>&lt;/Version&gt;</w:t>
    </w:r>
    <w:r w:rsidRPr="00685604">
      <w:tab/>
    </w:r>
    <w:r w:rsidRPr="00685604">
      <w:fldChar w:fldCharType="begin"/>
    </w:r>
    <w:r w:rsidRPr="00685604">
      <w:instrText xml:space="preserve"> PAGE  \* MERGEFORMAT </w:instrText>
    </w:r>
    <w:r w:rsidRPr="00685604">
      <w:fldChar w:fldCharType="separate"/>
    </w:r>
    <w:r w:rsidRPr="00685604">
      <w:rPr>
        <w:noProof/>
      </w:rPr>
      <w:t>6</w:t>
    </w:r>
    <w:r w:rsidRPr="00685604">
      <w:fldChar w:fldCharType="end"/>
    </w:r>
    <w:r w:rsidRPr="00685604">
      <w:t>/</w:t>
    </w:r>
    <w:r w:rsidRPr="00685604">
      <w:fldChar w:fldCharType="begin"/>
    </w:r>
    <w:r>
      <w:instrText xml:space="preserve"> NUMPAGES  \* MERGEFORMAT </w:instrText>
    </w:r>
    <w:r w:rsidRPr="00685604">
      <w:fldChar w:fldCharType="separate"/>
    </w:r>
    <w:r w:rsidRPr="00685604">
      <w:rPr>
        <w:noProof/>
      </w:rPr>
      <w:t>7</w:t>
    </w:r>
    <w:r w:rsidRPr="00685604">
      <w:rPr>
        <w:noProof/>
      </w:rPr>
      <w:fldChar w:fldCharType="end"/>
    </w:r>
    <w:r w:rsidRPr="00685604">
      <w:tab/>
    </w:r>
    <w:r w:rsidRPr="00685604">
      <w:rPr>
        <w:rStyle w:val="HideTWBExt"/>
      </w:rPr>
      <w:t>&lt;PathFdR&gt;</w:t>
    </w:r>
    <w:r w:rsidRPr="00685604">
      <w:t>AD\1333300MT.docx</w:t>
    </w:r>
    <w:r w:rsidRPr="00685604">
      <w:rPr>
        <w:rStyle w:val="HideTWBExt"/>
      </w:rPr>
      <w:t>&lt;/PathFdR&gt;</w:t>
    </w:r>
  </w:p>
  <w:p w14:paraId="103BD189" w14:textId="77777777" w:rsidR="00685604" w:rsidRPr="00685604" w:rsidRDefault="00BE2B2B" w:rsidP="00685604">
    <w:pPr>
      <w:pStyle w:val="EPFooter2"/>
    </w:pPr>
    <w:r w:rsidRPr="00685604">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FC46A" w14:textId="77777777" w:rsidR="00685604" w:rsidRPr="00685604" w:rsidRDefault="00BE2B2B" w:rsidP="00685604">
    <w:pPr>
      <w:pStyle w:val="EPFooter"/>
    </w:pPr>
    <w:r w:rsidRPr="00685604">
      <w:rPr>
        <w:rStyle w:val="HideTWBExt"/>
      </w:rPr>
      <w:t>&lt;PathFdR&gt;</w:t>
    </w:r>
    <w:r w:rsidRPr="00685604">
      <w:t>AD\1333300MT.docx</w:t>
    </w:r>
    <w:r w:rsidRPr="00685604">
      <w:rPr>
        <w:rStyle w:val="HideTWBExt"/>
      </w:rPr>
      <w:t>&lt;/PathFdR&gt;</w:t>
    </w:r>
    <w:r w:rsidRPr="00685604">
      <w:tab/>
    </w:r>
    <w:r w:rsidRPr="00685604">
      <w:fldChar w:fldCharType="begin"/>
    </w:r>
    <w:r w:rsidRPr="00685604">
      <w:instrText xml:space="preserve"> PAGE  \* MERGEFORMAT </w:instrText>
    </w:r>
    <w:r w:rsidRPr="00685604">
      <w:fldChar w:fldCharType="separate"/>
    </w:r>
    <w:r w:rsidRPr="00685604">
      <w:rPr>
        <w:noProof/>
      </w:rPr>
      <w:t>7</w:t>
    </w:r>
    <w:r w:rsidRPr="00685604">
      <w:fldChar w:fldCharType="end"/>
    </w:r>
    <w:r w:rsidRPr="00685604">
      <w:t>/</w:t>
    </w:r>
    <w:r w:rsidRPr="00685604">
      <w:fldChar w:fldCharType="begin"/>
    </w:r>
    <w:r>
      <w:instrText xml:space="preserve"> NUMPAGES  \* MERGEFORMAT </w:instrText>
    </w:r>
    <w:r w:rsidRPr="00685604">
      <w:fldChar w:fldCharType="separate"/>
    </w:r>
    <w:r w:rsidRPr="00685604">
      <w:rPr>
        <w:noProof/>
      </w:rPr>
      <w:t>8</w:t>
    </w:r>
    <w:r w:rsidRPr="00685604">
      <w:rPr>
        <w:noProof/>
      </w:rPr>
      <w:fldChar w:fldCharType="end"/>
    </w:r>
    <w:r w:rsidRPr="00685604">
      <w:tab/>
      <w:t>PE</w:t>
    </w:r>
    <w:r w:rsidRPr="00685604">
      <w:rPr>
        <w:rStyle w:val="HideTWBExt"/>
      </w:rPr>
      <w:t>&lt;NoPE&gt;</w:t>
    </w:r>
    <w:r w:rsidRPr="00685604">
      <w:t>778.328</w:t>
    </w:r>
    <w:r w:rsidRPr="00685604">
      <w:rPr>
        <w:rStyle w:val="HideTWBExt"/>
      </w:rPr>
      <w:t>&lt;/NoPE&gt;&lt;Version&gt;</w:t>
    </w:r>
    <w:r w:rsidRPr="00685604">
      <w:t>v02-00</w:t>
    </w:r>
    <w:r w:rsidRPr="00685604">
      <w:rPr>
        <w:rStyle w:val="HideTWBExt"/>
      </w:rPr>
      <w:t>&lt;/Version&gt;</w:t>
    </w:r>
  </w:p>
  <w:p w14:paraId="1B4EFBAA" w14:textId="77777777" w:rsidR="00685604" w:rsidRPr="00685604" w:rsidRDefault="00BE2B2B" w:rsidP="00685604">
    <w:pPr>
      <w:pStyle w:val="EPFooter2"/>
    </w:pPr>
    <w:r w:rsidRPr="00685604">
      <w:tab/>
    </w:r>
    <w:r w:rsidRPr="00685604">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95F14" w14:textId="77777777" w:rsidR="00685604" w:rsidRPr="00685604" w:rsidRDefault="00BE2B2B" w:rsidP="00685604">
    <w:pPr>
      <w:pStyle w:val="EPFooter"/>
    </w:pPr>
    <w:r w:rsidRPr="00685604">
      <w:rPr>
        <w:rStyle w:val="HideTWBExt"/>
      </w:rPr>
      <w:t>&lt;PathFdR&gt;</w:t>
    </w:r>
    <w:r w:rsidRPr="00685604">
      <w:t>AD\1333300MT.docx</w:t>
    </w:r>
    <w:r w:rsidRPr="00685604">
      <w:rPr>
        <w:rStyle w:val="HideTWBExt"/>
      </w:rPr>
      <w:t>&lt;/PathFdR&gt;</w:t>
    </w:r>
    <w:r w:rsidRPr="00685604">
      <w:tab/>
    </w:r>
    <w:r w:rsidRPr="00685604">
      <w:tab/>
      <w:t>PE</w:t>
    </w:r>
    <w:r w:rsidRPr="00685604">
      <w:rPr>
        <w:rStyle w:val="HideTWBExt"/>
      </w:rPr>
      <w:t>&lt;NoPE&gt;</w:t>
    </w:r>
    <w:r w:rsidRPr="00685604">
      <w:t>778.328</w:t>
    </w:r>
    <w:r w:rsidRPr="00685604">
      <w:rPr>
        <w:rStyle w:val="HideTWBExt"/>
      </w:rPr>
      <w:t>&lt;/NoPE&gt;&lt;Version&gt;</w:t>
    </w:r>
    <w:r w:rsidRPr="00685604">
      <w:t>v02-00</w:t>
    </w:r>
    <w:r w:rsidRPr="00685604">
      <w:rPr>
        <w:rStyle w:val="HideTWBExt"/>
      </w:rPr>
      <w:t>&lt;/Version&gt;</w:t>
    </w:r>
  </w:p>
  <w:p w14:paraId="47C14A46" w14:textId="77777777" w:rsidR="00685604" w:rsidRPr="00685604" w:rsidRDefault="00BE2B2B" w:rsidP="00685604">
    <w:pPr>
      <w:pStyle w:val="EPFooter2"/>
    </w:pPr>
    <w:r w:rsidRPr="00685604">
      <w:t>MT</w:t>
    </w:r>
    <w:r w:rsidRPr="00685604">
      <w:tab/>
    </w:r>
    <w:r w:rsidRPr="00685604">
      <w:rPr>
        <w:b w:val="0"/>
        <w:i/>
        <w:color w:val="C0C0C0"/>
        <w:sz w:val="22"/>
      </w:rPr>
      <w:t>Magħquda fid-diversità</w:t>
    </w:r>
    <w:r w:rsidRPr="00685604">
      <w:tab/>
      <w:t>MT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B564" w14:textId="77777777" w:rsidR="002411ED" w:rsidRPr="00685604" w:rsidRDefault="00BE2B2B" w:rsidP="002411ED">
    <w:pPr>
      <w:pStyle w:val="EPFooter"/>
    </w:pPr>
    <w:r w:rsidRPr="00685604">
      <w:rPr>
        <w:rStyle w:val="HideTWBExt"/>
      </w:rPr>
      <w:t>&lt;PathFdR&gt;</w:t>
    </w:r>
    <w:r w:rsidRPr="00685604">
      <w:t>AD\1333300MT.docx</w:t>
    </w:r>
    <w:r w:rsidRPr="00685604">
      <w:rPr>
        <w:rStyle w:val="HideTWBExt"/>
      </w:rPr>
      <w:t>&lt;/PathFdR&gt;</w:t>
    </w:r>
    <w:r w:rsidRPr="00685604">
      <w:tab/>
    </w:r>
    <w:r w:rsidRPr="00685604">
      <w:tab/>
      <w:t>PE</w:t>
    </w:r>
    <w:r w:rsidRPr="00685604">
      <w:rPr>
        <w:rStyle w:val="HideTWBExt"/>
      </w:rPr>
      <w:t>&lt;NoPE&gt;</w:t>
    </w:r>
    <w:r w:rsidRPr="00685604">
      <w:t>778.328</w:t>
    </w:r>
    <w:r w:rsidRPr="00685604">
      <w:rPr>
        <w:rStyle w:val="HideTWBExt"/>
      </w:rPr>
      <w:t>&lt;/NoPE&gt;&lt;Version&gt;</w:t>
    </w:r>
    <w:r w:rsidRPr="00685604">
      <w:t>v02-00</w:t>
    </w:r>
    <w:r w:rsidRPr="00685604">
      <w:rPr>
        <w:rStyle w:val="HideTWBExt"/>
      </w:rPr>
      <w:t>&lt;/Version&gt;</w:t>
    </w:r>
  </w:p>
  <w:p w14:paraId="2A8FA69B" w14:textId="77777777" w:rsidR="00C75378" w:rsidRPr="00685604" w:rsidRDefault="00BE2B2B" w:rsidP="002411ED">
    <w:pPr>
      <w:pStyle w:val="EPFooter2"/>
    </w:pPr>
    <w:r w:rsidRPr="00685604">
      <w:t>MT</w:t>
    </w:r>
    <w:r w:rsidRPr="00685604">
      <w:tab/>
    </w:r>
    <w:r w:rsidRPr="00685604">
      <w:rPr>
        <w:b w:val="0"/>
        <w:i/>
        <w:color w:val="C0C0C0"/>
        <w:sz w:val="22"/>
      </w:rPr>
      <w:t>Magħquda fid-diversità</w:t>
    </w:r>
    <w:r w:rsidRPr="00685604">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C4559" w14:textId="77777777" w:rsidR="00887CFB" w:rsidRPr="00685604" w:rsidRDefault="00BE2B2B">
      <w:r w:rsidRPr="00685604">
        <w:separator/>
      </w:r>
    </w:p>
  </w:footnote>
  <w:footnote w:type="continuationSeparator" w:id="0">
    <w:p w14:paraId="43508317" w14:textId="77777777" w:rsidR="00887CFB" w:rsidRPr="00685604" w:rsidRDefault="00BE2B2B">
      <w:r w:rsidRPr="00685604">
        <w:continuationSeparator/>
      </w:r>
    </w:p>
  </w:footnote>
  <w:footnote w:id="1">
    <w:p w14:paraId="51BDBC37" w14:textId="4C7F016E" w:rsidR="00685604" w:rsidRPr="00685604" w:rsidRDefault="00BE2B2B" w:rsidP="00685604">
      <w:pPr>
        <w:pStyle w:val="FootnoteText"/>
      </w:pPr>
      <w:r>
        <w:rPr>
          <w:rStyle w:val="FootnoteReference"/>
        </w:rPr>
        <w:footnoteRef/>
      </w:r>
      <w:r>
        <w:t xml:space="preserve"> Il-Ftehim Interistituzzjonali tal-20 ta’ Mejju 2021 bejn il-Parlament Ewropew, il-Kunsill tal-Unjoni Ewropea u l-Kummissjoni Ewropea dwar Reġistru Obbligatorju ta’ Trasparenza (ĠU L 207, 11.6.2021,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D860" w14:textId="77777777" w:rsidR="00591EF6" w:rsidRDefault="00591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9E39" w14:textId="77777777" w:rsidR="00591EF6" w:rsidRDefault="00591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6D3F" w14:textId="77777777" w:rsidR="00591EF6" w:rsidRDefault="00591E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5B19" w14:textId="77777777" w:rsidR="00596BBE" w:rsidRDefault="00596B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23EB" w14:textId="77777777" w:rsidR="00596BBE" w:rsidRDefault="00596B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521F" w14:textId="77777777" w:rsidR="00596BBE" w:rsidRDefault="00596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69559243">
    <w:abstractNumId w:val="9"/>
  </w:num>
  <w:num w:numId="2" w16cid:durableId="1391420794">
    <w:abstractNumId w:val="9"/>
  </w:num>
  <w:num w:numId="3" w16cid:durableId="1450856086">
    <w:abstractNumId w:val="7"/>
  </w:num>
  <w:num w:numId="4" w16cid:durableId="596210088">
    <w:abstractNumId w:val="7"/>
  </w:num>
  <w:num w:numId="5" w16cid:durableId="1243565333">
    <w:abstractNumId w:val="6"/>
  </w:num>
  <w:num w:numId="6" w16cid:durableId="749929006">
    <w:abstractNumId w:val="6"/>
  </w:num>
  <w:num w:numId="7" w16cid:durableId="982194687">
    <w:abstractNumId w:val="5"/>
  </w:num>
  <w:num w:numId="8" w16cid:durableId="682828427">
    <w:abstractNumId w:val="5"/>
  </w:num>
  <w:num w:numId="9" w16cid:durableId="694768593">
    <w:abstractNumId w:val="4"/>
  </w:num>
  <w:num w:numId="10" w16cid:durableId="1117140322">
    <w:abstractNumId w:val="4"/>
  </w:num>
  <w:num w:numId="11" w16cid:durableId="1327393397">
    <w:abstractNumId w:val="8"/>
  </w:num>
  <w:num w:numId="12" w16cid:durableId="1400979741">
    <w:abstractNumId w:val="8"/>
  </w:num>
  <w:num w:numId="13" w16cid:durableId="375787219">
    <w:abstractNumId w:val="3"/>
  </w:num>
  <w:num w:numId="14" w16cid:durableId="963386185">
    <w:abstractNumId w:val="3"/>
  </w:num>
  <w:num w:numId="15" w16cid:durableId="1366326407">
    <w:abstractNumId w:val="2"/>
  </w:num>
  <w:num w:numId="16" w16cid:durableId="1170680098">
    <w:abstractNumId w:val="2"/>
  </w:num>
  <w:num w:numId="17" w16cid:durableId="1376470093">
    <w:abstractNumId w:val="1"/>
  </w:num>
  <w:num w:numId="18" w16cid:durableId="1734158877">
    <w:abstractNumId w:val="1"/>
  </w:num>
  <w:num w:numId="19" w16cid:durableId="897327353">
    <w:abstractNumId w:val="0"/>
  </w:num>
  <w:num w:numId="20" w16cid:durableId="1788425826">
    <w:abstractNumId w:val="0"/>
  </w:num>
  <w:num w:numId="21" w16cid:durableId="442307447">
    <w:abstractNumId w:val="9"/>
  </w:num>
  <w:num w:numId="22" w16cid:durableId="1430083622">
    <w:abstractNumId w:val="7"/>
  </w:num>
  <w:num w:numId="23" w16cid:durableId="1894076950">
    <w:abstractNumId w:val="6"/>
  </w:num>
  <w:num w:numId="24" w16cid:durableId="1564174865">
    <w:abstractNumId w:val="5"/>
  </w:num>
  <w:num w:numId="25" w16cid:durableId="1543667083">
    <w:abstractNumId w:val="4"/>
  </w:num>
  <w:num w:numId="26" w16cid:durableId="1659000304">
    <w:abstractNumId w:val="8"/>
  </w:num>
  <w:num w:numId="27" w16cid:durableId="2007199106">
    <w:abstractNumId w:val="3"/>
  </w:num>
  <w:num w:numId="28" w16cid:durableId="438524200">
    <w:abstractNumId w:val="2"/>
  </w:num>
  <w:num w:numId="29" w16cid:durableId="956915476">
    <w:abstractNumId w:val="1"/>
  </w:num>
  <w:num w:numId="30" w16cid:durableId="434134767">
    <w:abstractNumId w:val="0"/>
  </w:num>
  <w:num w:numId="31" w16cid:durableId="187565965">
    <w:abstractNumId w:val="9"/>
  </w:num>
  <w:num w:numId="32" w16cid:durableId="1862209274">
    <w:abstractNumId w:val="7"/>
  </w:num>
  <w:num w:numId="33" w16cid:durableId="1427270400">
    <w:abstractNumId w:val="6"/>
  </w:num>
  <w:num w:numId="34" w16cid:durableId="365760111">
    <w:abstractNumId w:val="5"/>
  </w:num>
  <w:num w:numId="35" w16cid:durableId="189223308">
    <w:abstractNumId w:val="4"/>
  </w:num>
  <w:num w:numId="36" w16cid:durableId="228196601">
    <w:abstractNumId w:val="8"/>
  </w:num>
  <w:num w:numId="37" w16cid:durableId="1954942581">
    <w:abstractNumId w:val="3"/>
  </w:num>
  <w:num w:numId="38" w16cid:durableId="525631020">
    <w:abstractNumId w:val="2"/>
  </w:num>
  <w:num w:numId="39" w16cid:durableId="84963136">
    <w:abstractNumId w:val="1"/>
  </w:num>
  <w:num w:numId="40" w16cid:durableId="1105660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CopyToNetwork" w:val="-1"/>
    <w:docVar w:name="DOCDT" w:val="14/10/2025"/>
    <w:docVar w:name="LastEditedSection" w:val=" 4"/>
    <w:docVar w:name="OTHERHEADINGMNU" w:val=" 2"/>
    <w:docVar w:name="PARTCOUNT" w:val="6"/>
    <w:docVar w:name="strDocTypeID" w:val="PA_NonLegDec"/>
    <w:docVar w:name="strSubDir" w:val="1333"/>
    <w:docVar w:name="TITLEMNU" w:val=" 3"/>
    <w:docVar w:name="TXTAUTHOR" w:val="Evin Incir"/>
    <w:docVar w:name="TXTLANGUE" w:val="MT"/>
    <w:docVar w:name="TXTLANGUEMIN" w:val="mt"/>
    <w:docVar w:name="TXTNRPE" w:val="778.328"/>
    <w:docVar w:name="TXTNRPROC" w:val="2025/2155"/>
    <w:docVar w:name="TXTPEorAP" w:val="PE"/>
    <w:docVar w:name="TXTROUTE" w:val="AD\1333300MT.docx"/>
    <w:docVar w:name="TXTTITLE" w:val="Discharge 2024: General budget of the EU - European Public Prosecutors Office (the ‘EPPO’)_x000d_"/>
    <w:docVar w:name="TXTVERSION" w:val="02-00"/>
  </w:docVars>
  <w:rsids>
    <w:rsidRoot w:val="00E20020"/>
    <w:rsid w:val="000048A8"/>
    <w:rsid w:val="00007A18"/>
    <w:rsid w:val="00062634"/>
    <w:rsid w:val="000A05CA"/>
    <w:rsid w:val="000B6C4B"/>
    <w:rsid w:val="000D001F"/>
    <w:rsid w:val="000D099F"/>
    <w:rsid w:val="000E6813"/>
    <w:rsid w:val="000F07FE"/>
    <w:rsid w:val="001275F4"/>
    <w:rsid w:val="00147FBF"/>
    <w:rsid w:val="001A455F"/>
    <w:rsid w:val="001F2766"/>
    <w:rsid w:val="001F6ED8"/>
    <w:rsid w:val="00207509"/>
    <w:rsid w:val="00212D35"/>
    <w:rsid w:val="002411ED"/>
    <w:rsid w:val="00245C7F"/>
    <w:rsid w:val="00271180"/>
    <w:rsid w:val="002A4AC9"/>
    <w:rsid w:val="002A5AEC"/>
    <w:rsid w:val="002B2892"/>
    <w:rsid w:val="002C0EE6"/>
    <w:rsid w:val="002C1842"/>
    <w:rsid w:val="002C34AE"/>
    <w:rsid w:val="002E2F2E"/>
    <w:rsid w:val="002F4232"/>
    <w:rsid w:val="00307C14"/>
    <w:rsid w:val="003707A7"/>
    <w:rsid w:val="00373FA3"/>
    <w:rsid w:val="003858C5"/>
    <w:rsid w:val="00385BAB"/>
    <w:rsid w:val="0039003E"/>
    <w:rsid w:val="00396FA9"/>
    <w:rsid w:val="003B72FC"/>
    <w:rsid w:val="003D684B"/>
    <w:rsid w:val="003E06CF"/>
    <w:rsid w:val="003E35FB"/>
    <w:rsid w:val="003F3B83"/>
    <w:rsid w:val="00430738"/>
    <w:rsid w:val="00431E30"/>
    <w:rsid w:val="00487232"/>
    <w:rsid w:val="00495CA4"/>
    <w:rsid w:val="00497F24"/>
    <w:rsid w:val="004A34E6"/>
    <w:rsid w:val="004C28FB"/>
    <w:rsid w:val="004C3764"/>
    <w:rsid w:val="004C44B9"/>
    <w:rsid w:val="004E54DC"/>
    <w:rsid w:val="004F48ED"/>
    <w:rsid w:val="00514664"/>
    <w:rsid w:val="005375D9"/>
    <w:rsid w:val="0055017A"/>
    <w:rsid w:val="00577018"/>
    <w:rsid w:val="005779E7"/>
    <w:rsid w:val="00591EF6"/>
    <w:rsid w:val="00596BBE"/>
    <w:rsid w:val="005C5A1A"/>
    <w:rsid w:val="005D0786"/>
    <w:rsid w:val="005E3670"/>
    <w:rsid w:val="006006C3"/>
    <w:rsid w:val="00600DC9"/>
    <w:rsid w:val="00643F39"/>
    <w:rsid w:val="0066728C"/>
    <w:rsid w:val="006819E0"/>
    <w:rsid w:val="00685604"/>
    <w:rsid w:val="006D6CF6"/>
    <w:rsid w:val="0071319E"/>
    <w:rsid w:val="00722749"/>
    <w:rsid w:val="00806587"/>
    <w:rsid w:val="008818A9"/>
    <w:rsid w:val="008844EE"/>
    <w:rsid w:val="00887CFB"/>
    <w:rsid w:val="008C6240"/>
    <w:rsid w:val="008D55C8"/>
    <w:rsid w:val="008E1DAE"/>
    <w:rsid w:val="008E7494"/>
    <w:rsid w:val="008F36CD"/>
    <w:rsid w:val="008F7002"/>
    <w:rsid w:val="00902F3E"/>
    <w:rsid w:val="0095301E"/>
    <w:rsid w:val="0095497D"/>
    <w:rsid w:val="009669A8"/>
    <w:rsid w:val="00972FD8"/>
    <w:rsid w:val="00977F76"/>
    <w:rsid w:val="0098140C"/>
    <w:rsid w:val="00995E28"/>
    <w:rsid w:val="009A33F4"/>
    <w:rsid w:val="009A403C"/>
    <w:rsid w:val="009B33EE"/>
    <w:rsid w:val="009B5265"/>
    <w:rsid w:val="00A2041C"/>
    <w:rsid w:val="00A26B87"/>
    <w:rsid w:val="00A347D7"/>
    <w:rsid w:val="00A722B1"/>
    <w:rsid w:val="00A8267E"/>
    <w:rsid w:val="00A93570"/>
    <w:rsid w:val="00A9617A"/>
    <w:rsid w:val="00AA1A2C"/>
    <w:rsid w:val="00AA223C"/>
    <w:rsid w:val="00AE2548"/>
    <w:rsid w:val="00AF77DA"/>
    <w:rsid w:val="00B107A4"/>
    <w:rsid w:val="00B1441B"/>
    <w:rsid w:val="00B27A1E"/>
    <w:rsid w:val="00B362F7"/>
    <w:rsid w:val="00B735E3"/>
    <w:rsid w:val="00B96CD5"/>
    <w:rsid w:val="00BB2AC1"/>
    <w:rsid w:val="00BE2B2B"/>
    <w:rsid w:val="00C04938"/>
    <w:rsid w:val="00C175C0"/>
    <w:rsid w:val="00C248FE"/>
    <w:rsid w:val="00C36610"/>
    <w:rsid w:val="00C47E30"/>
    <w:rsid w:val="00C54F53"/>
    <w:rsid w:val="00C5720F"/>
    <w:rsid w:val="00C6598C"/>
    <w:rsid w:val="00C75378"/>
    <w:rsid w:val="00C85D0F"/>
    <w:rsid w:val="00CA0D01"/>
    <w:rsid w:val="00CF7076"/>
    <w:rsid w:val="00D25055"/>
    <w:rsid w:val="00D41244"/>
    <w:rsid w:val="00D438D0"/>
    <w:rsid w:val="00D44697"/>
    <w:rsid w:val="00D47632"/>
    <w:rsid w:val="00D56F47"/>
    <w:rsid w:val="00D625A2"/>
    <w:rsid w:val="00D71751"/>
    <w:rsid w:val="00D759AA"/>
    <w:rsid w:val="00DA7632"/>
    <w:rsid w:val="00E01434"/>
    <w:rsid w:val="00E05697"/>
    <w:rsid w:val="00E12435"/>
    <w:rsid w:val="00E20020"/>
    <w:rsid w:val="00E25797"/>
    <w:rsid w:val="00E3462E"/>
    <w:rsid w:val="00E506E4"/>
    <w:rsid w:val="00E729C7"/>
    <w:rsid w:val="00E83B40"/>
    <w:rsid w:val="00E9601C"/>
    <w:rsid w:val="00EA78B3"/>
    <w:rsid w:val="00EB19AA"/>
    <w:rsid w:val="00EC2C85"/>
    <w:rsid w:val="00EC40C9"/>
    <w:rsid w:val="00F036E0"/>
    <w:rsid w:val="00F129D0"/>
    <w:rsid w:val="00F46E44"/>
    <w:rsid w:val="00F611FC"/>
    <w:rsid w:val="00F61E8C"/>
    <w:rsid w:val="00F66D58"/>
    <w:rsid w:val="00F707AB"/>
    <w:rsid w:val="00F96D53"/>
    <w:rsid w:val="00FB459D"/>
    <w:rsid w:val="00FB6F13"/>
    <w:rsid w:val="00FC00B4"/>
    <w:rsid w:val="00FF00D4"/>
    <w:rsid w:val="00FF158E"/>
    <w:rsid w:val="00FF20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7894D"/>
  <w15:chartTrackingRefBased/>
  <w15:docId w15:val="{66D8D432-A6C0-4353-A731-089D0BC0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A347D7"/>
    <w:rPr>
      <w:sz w:val="16"/>
      <w:szCs w:val="16"/>
    </w:rPr>
  </w:style>
  <w:style w:type="paragraph" w:styleId="CommentText">
    <w:name w:val="annotation text"/>
    <w:basedOn w:val="Normal"/>
    <w:link w:val="CommentTextChar"/>
    <w:rsid w:val="00A347D7"/>
    <w:rPr>
      <w:sz w:val="20"/>
    </w:rPr>
  </w:style>
  <w:style w:type="character" w:customStyle="1" w:styleId="CommentTextChar">
    <w:name w:val="Comment Text Char"/>
    <w:basedOn w:val="DefaultParagraphFont"/>
    <w:link w:val="CommentText"/>
    <w:rsid w:val="00A347D7"/>
  </w:style>
  <w:style w:type="paragraph" w:styleId="CommentSubject">
    <w:name w:val="annotation subject"/>
    <w:basedOn w:val="CommentText"/>
    <w:next w:val="CommentText"/>
    <w:link w:val="CommentSubjectChar"/>
    <w:semiHidden/>
    <w:unhideWhenUsed/>
    <w:rsid w:val="00A347D7"/>
    <w:rPr>
      <w:b/>
      <w:bCs/>
    </w:rPr>
  </w:style>
  <w:style w:type="character" w:customStyle="1" w:styleId="CommentSubjectChar">
    <w:name w:val="Comment Subject Char"/>
    <w:basedOn w:val="CommentTextChar"/>
    <w:link w:val="CommentSubject"/>
    <w:semiHidden/>
    <w:rsid w:val="00A347D7"/>
    <w:rPr>
      <w:b/>
      <w:bCs/>
    </w:rPr>
  </w:style>
  <w:style w:type="paragraph" w:styleId="Footer">
    <w:name w:val="footer"/>
    <w:basedOn w:val="Normal"/>
    <w:link w:val="FooterChar"/>
    <w:semiHidden/>
    <w:rsid w:val="00A347D7"/>
    <w:pPr>
      <w:tabs>
        <w:tab w:val="center" w:pos="4513"/>
        <w:tab w:val="right" w:pos="9026"/>
      </w:tabs>
    </w:pPr>
  </w:style>
  <w:style w:type="character" w:customStyle="1" w:styleId="FooterChar">
    <w:name w:val="Footer Char"/>
    <w:basedOn w:val="DefaultParagraphFont"/>
    <w:link w:val="Footer"/>
    <w:semiHidden/>
    <w:rsid w:val="00A347D7"/>
    <w:rPr>
      <w:sz w:val="24"/>
    </w:rPr>
  </w:style>
  <w:style w:type="paragraph" w:styleId="Revision">
    <w:name w:val="Revision"/>
    <w:hidden/>
    <w:uiPriority w:val="99"/>
    <w:semiHidden/>
    <w:rsid w:val="00C5720F"/>
    <w:rPr>
      <w:sz w:val="24"/>
    </w:rPr>
  </w:style>
  <w:style w:type="paragraph" w:customStyle="1" w:styleId="Normal24a">
    <w:name w:val="Normal24a"/>
    <w:basedOn w:val="Normal"/>
    <w:rsid w:val="00685604"/>
    <w:pPr>
      <w:spacing w:after="480"/>
    </w:pPr>
    <w:rPr>
      <w:szCs w:val="24"/>
    </w:rPr>
  </w:style>
  <w:style w:type="paragraph" w:customStyle="1" w:styleId="NormalBoldCenter">
    <w:name w:val="NormalBoldCenter"/>
    <w:basedOn w:val="Normal"/>
    <w:rsid w:val="00685604"/>
    <w:pPr>
      <w:jc w:val="center"/>
    </w:pPr>
    <w:rPr>
      <w:b/>
      <w:szCs w:val="24"/>
    </w:rPr>
  </w:style>
  <w:style w:type="paragraph" w:customStyle="1" w:styleId="Footprint12b">
    <w:name w:val="Footprint12b"/>
    <w:basedOn w:val="Normal"/>
    <w:rsid w:val="00685604"/>
    <w:pPr>
      <w:spacing w:before="240"/>
    </w:pPr>
    <w:rPr>
      <w:szCs w:val="24"/>
    </w:rPr>
  </w:style>
  <w:style w:type="paragraph" w:customStyle="1" w:styleId="NormalSingle">
    <w:name w:val="NormalSingle"/>
    <w:basedOn w:val="Normal"/>
    <w:qFormat/>
    <w:rsid w:val="00685604"/>
    <w:rPr>
      <w:szCs w:val="24"/>
    </w:rPr>
  </w:style>
  <w:style w:type="paragraph" w:styleId="FootnoteText">
    <w:name w:val="footnote text"/>
    <w:basedOn w:val="Normal"/>
    <w:link w:val="FootnoteTextChar"/>
    <w:rsid w:val="00685604"/>
    <w:rPr>
      <w:sz w:val="20"/>
    </w:rPr>
  </w:style>
  <w:style w:type="character" w:customStyle="1" w:styleId="FootnoteTextChar">
    <w:name w:val="Footnote Text Char"/>
    <w:basedOn w:val="DefaultParagraphFont"/>
    <w:link w:val="FootnoteText"/>
    <w:rsid w:val="00685604"/>
    <w:rPr>
      <w:lang w:val="mt-MT"/>
    </w:rPr>
  </w:style>
  <w:style w:type="character" w:styleId="FootnoteReference">
    <w:name w:val="footnote reference"/>
    <w:basedOn w:val="DefaultParagraphFont"/>
    <w:rsid w:val="00685604"/>
    <w:rPr>
      <w:vertAlign w:val="superscript"/>
    </w:rPr>
  </w:style>
  <w:style w:type="character" w:styleId="Hyperlink">
    <w:name w:val="Hyperlink"/>
    <w:basedOn w:val="DefaultParagraphFont"/>
    <w:rsid w:val="00685604"/>
    <w:rPr>
      <w:color w:val="0563C1" w:themeColor="hyperlink"/>
      <w:u w:val="single"/>
    </w:rPr>
  </w:style>
  <w:style w:type="character" w:customStyle="1" w:styleId="NormalHanging12aChar">
    <w:name w:val="NormalHanging12a Char"/>
    <w:basedOn w:val="DefaultParagraphFont"/>
    <w:link w:val="NormalHanging12a"/>
    <w:rsid w:val="00685604"/>
    <w:rPr>
      <w:sz w:val="24"/>
    </w:rPr>
  </w:style>
  <w:style w:type="paragraph" w:customStyle="1" w:styleId="RollCallSymbols14pt">
    <w:name w:val="RollCallSymbols14pt"/>
    <w:basedOn w:val="Normal"/>
    <w:rsid w:val="006856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85604"/>
    <w:pPr>
      <w:tabs>
        <w:tab w:val="center" w:pos="284"/>
        <w:tab w:val="left" w:pos="426"/>
      </w:tabs>
    </w:pPr>
    <w:rPr>
      <w:snapToGrid w:val="0"/>
      <w:lang w:eastAsia="en-US"/>
    </w:rPr>
  </w:style>
  <w:style w:type="paragraph" w:customStyle="1" w:styleId="RollCallVotes">
    <w:name w:val="RollCallVotes"/>
    <w:basedOn w:val="Normal"/>
    <w:rsid w:val="00685604"/>
    <w:pPr>
      <w:spacing w:before="120" w:after="120"/>
      <w:jc w:val="center"/>
    </w:pPr>
    <w:rPr>
      <w:b/>
      <w:bCs/>
      <w:snapToGrid w:val="0"/>
      <w:sz w:val="16"/>
      <w:lang w:eastAsia="en-US"/>
    </w:rPr>
  </w:style>
  <w:style w:type="paragraph" w:customStyle="1" w:styleId="RollCallTable">
    <w:name w:val="RollCallTable"/>
    <w:basedOn w:val="Normal"/>
    <w:rsid w:val="0068560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1423</Words>
  <Characters>10446</Characters>
  <Application>Microsoft Office Word</Application>
  <DocSecurity>0</DocSecurity>
  <Lines>237</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2025-12-22T07:25:00Z</dcterms:created>
  <dcterms:modified xsi:type="dcterms:W3CDTF">2025-12-22T07:25:00Z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1333300</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AD</vt:lpwstr>
  </property>
  <property fmtid="{D5CDD505-2E9C-101B-9397-08002B2CF9AE}" pid="8" name="Bookout">
    <vt:lpwstr>OK - 2025/12/22 08:25</vt:lpwstr>
  </property>
  <property fmtid="{D5CDD505-2E9C-101B-9397-08002B2CF9AE}" pid="9" name="Created with">
    <vt:lpwstr>10.1.2 Build [20250817]</vt:lpwstr>
  </property>
  <property fmtid="{D5CDD505-2E9C-101B-9397-08002B2CF9AE}" pid="10" name="FooterPath">
    <vt:lpwstr>AD\1333300MT.docx</vt:lpwstr>
  </property>
  <property fmtid="{D5CDD505-2E9C-101B-9397-08002B2CF9AE}" pid="11" name="LastEdited with">
    <vt:lpwstr>10.2.1 Build [20251202]</vt:lpwstr>
  </property>
  <property fmtid="{D5CDD505-2E9C-101B-9397-08002B2CF9AE}" pid="12" name="PE number">
    <vt:lpwstr>778.328</vt:lpwstr>
  </property>
  <property fmtid="{D5CDD505-2E9C-101B-9397-08002B2CF9AE}" pid="13" name="SDLStudio">
    <vt:lpwstr/>
  </property>
  <property fmtid="{D5CDD505-2E9C-101B-9397-08002B2CF9AE}" pid="14" name="SendToEpades">
    <vt:lpwstr>OK - 2025/10/14 17:35</vt:lpwstr>
  </property>
</Properties>
</file>